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7EDC0B">
      <w:pPr>
        <w:autoSpaceDE w:val="0"/>
        <w:autoSpaceDN w:val="0"/>
        <w:adjustRightInd w:val="0"/>
        <w:spacing w:line="840" w:lineRule="auto"/>
        <w:ind w:right="329" w:rightChars="137" w:firstLine="800" w:firstLineChars="200"/>
        <w:jc w:val="center"/>
        <w:rPr>
          <w:rFonts w:ascii="Times New Roman" w:hAnsi="Times New Roman" w:cs="Times New Roman"/>
          <w:color w:val="00B050"/>
          <w:sz w:val="40"/>
        </w:rPr>
      </w:pPr>
      <w:bookmarkStart w:id="0" w:name="_Hlk166843440"/>
      <w:bookmarkStart w:id="1" w:name="_Toc316510988"/>
      <w:bookmarkStart w:id="2" w:name="_Toc165446122"/>
      <w:bookmarkStart w:id="3" w:name="_Toc183676459"/>
      <w:bookmarkStart w:id="4" w:name="_Toc236793625"/>
    </w:p>
    <w:p w14:paraId="07CC7BCC">
      <w:pPr>
        <w:autoSpaceDE w:val="0"/>
        <w:autoSpaceDN w:val="0"/>
        <w:adjustRightInd w:val="0"/>
        <w:spacing w:line="840" w:lineRule="auto"/>
        <w:ind w:right="329" w:rightChars="137" w:firstLine="800" w:firstLineChars="200"/>
        <w:jc w:val="center"/>
        <w:rPr>
          <w:rFonts w:ascii="Times New Roman" w:hAnsi="Times New Roman" w:cs="Times New Roman"/>
          <w:color w:val="00B050"/>
          <w:sz w:val="40"/>
          <w:szCs w:val="40"/>
        </w:rPr>
      </w:pPr>
    </w:p>
    <w:p w14:paraId="4AB606DE">
      <w:pPr>
        <w:autoSpaceDE w:val="0"/>
        <w:autoSpaceDN w:val="0"/>
        <w:adjustRightInd w:val="0"/>
        <w:spacing w:line="840" w:lineRule="auto"/>
        <w:ind w:right="329" w:rightChars="137"/>
        <w:jc w:val="center"/>
        <w:rPr>
          <w:rFonts w:ascii="Times New Roman" w:hAnsi="Times New Roman" w:cs="Times New Roman"/>
          <w:sz w:val="40"/>
          <w:szCs w:val="40"/>
        </w:rPr>
      </w:pPr>
      <w:r>
        <w:rPr>
          <w:rFonts w:ascii="Times New Roman" w:hAnsi="Times New Roman" w:cs="Times New Roman"/>
          <w:sz w:val="40"/>
          <w:szCs w:val="40"/>
        </w:rPr>
        <w:t>G3012-草湖-G314公路（草湖-G314段）</w:t>
      </w:r>
    </w:p>
    <w:p w14:paraId="4432509C">
      <w:pPr>
        <w:autoSpaceDE w:val="0"/>
        <w:autoSpaceDN w:val="0"/>
        <w:adjustRightInd w:val="0"/>
        <w:spacing w:line="840" w:lineRule="auto"/>
        <w:ind w:right="329" w:rightChars="137"/>
        <w:jc w:val="center"/>
        <w:rPr>
          <w:rFonts w:ascii="黑体" w:hAnsi="黑体" w:eastAsia="黑体" w:cs="Times New Roman"/>
          <w:sz w:val="48"/>
        </w:rPr>
      </w:pPr>
    </w:p>
    <w:p w14:paraId="594B41F8">
      <w:pPr>
        <w:autoSpaceDE w:val="0"/>
        <w:autoSpaceDN w:val="0"/>
        <w:adjustRightInd w:val="0"/>
        <w:spacing w:line="840" w:lineRule="auto"/>
        <w:ind w:right="329" w:rightChars="137"/>
        <w:jc w:val="center"/>
        <w:rPr>
          <w:rFonts w:ascii="黑体" w:hAnsi="黑体" w:eastAsia="黑体" w:cs="Times New Roman"/>
          <w:sz w:val="48"/>
        </w:rPr>
      </w:pPr>
      <w:r>
        <w:rPr>
          <w:rFonts w:ascii="黑体" w:hAnsi="黑体" w:eastAsia="黑体" w:cs="Times New Roman"/>
          <w:sz w:val="48"/>
        </w:rPr>
        <w:t>环境影响报告书</w:t>
      </w:r>
      <w:bookmarkStart w:id="5" w:name="_Toc321425634"/>
      <w:bookmarkStart w:id="6" w:name="_Toc321235796"/>
      <w:bookmarkStart w:id="7" w:name="_Toc322426863"/>
      <w:bookmarkStart w:id="8" w:name="_Toc321655564"/>
      <w:bookmarkStart w:id="9" w:name="_Toc322438807"/>
      <w:bookmarkStart w:id="10" w:name="_Toc321058372"/>
    </w:p>
    <w:p w14:paraId="372EA401">
      <w:pPr>
        <w:autoSpaceDE w:val="0"/>
        <w:autoSpaceDN w:val="0"/>
        <w:adjustRightInd w:val="0"/>
        <w:spacing w:line="840" w:lineRule="auto"/>
        <w:jc w:val="center"/>
        <w:rPr>
          <w:rFonts w:ascii="黑体" w:hAnsi="黑体" w:eastAsia="黑体"/>
          <w:sz w:val="40"/>
        </w:rPr>
      </w:pPr>
    </w:p>
    <w:p w14:paraId="13569D32">
      <w:pPr>
        <w:autoSpaceDE w:val="0"/>
        <w:autoSpaceDN w:val="0"/>
        <w:adjustRightInd w:val="0"/>
        <w:spacing w:line="840" w:lineRule="auto"/>
        <w:jc w:val="center"/>
        <w:rPr>
          <w:rFonts w:ascii="黑体" w:hAnsi="黑体" w:eastAsia="黑体"/>
          <w:sz w:val="40"/>
        </w:rPr>
      </w:pPr>
    </w:p>
    <w:p w14:paraId="7CD9510A">
      <w:pPr>
        <w:autoSpaceDE w:val="0"/>
        <w:autoSpaceDN w:val="0"/>
        <w:adjustRightInd w:val="0"/>
        <w:spacing w:line="840" w:lineRule="auto"/>
        <w:jc w:val="center"/>
        <w:rPr>
          <w:rFonts w:ascii="黑体" w:hAnsi="黑体" w:eastAsia="黑体"/>
          <w:sz w:val="40"/>
        </w:rPr>
      </w:pPr>
    </w:p>
    <w:p w14:paraId="3806F095">
      <w:pPr>
        <w:autoSpaceDE w:val="0"/>
        <w:autoSpaceDN w:val="0"/>
        <w:adjustRightInd w:val="0"/>
        <w:spacing w:line="840" w:lineRule="auto"/>
        <w:jc w:val="center"/>
        <w:rPr>
          <w:rFonts w:ascii="黑体" w:hAnsi="黑体" w:eastAsia="黑体"/>
          <w:sz w:val="40"/>
        </w:rPr>
      </w:pPr>
    </w:p>
    <w:p w14:paraId="7D485905">
      <w:pPr>
        <w:autoSpaceDE w:val="0"/>
        <w:autoSpaceDN w:val="0"/>
        <w:adjustRightInd w:val="0"/>
        <w:spacing w:line="840" w:lineRule="auto"/>
        <w:jc w:val="center"/>
        <w:rPr>
          <w:rFonts w:ascii="黑体" w:hAnsi="黑体" w:eastAsia="黑体"/>
          <w:sz w:val="32"/>
        </w:rPr>
      </w:pPr>
      <w:r>
        <w:rPr>
          <w:rFonts w:ascii="黑体" w:hAnsi="黑体" w:eastAsia="黑体"/>
          <w:sz w:val="32"/>
        </w:rPr>
        <w:t>新疆兵团勘测设计院集团股份有限公司</w:t>
      </w:r>
    </w:p>
    <w:p w14:paraId="59928658">
      <w:pPr>
        <w:autoSpaceDE w:val="0"/>
        <w:autoSpaceDN w:val="0"/>
        <w:adjustRightInd w:val="0"/>
        <w:spacing w:line="840" w:lineRule="auto"/>
        <w:jc w:val="center"/>
        <w:rPr>
          <w:rFonts w:ascii="黑体" w:hAnsi="黑体" w:eastAsia="黑体"/>
          <w:sz w:val="32"/>
        </w:rPr>
      </w:pPr>
    </w:p>
    <w:p w14:paraId="37DC9935">
      <w:pPr>
        <w:autoSpaceDE w:val="0"/>
        <w:autoSpaceDN w:val="0"/>
        <w:adjustRightInd w:val="0"/>
        <w:spacing w:line="840" w:lineRule="auto"/>
        <w:jc w:val="center"/>
        <w:rPr>
          <w:rFonts w:ascii="黑体" w:hAnsi="黑体" w:eastAsia="黑体"/>
          <w:sz w:val="32"/>
        </w:rPr>
      </w:pPr>
    </w:p>
    <w:p w14:paraId="3D479E2D">
      <w:pPr>
        <w:autoSpaceDE w:val="0"/>
        <w:autoSpaceDN w:val="0"/>
        <w:adjustRightInd w:val="0"/>
        <w:spacing w:line="840" w:lineRule="auto"/>
        <w:jc w:val="center"/>
        <w:rPr>
          <w:rFonts w:hint="eastAsia" w:ascii="黑体" w:hAnsi="黑体" w:eastAsia="黑体"/>
          <w:sz w:val="32"/>
        </w:rPr>
      </w:pPr>
      <w:r>
        <w:rPr>
          <w:rFonts w:ascii="黑体" w:hAnsi="黑体" w:eastAsia="黑体"/>
          <w:sz w:val="32"/>
        </w:rPr>
        <w:drawing>
          <wp:anchor distT="0" distB="0" distL="114300" distR="114300" simplePos="0" relativeHeight="251663360" behindDoc="0" locked="0" layoutInCell="1" allowOverlap="1">
            <wp:simplePos x="0" y="0"/>
            <wp:positionH relativeFrom="column">
              <wp:posOffset>-1064260</wp:posOffset>
            </wp:positionH>
            <wp:positionV relativeFrom="paragraph">
              <wp:posOffset>-889000</wp:posOffset>
            </wp:positionV>
            <wp:extent cx="7374255" cy="11160125"/>
            <wp:effectExtent l="0" t="0" r="0" b="3810"/>
            <wp:wrapNone/>
            <wp:docPr id="14" name="图片 14" descr="e:\Documents\WeChat Files\huyidao4595\FileStorage\Temp\7f397d72e024e5c1688bea50de9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Documents\WeChat Files\huyidao4595\FileStorage\Temp\7f397d72e024e5c1688bea50de90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l="-2691" t="15526" r="2691" b="14142"/>
                    <a:stretch>
                      <a:fillRect/>
                    </a:stretch>
                  </pic:blipFill>
                  <pic:spPr>
                    <a:xfrm>
                      <a:off x="0" y="0"/>
                      <a:ext cx="7374307" cy="11160000"/>
                    </a:xfrm>
                    <a:prstGeom prst="rect">
                      <a:avLst/>
                    </a:prstGeom>
                    <a:noFill/>
                    <a:ln>
                      <a:noFill/>
                    </a:ln>
                  </pic:spPr>
                </pic:pic>
              </a:graphicData>
            </a:graphic>
          </wp:anchor>
        </w:drawing>
      </w:r>
    </w:p>
    <w:bookmarkEnd w:id="0"/>
    <w:bookmarkEnd w:id="5"/>
    <w:bookmarkEnd w:id="6"/>
    <w:bookmarkEnd w:id="7"/>
    <w:bookmarkEnd w:id="8"/>
    <w:bookmarkEnd w:id="9"/>
    <w:bookmarkEnd w:id="10"/>
    <w:p w14:paraId="348A5078">
      <w:pPr>
        <w:autoSpaceDE w:val="0"/>
        <w:autoSpaceDN w:val="0"/>
        <w:adjustRightInd w:val="0"/>
        <w:spacing w:line="360" w:lineRule="auto"/>
        <w:ind w:firstLine="800" w:firstLineChars="200"/>
        <w:jc w:val="both"/>
        <w:rPr>
          <w:rFonts w:ascii="黑体" w:hAnsi="黑体" w:eastAsia="黑体" w:cs="Times New Roman"/>
          <w:bCs/>
          <w:sz w:val="40"/>
        </w:rPr>
        <w:sectPr>
          <w:footerReference r:id="rId3" w:type="default"/>
          <w:type w:val="continuous"/>
          <w:pgSz w:w="11906" w:h="16838"/>
          <w:pgMar w:top="1440" w:right="1797" w:bottom="1440" w:left="1797" w:header="794" w:footer="851" w:gutter="0"/>
          <w:pgNumType w:start="1"/>
          <w:cols w:space="282" w:num="1"/>
          <w:docGrid w:type="lines" w:linePitch="326" w:charSpace="0"/>
        </w:sectPr>
      </w:pPr>
    </w:p>
    <w:p w14:paraId="0BBC2411">
      <w:pPr>
        <w:pStyle w:val="1025"/>
        <w:jc w:val="center"/>
        <w:rPr>
          <w:rFonts w:ascii="Times New Roman" w:hAnsi="Times New Roman" w:cs="Times New Roman"/>
          <w:color w:val="auto"/>
        </w:rPr>
      </w:pPr>
      <w:r>
        <w:rPr>
          <w:rFonts w:ascii="Times New Roman" w:hAnsi="Times New Roman" w:cs="Times New Roman"/>
          <w:color w:val="auto"/>
          <w:lang w:val="zh-CN"/>
        </w:rPr>
        <w:t>目 录</w:t>
      </w:r>
    </w:p>
    <w:p w14:paraId="4BC047D0">
      <w:pPr>
        <w:pStyle w:val="58"/>
        <w:tabs>
          <w:tab w:val="right" w:leader="dot" w:pos="8302"/>
        </w:tabs>
        <w:rPr>
          <w:rFonts w:eastAsiaTheme="minorEastAsia" w:cstheme="minorBidi"/>
          <w:b w:val="0"/>
          <w:bCs w:val="0"/>
          <w:caps w:val="0"/>
          <w:kern w:val="2"/>
          <w:sz w:val="21"/>
          <w:szCs w:val="22"/>
        </w:rPr>
      </w:pPr>
      <w:r>
        <w:rPr>
          <w:rFonts w:ascii="Times New Roman" w:hAnsi="Times New Roman" w:cs="Times New Roman"/>
          <w:b w:val="0"/>
          <w:bCs w:val="0"/>
          <w:caps w:val="0"/>
          <w:szCs w:val="21"/>
          <w:lang w:val="zh-CN"/>
        </w:rPr>
        <w:fldChar w:fldCharType="begin"/>
      </w:r>
      <w:r>
        <w:rPr>
          <w:rFonts w:ascii="Times New Roman" w:hAnsi="Times New Roman" w:cs="Times New Roman"/>
          <w:b w:val="0"/>
          <w:bCs w:val="0"/>
          <w:caps w:val="0"/>
          <w:szCs w:val="21"/>
          <w:lang w:val="zh-CN"/>
        </w:rPr>
        <w:instrText xml:space="preserve"> TOC \o "1-2" \h \z \u </w:instrText>
      </w:r>
      <w:r>
        <w:rPr>
          <w:rFonts w:ascii="Times New Roman" w:hAnsi="Times New Roman" w:cs="Times New Roman"/>
          <w:b w:val="0"/>
          <w:bCs w:val="0"/>
          <w:caps w:val="0"/>
          <w:szCs w:val="21"/>
          <w:lang w:val="zh-CN"/>
        </w:rPr>
        <w:fldChar w:fldCharType="separate"/>
      </w:r>
      <w:r>
        <w:fldChar w:fldCharType="begin"/>
      </w:r>
      <w:r>
        <w:instrText xml:space="preserve"> HYPERLINK \l "_Toc187675400" </w:instrText>
      </w:r>
      <w:r>
        <w:fldChar w:fldCharType="separate"/>
      </w:r>
      <w:r>
        <w:rPr>
          <w:rStyle w:val="143"/>
          <w:rFonts w:ascii="Times New Roman" w:hAnsi="Times New Roman" w:cs="Times New Roman"/>
        </w:rPr>
        <w:t>1</w:t>
      </w:r>
      <w:r>
        <w:rPr>
          <w:rStyle w:val="143"/>
          <w:rFonts w:hint="eastAsia" w:ascii="Times New Roman" w:hAnsi="Times New Roman" w:cs="Times New Roman"/>
        </w:rPr>
        <w:t>概述</w:t>
      </w:r>
      <w:r>
        <w:tab/>
      </w:r>
      <w:r>
        <w:fldChar w:fldCharType="begin"/>
      </w:r>
      <w:r>
        <w:instrText xml:space="preserve"> PAGEREF _Toc187675400 \h </w:instrText>
      </w:r>
      <w:r>
        <w:fldChar w:fldCharType="separate"/>
      </w:r>
      <w:r>
        <w:t>1</w:t>
      </w:r>
      <w:r>
        <w:fldChar w:fldCharType="end"/>
      </w:r>
      <w:r>
        <w:fldChar w:fldCharType="end"/>
      </w:r>
    </w:p>
    <w:p w14:paraId="2A8FD3C6">
      <w:pPr>
        <w:pStyle w:val="73"/>
        <w:tabs>
          <w:tab w:val="right" w:leader="dot" w:pos="8302"/>
        </w:tabs>
        <w:rPr>
          <w:rFonts w:eastAsiaTheme="minorEastAsia" w:cstheme="minorBidi"/>
          <w:smallCaps w:val="0"/>
          <w:kern w:val="2"/>
          <w:sz w:val="21"/>
          <w:szCs w:val="22"/>
        </w:rPr>
      </w:pPr>
      <w:r>
        <w:fldChar w:fldCharType="begin"/>
      </w:r>
      <w:r>
        <w:instrText xml:space="preserve"> HYPERLINK \l "_Toc187675401" </w:instrText>
      </w:r>
      <w:r>
        <w:fldChar w:fldCharType="separate"/>
      </w:r>
      <w:r>
        <w:rPr>
          <w:rStyle w:val="143"/>
          <w:rFonts w:ascii="Times New Roman" w:hAnsi="Times New Roman" w:cs="Times New Roman"/>
        </w:rPr>
        <w:t>1.1</w:t>
      </w:r>
      <w:r>
        <w:rPr>
          <w:rStyle w:val="143"/>
          <w:rFonts w:hint="eastAsia" w:ascii="Times New Roman" w:hAnsi="Times New Roman" w:cs="Times New Roman"/>
        </w:rPr>
        <w:t>建设由来</w:t>
      </w:r>
      <w:r>
        <w:tab/>
      </w:r>
      <w:r>
        <w:fldChar w:fldCharType="begin"/>
      </w:r>
      <w:r>
        <w:instrText xml:space="preserve"> PAGEREF _Toc187675401 \h </w:instrText>
      </w:r>
      <w:r>
        <w:fldChar w:fldCharType="separate"/>
      </w:r>
      <w:r>
        <w:t>1</w:t>
      </w:r>
      <w:r>
        <w:fldChar w:fldCharType="end"/>
      </w:r>
      <w:r>
        <w:fldChar w:fldCharType="end"/>
      </w:r>
    </w:p>
    <w:p w14:paraId="6ABC2B45">
      <w:pPr>
        <w:pStyle w:val="73"/>
        <w:tabs>
          <w:tab w:val="right" w:leader="dot" w:pos="8302"/>
        </w:tabs>
        <w:rPr>
          <w:rFonts w:eastAsiaTheme="minorEastAsia" w:cstheme="minorBidi"/>
          <w:smallCaps w:val="0"/>
          <w:kern w:val="2"/>
          <w:sz w:val="21"/>
          <w:szCs w:val="22"/>
        </w:rPr>
      </w:pPr>
      <w:r>
        <w:fldChar w:fldCharType="begin"/>
      </w:r>
      <w:r>
        <w:instrText xml:space="preserve"> HYPERLINK \l "_Toc187675402" </w:instrText>
      </w:r>
      <w:r>
        <w:fldChar w:fldCharType="separate"/>
      </w:r>
      <w:r>
        <w:rPr>
          <w:rStyle w:val="143"/>
          <w:rFonts w:ascii="Times New Roman" w:hAnsi="Times New Roman" w:cs="Times New Roman"/>
        </w:rPr>
        <w:t>1.2</w:t>
      </w:r>
      <w:r>
        <w:rPr>
          <w:rStyle w:val="143"/>
          <w:rFonts w:hint="eastAsia" w:ascii="Times New Roman" w:hAnsi="Times New Roman" w:cs="Times New Roman"/>
        </w:rPr>
        <w:t>项目特点</w:t>
      </w:r>
      <w:r>
        <w:tab/>
      </w:r>
      <w:r>
        <w:fldChar w:fldCharType="begin"/>
      </w:r>
      <w:r>
        <w:instrText xml:space="preserve"> PAGEREF _Toc187675402 \h </w:instrText>
      </w:r>
      <w:r>
        <w:fldChar w:fldCharType="separate"/>
      </w:r>
      <w:r>
        <w:t>1</w:t>
      </w:r>
      <w:r>
        <w:fldChar w:fldCharType="end"/>
      </w:r>
      <w:r>
        <w:fldChar w:fldCharType="end"/>
      </w:r>
    </w:p>
    <w:p w14:paraId="4FD4D5D3">
      <w:pPr>
        <w:pStyle w:val="73"/>
        <w:tabs>
          <w:tab w:val="right" w:leader="dot" w:pos="8302"/>
        </w:tabs>
        <w:rPr>
          <w:rFonts w:eastAsiaTheme="minorEastAsia" w:cstheme="minorBidi"/>
          <w:smallCaps w:val="0"/>
          <w:kern w:val="2"/>
          <w:sz w:val="21"/>
          <w:szCs w:val="22"/>
        </w:rPr>
      </w:pPr>
      <w:r>
        <w:fldChar w:fldCharType="begin"/>
      </w:r>
      <w:r>
        <w:instrText xml:space="preserve"> HYPERLINK \l "_Toc187675403" </w:instrText>
      </w:r>
      <w:r>
        <w:fldChar w:fldCharType="separate"/>
      </w:r>
      <w:r>
        <w:rPr>
          <w:rStyle w:val="143"/>
          <w:rFonts w:ascii="Times New Roman" w:hAnsi="Times New Roman" w:cs="Times New Roman"/>
        </w:rPr>
        <w:t>1.3</w:t>
      </w:r>
      <w:r>
        <w:rPr>
          <w:rStyle w:val="143"/>
          <w:rFonts w:hint="eastAsia" w:ascii="Times New Roman" w:hAnsi="Times New Roman" w:cs="Times New Roman"/>
        </w:rPr>
        <w:t>环境影响评价的工作过程</w:t>
      </w:r>
      <w:r>
        <w:tab/>
      </w:r>
      <w:r>
        <w:fldChar w:fldCharType="begin"/>
      </w:r>
      <w:r>
        <w:instrText xml:space="preserve"> PAGEREF _Toc187675403 \h </w:instrText>
      </w:r>
      <w:r>
        <w:fldChar w:fldCharType="separate"/>
      </w:r>
      <w:r>
        <w:t>2</w:t>
      </w:r>
      <w:r>
        <w:fldChar w:fldCharType="end"/>
      </w:r>
      <w:r>
        <w:fldChar w:fldCharType="end"/>
      </w:r>
    </w:p>
    <w:p w14:paraId="331BDEBD">
      <w:pPr>
        <w:pStyle w:val="73"/>
        <w:tabs>
          <w:tab w:val="right" w:leader="dot" w:pos="8302"/>
        </w:tabs>
        <w:rPr>
          <w:rFonts w:eastAsiaTheme="minorEastAsia" w:cstheme="minorBidi"/>
          <w:smallCaps w:val="0"/>
          <w:kern w:val="2"/>
          <w:sz w:val="21"/>
          <w:szCs w:val="22"/>
        </w:rPr>
      </w:pPr>
      <w:r>
        <w:fldChar w:fldCharType="begin"/>
      </w:r>
      <w:r>
        <w:instrText xml:space="preserve"> HYPERLINK \l "_Toc187675404" </w:instrText>
      </w:r>
      <w:r>
        <w:fldChar w:fldCharType="separate"/>
      </w:r>
      <w:r>
        <w:rPr>
          <w:rStyle w:val="143"/>
          <w:rFonts w:ascii="Times New Roman" w:hAnsi="Times New Roman" w:cs="Times New Roman"/>
        </w:rPr>
        <w:t>1.4</w:t>
      </w:r>
      <w:r>
        <w:rPr>
          <w:rStyle w:val="143"/>
          <w:rFonts w:hint="eastAsia" w:ascii="Times New Roman" w:hAnsi="Times New Roman" w:cs="Times New Roman"/>
        </w:rPr>
        <w:t>分析判定相关情况</w:t>
      </w:r>
      <w:r>
        <w:tab/>
      </w:r>
      <w:r>
        <w:fldChar w:fldCharType="begin"/>
      </w:r>
      <w:r>
        <w:instrText xml:space="preserve"> PAGEREF _Toc187675404 \h </w:instrText>
      </w:r>
      <w:r>
        <w:fldChar w:fldCharType="separate"/>
      </w:r>
      <w:r>
        <w:t>3</w:t>
      </w:r>
      <w:r>
        <w:fldChar w:fldCharType="end"/>
      </w:r>
      <w:r>
        <w:fldChar w:fldCharType="end"/>
      </w:r>
    </w:p>
    <w:p w14:paraId="4F3CBF64">
      <w:pPr>
        <w:pStyle w:val="73"/>
        <w:tabs>
          <w:tab w:val="right" w:leader="dot" w:pos="8302"/>
        </w:tabs>
        <w:rPr>
          <w:rFonts w:eastAsiaTheme="minorEastAsia" w:cstheme="minorBidi"/>
          <w:smallCaps w:val="0"/>
          <w:kern w:val="2"/>
          <w:sz w:val="21"/>
          <w:szCs w:val="22"/>
        </w:rPr>
      </w:pPr>
      <w:r>
        <w:fldChar w:fldCharType="begin"/>
      </w:r>
      <w:r>
        <w:instrText xml:space="preserve"> HYPERLINK \l "_Toc187675405" </w:instrText>
      </w:r>
      <w:r>
        <w:fldChar w:fldCharType="separate"/>
      </w:r>
      <w:r>
        <w:rPr>
          <w:rStyle w:val="143"/>
          <w:rFonts w:ascii="Times New Roman" w:hAnsi="Times New Roman" w:cs="Times New Roman"/>
        </w:rPr>
        <w:t>1.5</w:t>
      </w:r>
      <w:r>
        <w:rPr>
          <w:rStyle w:val="143"/>
          <w:rFonts w:hint="eastAsia" w:ascii="Times New Roman" w:hAnsi="Times New Roman" w:cs="Times New Roman"/>
        </w:rPr>
        <w:t>关注的主要环境问题</w:t>
      </w:r>
      <w:r>
        <w:tab/>
      </w:r>
      <w:r>
        <w:fldChar w:fldCharType="begin"/>
      </w:r>
      <w:r>
        <w:instrText xml:space="preserve"> PAGEREF _Toc187675405 \h </w:instrText>
      </w:r>
      <w:r>
        <w:fldChar w:fldCharType="separate"/>
      </w:r>
      <w:r>
        <w:t>12</w:t>
      </w:r>
      <w:r>
        <w:fldChar w:fldCharType="end"/>
      </w:r>
      <w:r>
        <w:fldChar w:fldCharType="end"/>
      </w:r>
    </w:p>
    <w:p w14:paraId="68874B26">
      <w:pPr>
        <w:pStyle w:val="73"/>
        <w:tabs>
          <w:tab w:val="right" w:leader="dot" w:pos="8302"/>
        </w:tabs>
        <w:rPr>
          <w:rFonts w:eastAsiaTheme="minorEastAsia" w:cstheme="minorBidi"/>
          <w:smallCaps w:val="0"/>
          <w:kern w:val="2"/>
          <w:sz w:val="21"/>
          <w:szCs w:val="22"/>
        </w:rPr>
      </w:pPr>
      <w:r>
        <w:fldChar w:fldCharType="begin"/>
      </w:r>
      <w:r>
        <w:instrText xml:space="preserve"> HYPERLINK \l "_Toc187675406" </w:instrText>
      </w:r>
      <w:r>
        <w:fldChar w:fldCharType="separate"/>
      </w:r>
      <w:r>
        <w:rPr>
          <w:rStyle w:val="143"/>
          <w:rFonts w:ascii="Times New Roman" w:hAnsi="Times New Roman" w:cs="Times New Roman"/>
        </w:rPr>
        <w:t>1.6</w:t>
      </w:r>
      <w:r>
        <w:rPr>
          <w:rStyle w:val="143"/>
          <w:rFonts w:hint="eastAsia" w:ascii="Times New Roman" w:hAnsi="Times New Roman" w:cs="Times New Roman"/>
        </w:rPr>
        <w:t>环境影响评价的主要结论</w:t>
      </w:r>
      <w:r>
        <w:tab/>
      </w:r>
      <w:r>
        <w:fldChar w:fldCharType="begin"/>
      </w:r>
      <w:r>
        <w:instrText xml:space="preserve"> PAGEREF _Toc187675406 \h </w:instrText>
      </w:r>
      <w:r>
        <w:fldChar w:fldCharType="separate"/>
      </w:r>
      <w:r>
        <w:t>12</w:t>
      </w:r>
      <w:r>
        <w:fldChar w:fldCharType="end"/>
      </w:r>
      <w:r>
        <w:fldChar w:fldCharType="end"/>
      </w:r>
    </w:p>
    <w:p w14:paraId="295AD942">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"_Toc187675407" </w:instrText>
      </w:r>
      <w:r>
        <w:fldChar w:fldCharType="separate"/>
      </w:r>
      <w:r>
        <w:rPr>
          <w:rStyle w:val="143"/>
          <w:rFonts w:ascii="Times New Roman" w:hAnsi="Times New Roman" w:cs="Times New Roman"/>
        </w:rPr>
        <w:t>2</w:t>
      </w:r>
      <w:r>
        <w:rPr>
          <w:rStyle w:val="143"/>
          <w:rFonts w:hint="eastAsia" w:ascii="Times New Roman" w:hAnsi="Times New Roman" w:cs="Times New Roman"/>
        </w:rPr>
        <w:t>总则</w:t>
      </w:r>
      <w:r>
        <w:tab/>
      </w:r>
      <w:r>
        <w:fldChar w:fldCharType="begin"/>
      </w:r>
      <w:r>
        <w:instrText xml:space="preserve"> PAGEREF _Toc187675407 \h </w:instrText>
      </w:r>
      <w:r>
        <w:fldChar w:fldCharType="separate"/>
      </w:r>
      <w:r>
        <w:t>12</w:t>
      </w:r>
      <w:r>
        <w:fldChar w:fldCharType="end"/>
      </w:r>
      <w:r>
        <w:fldChar w:fldCharType="end"/>
      </w:r>
    </w:p>
    <w:p w14:paraId="1D4D7466">
      <w:pPr>
        <w:pStyle w:val="73"/>
        <w:tabs>
          <w:tab w:val="right" w:leader="dot" w:pos="8302"/>
        </w:tabs>
        <w:rPr>
          <w:rFonts w:eastAsiaTheme="minorEastAsia" w:cstheme="minorBidi"/>
          <w:smallCaps w:val="0"/>
          <w:kern w:val="2"/>
          <w:sz w:val="21"/>
          <w:szCs w:val="22"/>
        </w:rPr>
      </w:pPr>
      <w:r>
        <w:fldChar w:fldCharType="begin"/>
      </w:r>
      <w:r>
        <w:instrText xml:space="preserve"> HYPERLINK \l "_Toc187675408" </w:instrText>
      </w:r>
      <w:r>
        <w:fldChar w:fldCharType="separate"/>
      </w:r>
      <w:r>
        <w:rPr>
          <w:rStyle w:val="143"/>
          <w:rFonts w:ascii="Times New Roman" w:hAnsi="Times New Roman" w:cs="Times New Roman"/>
        </w:rPr>
        <w:t>2.1</w:t>
      </w:r>
      <w:r>
        <w:rPr>
          <w:rStyle w:val="143"/>
          <w:rFonts w:hint="eastAsia" w:ascii="Times New Roman" w:hAnsi="Times New Roman" w:cs="Times New Roman"/>
        </w:rPr>
        <w:t>编制依据</w:t>
      </w:r>
      <w:r>
        <w:tab/>
      </w:r>
      <w:r>
        <w:fldChar w:fldCharType="begin"/>
      </w:r>
      <w:r>
        <w:instrText xml:space="preserve"> PAGEREF _Toc187675408 \h </w:instrText>
      </w:r>
      <w:r>
        <w:fldChar w:fldCharType="separate"/>
      </w:r>
      <w:r>
        <w:t>14</w:t>
      </w:r>
      <w:r>
        <w:fldChar w:fldCharType="end"/>
      </w:r>
      <w:r>
        <w:fldChar w:fldCharType="end"/>
      </w:r>
    </w:p>
    <w:p w14:paraId="3F77221B">
      <w:pPr>
        <w:pStyle w:val="73"/>
        <w:tabs>
          <w:tab w:val="right" w:leader="dot" w:pos="8302"/>
        </w:tabs>
        <w:rPr>
          <w:rFonts w:eastAsiaTheme="minorEastAsia" w:cstheme="minorBidi"/>
          <w:smallCaps w:val="0"/>
          <w:kern w:val="2"/>
          <w:sz w:val="21"/>
          <w:szCs w:val="22"/>
        </w:rPr>
      </w:pPr>
      <w:r>
        <w:fldChar w:fldCharType="begin"/>
      </w:r>
      <w:r>
        <w:instrText xml:space="preserve"> HYPERLINK \l "_Toc187675409" </w:instrText>
      </w:r>
      <w:r>
        <w:fldChar w:fldCharType="separate"/>
      </w:r>
      <w:r>
        <w:rPr>
          <w:rStyle w:val="143"/>
          <w:rFonts w:ascii="Times New Roman" w:hAnsi="Times New Roman" w:cs="Times New Roman"/>
        </w:rPr>
        <w:t>2.2</w:t>
      </w:r>
      <w:r>
        <w:rPr>
          <w:rStyle w:val="143"/>
          <w:rFonts w:hint="eastAsia" w:ascii="Times New Roman" w:hAnsi="Times New Roman" w:cs="Times New Roman"/>
        </w:rPr>
        <w:t>环境影响因素识别和评价因子筛选</w:t>
      </w:r>
      <w:r>
        <w:tab/>
      </w:r>
      <w:r>
        <w:fldChar w:fldCharType="begin"/>
      </w:r>
      <w:r>
        <w:instrText xml:space="preserve"> PAGEREF _Toc187675409 \h </w:instrText>
      </w:r>
      <w:r>
        <w:fldChar w:fldCharType="separate"/>
      </w:r>
      <w:r>
        <w:t>17</w:t>
      </w:r>
      <w:r>
        <w:fldChar w:fldCharType="end"/>
      </w:r>
      <w:r>
        <w:fldChar w:fldCharType="end"/>
      </w:r>
    </w:p>
    <w:p w14:paraId="5864305C">
      <w:pPr>
        <w:pStyle w:val="73"/>
        <w:tabs>
          <w:tab w:val="right" w:leader="dot" w:pos="8302"/>
        </w:tabs>
        <w:rPr>
          <w:rFonts w:eastAsiaTheme="minorEastAsia" w:cstheme="minorBidi"/>
          <w:smallCaps w:val="0"/>
          <w:kern w:val="2"/>
          <w:sz w:val="21"/>
          <w:szCs w:val="22"/>
        </w:rPr>
      </w:pPr>
      <w:r>
        <w:fldChar w:fldCharType="begin"/>
      </w:r>
      <w:r>
        <w:instrText xml:space="preserve"> HYPERLINK \l "_Toc187675410" </w:instrText>
      </w:r>
      <w:r>
        <w:fldChar w:fldCharType="separate"/>
      </w:r>
      <w:r>
        <w:rPr>
          <w:rStyle w:val="143"/>
          <w:rFonts w:ascii="Times New Roman" w:hAnsi="Times New Roman" w:cs="Times New Roman"/>
        </w:rPr>
        <w:t>2.3</w:t>
      </w:r>
      <w:r>
        <w:rPr>
          <w:rStyle w:val="143"/>
          <w:rFonts w:hint="eastAsia" w:ascii="Times New Roman" w:hAnsi="Times New Roman" w:cs="Times New Roman"/>
        </w:rPr>
        <w:t>环境功能区划和评价标准</w:t>
      </w:r>
      <w:r>
        <w:tab/>
      </w:r>
      <w:r>
        <w:fldChar w:fldCharType="begin"/>
      </w:r>
      <w:r>
        <w:instrText xml:space="preserve"> PAGEREF _Toc187675410 \h </w:instrText>
      </w:r>
      <w:r>
        <w:fldChar w:fldCharType="separate"/>
      </w:r>
      <w:r>
        <w:t>18</w:t>
      </w:r>
      <w:r>
        <w:fldChar w:fldCharType="end"/>
      </w:r>
      <w:r>
        <w:fldChar w:fldCharType="end"/>
      </w:r>
    </w:p>
    <w:p w14:paraId="16A02F5D">
      <w:pPr>
        <w:pStyle w:val="73"/>
        <w:tabs>
          <w:tab w:val="right" w:leader="dot" w:pos="8302"/>
        </w:tabs>
        <w:rPr>
          <w:rFonts w:eastAsiaTheme="minorEastAsia" w:cstheme="minorBidi"/>
          <w:smallCaps w:val="0"/>
          <w:kern w:val="2"/>
          <w:sz w:val="21"/>
          <w:szCs w:val="22"/>
        </w:rPr>
      </w:pPr>
      <w:r>
        <w:fldChar w:fldCharType="begin"/>
      </w:r>
      <w:r>
        <w:instrText xml:space="preserve"> HYPERLINK \l "_Toc187675411" </w:instrText>
      </w:r>
      <w:r>
        <w:fldChar w:fldCharType="separate"/>
      </w:r>
      <w:r>
        <w:rPr>
          <w:rStyle w:val="143"/>
          <w:rFonts w:ascii="Times New Roman" w:hAnsi="Times New Roman" w:cs="Times New Roman"/>
        </w:rPr>
        <w:t>2.4</w:t>
      </w:r>
      <w:r>
        <w:rPr>
          <w:rStyle w:val="143"/>
          <w:rFonts w:hint="eastAsia" w:ascii="Times New Roman" w:hAnsi="Times New Roman" w:cs="Times New Roman"/>
        </w:rPr>
        <w:t>评价工作等级和评价范围</w:t>
      </w:r>
      <w:r>
        <w:tab/>
      </w:r>
      <w:r>
        <w:fldChar w:fldCharType="begin"/>
      </w:r>
      <w:r>
        <w:instrText xml:space="preserve"> PAGEREF _Toc187675411 \h </w:instrText>
      </w:r>
      <w:r>
        <w:fldChar w:fldCharType="separate"/>
      </w:r>
      <w:r>
        <w:t>24</w:t>
      </w:r>
      <w:r>
        <w:fldChar w:fldCharType="end"/>
      </w:r>
      <w:r>
        <w:fldChar w:fldCharType="end"/>
      </w:r>
    </w:p>
    <w:p w14:paraId="1A45B284">
      <w:pPr>
        <w:pStyle w:val="73"/>
        <w:tabs>
          <w:tab w:val="right" w:leader="dot" w:pos="8302"/>
        </w:tabs>
        <w:rPr>
          <w:rFonts w:eastAsiaTheme="minorEastAsia" w:cstheme="minorBidi"/>
          <w:smallCaps w:val="0"/>
          <w:kern w:val="2"/>
          <w:sz w:val="21"/>
          <w:szCs w:val="22"/>
        </w:rPr>
      </w:pPr>
      <w:r>
        <w:fldChar w:fldCharType="begin"/>
      </w:r>
      <w:r>
        <w:instrText xml:space="preserve"> HYPERLINK \l "_Toc187675412" </w:instrText>
      </w:r>
      <w:r>
        <w:fldChar w:fldCharType="separate"/>
      </w:r>
      <w:r>
        <w:rPr>
          <w:rStyle w:val="143"/>
          <w:rFonts w:ascii="Times New Roman" w:hAnsi="Times New Roman" w:cs="Times New Roman"/>
        </w:rPr>
        <w:t>2.5</w:t>
      </w:r>
      <w:r>
        <w:rPr>
          <w:rStyle w:val="143"/>
          <w:rFonts w:hint="eastAsia" w:ascii="Times New Roman" w:hAnsi="Times New Roman" w:cs="Times New Roman"/>
        </w:rPr>
        <w:t>主要环境保护目标</w:t>
      </w:r>
      <w:r>
        <w:tab/>
      </w:r>
      <w:r>
        <w:fldChar w:fldCharType="begin"/>
      </w:r>
      <w:r>
        <w:instrText xml:space="preserve"> PAGEREF _Toc187675412 \h </w:instrText>
      </w:r>
      <w:r>
        <w:fldChar w:fldCharType="separate"/>
      </w:r>
      <w:r>
        <w:t>27</w:t>
      </w:r>
      <w:r>
        <w:fldChar w:fldCharType="end"/>
      </w:r>
      <w:r>
        <w:fldChar w:fldCharType="end"/>
      </w:r>
    </w:p>
    <w:p w14:paraId="7EDE4079">
      <w:pPr>
        <w:pStyle w:val="73"/>
        <w:tabs>
          <w:tab w:val="right" w:leader="dot" w:pos="8302"/>
        </w:tabs>
        <w:rPr>
          <w:rFonts w:eastAsiaTheme="minorEastAsia" w:cstheme="minorBidi"/>
          <w:smallCaps w:val="0"/>
          <w:kern w:val="2"/>
          <w:sz w:val="21"/>
          <w:szCs w:val="22"/>
        </w:rPr>
      </w:pPr>
      <w:r>
        <w:fldChar w:fldCharType="begin"/>
      </w:r>
      <w:r>
        <w:instrText xml:space="preserve"> HYPERLINK \l "_Toc187675413" </w:instrText>
      </w:r>
      <w:r>
        <w:fldChar w:fldCharType="separate"/>
      </w:r>
      <w:r>
        <w:rPr>
          <w:rStyle w:val="143"/>
          <w:rFonts w:ascii="Times New Roman" w:hAnsi="Times New Roman" w:cs="Times New Roman"/>
        </w:rPr>
        <w:t>2.6</w:t>
      </w:r>
      <w:r>
        <w:rPr>
          <w:rStyle w:val="143"/>
          <w:rFonts w:hint="eastAsia" w:ascii="Times New Roman" w:hAnsi="Times New Roman" w:cs="Times New Roman"/>
        </w:rPr>
        <w:t>评价重点</w:t>
      </w:r>
      <w:r>
        <w:tab/>
      </w:r>
      <w:r>
        <w:fldChar w:fldCharType="begin"/>
      </w:r>
      <w:r>
        <w:instrText xml:space="preserve"> PAGEREF _Toc187675413 \h </w:instrText>
      </w:r>
      <w:r>
        <w:fldChar w:fldCharType="separate"/>
      </w:r>
      <w:r>
        <w:t>29</w:t>
      </w:r>
      <w:r>
        <w:fldChar w:fldCharType="end"/>
      </w:r>
      <w:r>
        <w:fldChar w:fldCharType="end"/>
      </w:r>
    </w:p>
    <w:p w14:paraId="2F5C6FF3">
      <w:pPr>
        <w:pStyle w:val="73"/>
        <w:tabs>
          <w:tab w:val="right" w:leader="dot" w:pos="8302"/>
        </w:tabs>
        <w:rPr>
          <w:rFonts w:eastAsiaTheme="minorEastAsia" w:cstheme="minorBidi"/>
          <w:smallCaps w:val="0"/>
          <w:kern w:val="2"/>
          <w:sz w:val="21"/>
          <w:szCs w:val="22"/>
        </w:rPr>
      </w:pPr>
      <w:r>
        <w:fldChar w:fldCharType="begin"/>
      </w:r>
      <w:r>
        <w:instrText xml:space="preserve"> HYPERLINK \l "_Toc187675414" </w:instrText>
      </w:r>
      <w:r>
        <w:fldChar w:fldCharType="separate"/>
      </w:r>
      <w:r>
        <w:rPr>
          <w:rStyle w:val="143"/>
          <w:rFonts w:ascii="Times New Roman" w:hAnsi="Times New Roman" w:cs="Times New Roman"/>
        </w:rPr>
        <w:t>2.7</w:t>
      </w:r>
      <w:r>
        <w:rPr>
          <w:rStyle w:val="143"/>
          <w:rFonts w:hint="eastAsia" w:ascii="Times New Roman" w:hAnsi="Times New Roman" w:cs="Times New Roman"/>
        </w:rPr>
        <w:t>评价时段</w:t>
      </w:r>
      <w:r>
        <w:tab/>
      </w:r>
      <w:r>
        <w:fldChar w:fldCharType="begin"/>
      </w:r>
      <w:r>
        <w:instrText xml:space="preserve"> PAGEREF _Toc187675414 \h </w:instrText>
      </w:r>
      <w:r>
        <w:fldChar w:fldCharType="separate"/>
      </w:r>
      <w:r>
        <w:t>29</w:t>
      </w:r>
      <w:r>
        <w:fldChar w:fldCharType="end"/>
      </w:r>
      <w:r>
        <w:fldChar w:fldCharType="end"/>
      </w:r>
    </w:p>
    <w:p w14:paraId="083F78D9">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"_Toc187675415" </w:instrText>
      </w:r>
      <w:r>
        <w:fldChar w:fldCharType="separate"/>
      </w:r>
      <w:r>
        <w:rPr>
          <w:rStyle w:val="143"/>
          <w:rFonts w:ascii="Times New Roman" w:hAnsi="Times New Roman" w:cs="Times New Roman"/>
        </w:rPr>
        <w:t>3</w:t>
      </w:r>
      <w:r>
        <w:rPr>
          <w:rStyle w:val="143"/>
          <w:rFonts w:hint="eastAsia" w:ascii="Times New Roman" w:hAnsi="Times New Roman" w:cs="Times New Roman"/>
        </w:rPr>
        <w:t>工程概况与工程分析</w:t>
      </w:r>
      <w:r>
        <w:tab/>
      </w:r>
      <w:r>
        <w:fldChar w:fldCharType="begin"/>
      </w:r>
      <w:r>
        <w:instrText xml:space="preserve"> PAGEREF _Toc187675415 \h </w:instrText>
      </w:r>
      <w:r>
        <w:fldChar w:fldCharType="separate"/>
      </w:r>
      <w:r>
        <w:t>30</w:t>
      </w:r>
      <w:r>
        <w:fldChar w:fldCharType="end"/>
      </w:r>
      <w:r>
        <w:fldChar w:fldCharType="end"/>
      </w:r>
    </w:p>
    <w:p w14:paraId="060BDFD2">
      <w:pPr>
        <w:pStyle w:val="73"/>
        <w:tabs>
          <w:tab w:val="right" w:leader="dot" w:pos="8302"/>
        </w:tabs>
        <w:rPr>
          <w:rFonts w:eastAsiaTheme="minorEastAsia" w:cstheme="minorBidi"/>
          <w:smallCaps w:val="0"/>
          <w:kern w:val="2"/>
          <w:sz w:val="21"/>
          <w:szCs w:val="22"/>
        </w:rPr>
      </w:pPr>
      <w:r>
        <w:fldChar w:fldCharType="begin"/>
      </w:r>
      <w:r>
        <w:instrText xml:space="preserve"> HYPERLINK \l "_Toc187675416" </w:instrText>
      </w:r>
      <w:r>
        <w:fldChar w:fldCharType="separate"/>
      </w:r>
      <w:r>
        <w:rPr>
          <w:rStyle w:val="143"/>
          <w:rFonts w:ascii="Times New Roman" w:hAnsi="Times New Roman" w:cs="Times New Roman"/>
        </w:rPr>
        <w:t>3.1</w:t>
      </w:r>
      <w:r>
        <w:rPr>
          <w:rStyle w:val="143"/>
          <w:rFonts w:hint="eastAsia" w:ascii="Times New Roman" w:hAnsi="Times New Roman" w:cs="Times New Roman"/>
        </w:rPr>
        <w:t>工程概况</w:t>
      </w:r>
      <w:r>
        <w:tab/>
      </w:r>
      <w:r>
        <w:fldChar w:fldCharType="begin"/>
      </w:r>
      <w:r>
        <w:instrText xml:space="preserve"> PAGEREF _Toc187675416 \h </w:instrText>
      </w:r>
      <w:r>
        <w:fldChar w:fldCharType="separate"/>
      </w:r>
      <w:r>
        <w:t>30</w:t>
      </w:r>
      <w:r>
        <w:fldChar w:fldCharType="end"/>
      </w:r>
      <w:r>
        <w:fldChar w:fldCharType="end"/>
      </w:r>
    </w:p>
    <w:p w14:paraId="10963D9B">
      <w:pPr>
        <w:pStyle w:val="73"/>
        <w:tabs>
          <w:tab w:val="right" w:leader="dot" w:pos="8302"/>
        </w:tabs>
        <w:rPr>
          <w:rFonts w:eastAsiaTheme="minorEastAsia" w:cstheme="minorBidi"/>
          <w:smallCaps w:val="0"/>
          <w:kern w:val="2"/>
          <w:sz w:val="21"/>
          <w:szCs w:val="22"/>
        </w:rPr>
      </w:pPr>
      <w:r>
        <w:fldChar w:fldCharType="begin"/>
      </w:r>
      <w:r>
        <w:instrText xml:space="preserve"> HYPERLINK \l "_Toc187675417" </w:instrText>
      </w:r>
      <w:r>
        <w:fldChar w:fldCharType="separate"/>
      </w:r>
      <w:r>
        <w:rPr>
          <w:rStyle w:val="143"/>
          <w:rFonts w:ascii="Times New Roman" w:hAnsi="Times New Roman" w:cs="Times New Roman"/>
        </w:rPr>
        <w:t>3.2</w:t>
      </w:r>
      <w:r>
        <w:rPr>
          <w:rStyle w:val="143"/>
          <w:rFonts w:hint="eastAsia" w:ascii="Times New Roman" w:hAnsi="Times New Roman" w:cs="Times New Roman"/>
        </w:rPr>
        <w:t>工程分析</w:t>
      </w:r>
      <w:r>
        <w:tab/>
      </w:r>
      <w:r>
        <w:fldChar w:fldCharType="begin"/>
      </w:r>
      <w:r>
        <w:instrText xml:space="preserve"> PAGEREF _Toc187675417 \h </w:instrText>
      </w:r>
      <w:r>
        <w:fldChar w:fldCharType="separate"/>
      </w:r>
      <w:r>
        <w:t>46</w:t>
      </w:r>
      <w:r>
        <w:fldChar w:fldCharType="end"/>
      </w:r>
      <w:r>
        <w:fldChar w:fldCharType="end"/>
      </w:r>
    </w:p>
    <w:p w14:paraId="6EC60D44">
      <w:pPr>
        <w:pStyle w:val="73"/>
        <w:tabs>
          <w:tab w:val="right" w:leader="dot" w:pos="8302"/>
        </w:tabs>
        <w:rPr>
          <w:rFonts w:eastAsiaTheme="minorEastAsia" w:cstheme="minorBidi"/>
          <w:smallCaps w:val="0"/>
          <w:kern w:val="2"/>
          <w:sz w:val="21"/>
          <w:szCs w:val="22"/>
        </w:rPr>
      </w:pPr>
      <w:r>
        <w:fldChar w:fldCharType="begin"/>
      </w:r>
      <w:r>
        <w:instrText xml:space="preserve"> HYPERLINK \l "_Toc187675418" </w:instrText>
      </w:r>
      <w:r>
        <w:fldChar w:fldCharType="separate"/>
      </w:r>
      <w:r>
        <w:rPr>
          <w:rStyle w:val="143"/>
          <w:rFonts w:ascii="Times New Roman" w:hAnsi="Times New Roman" w:cs="Times New Roman"/>
        </w:rPr>
        <w:t>3.3</w:t>
      </w:r>
      <w:r>
        <w:rPr>
          <w:rStyle w:val="143"/>
          <w:rFonts w:hint="eastAsia" w:ascii="Times New Roman" w:hAnsi="Times New Roman" w:cs="Times New Roman"/>
        </w:rPr>
        <w:t>选线选址环境合理性分析</w:t>
      </w:r>
      <w:r>
        <w:tab/>
      </w:r>
      <w:r>
        <w:fldChar w:fldCharType="begin"/>
      </w:r>
      <w:r>
        <w:instrText xml:space="preserve"> PAGEREF _Toc187675418 \h </w:instrText>
      </w:r>
      <w:r>
        <w:fldChar w:fldCharType="separate"/>
      </w:r>
      <w:r>
        <w:t>56</w:t>
      </w:r>
      <w:r>
        <w:fldChar w:fldCharType="end"/>
      </w:r>
      <w:r>
        <w:fldChar w:fldCharType="end"/>
      </w:r>
    </w:p>
    <w:p w14:paraId="3EF7DF1E">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"_Toc187675419" </w:instrText>
      </w:r>
      <w:r>
        <w:fldChar w:fldCharType="separate"/>
      </w:r>
      <w:r>
        <w:rPr>
          <w:rStyle w:val="143"/>
          <w:rFonts w:ascii="Times New Roman" w:hAnsi="Times New Roman" w:cs="Times New Roman"/>
        </w:rPr>
        <w:t>4</w:t>
      </w:r>
      <w:r>
        <w:rPr>
          <w:rStyle w:val="143"/>
          <w:rFonts w:hint="eastAsia" w:ascii="Times New Roman" w:hAnsi="Times New Roman" w:cs="Times New Roman"/>
        </w:rPr>
        <w:t>环境现状调查与评价</w:t>
      </w:r>
      <w:r>
        <w:tab/>
      </w:r>
      <w:r>
        <w:fldChar w:fldCharType="begin"/>
      </w:r>
      <w:r>
        <w:instrText xml:space="preserve"> PAGEREF _Toc187675419 \h </w:instrText>
      </w:r>
      <w:r>
        <w:fldChar w:fldCharType="separate"/>
      </w:r>
      <w:r>
        <w:t>63</w:t>
      </w:r>
      <w:r>
        <w:fldChar w:fldCharType="end"/>
      </w:r>
      <w:r>
        <w:fldChar w:fldCharType="end"/>
      </w:r>
    </w:p>
    <w:p w14:paraId="46374DA7">
      <w:pPr>
        <w:pStyle w:val="73"/>
        <w:tabs>
          <w:tab w:val="right" w:leader="dot" w:pos="8302"/>
        </w:tabs>
        <w:rPr>
          <w:rFonts w:eastAsiaTheme="minorEastAsia" w:cstheme="minorBidi"/>
          <w:smallCaps w:val="0"/>
          <w:kern w:val="2"/>
          <w:sz w:val="21"/>
          <w:szCs w:val="22"/>
        </w:rPr>
      </w:pPr>
      <w:r>
        <w:fldChar w:fldCharType="begin"/>
      </w:r>
      <w:r>
        <w:instrText xml:space="preserve"> HYPERLINK \l "_Toc187675420" </w:instrText>
      </w:r>
      <w:r>
        <w:fldChar w:fldCharType="separate"/>
      </w:r>
      <w:r>
        <w:rPr>
          <w:rStyle w:val="143"/>
          <w:rFonts w:ascii="Times New Roman" w:hAnsi="Times New Roman" w:cs="Times New Roman"/>
        </w:rPr>
        <w:t>4.1</w:t>
      </w:r>
      <w:r>
        <w:rPr>
          <w:rStyle w:val="143"/>
          <w:rFonts w:hint="eastAsia" w:ascii="Times New Roman" w:hAnsi="Times New Roman" w:cs="Times New Roman"/>
        </w:rPr>
        <w:t>自然环境现状调查与评价</w:t>
      </w:r>
      <w:r>
        <w:tab/>
      </w:r>
      <w:r>
        <w:fldChar w:fldCharType="begin"/>
      </w:r>
      <w:r>
        <w:instrText xml:space="preserve"> PAGEREF _Toc187675420 \h </w:instrText>
      </w:r>
      <w:r>
        <w:fldChar w:fldCharType="separate"/>
      </w:r>
      <w:r>
        <w:t>63</w:t>
      </w:r>
      <w:r>
        <w:fldChar w:fldCharType="end"/>
      </w:r>
      <w:r>
        <w:fldChar w:fldCharType="end"/>
      </w:r>
    </w:p>
    <w:p w14:paraId="52AACBA5">
      <w:pPr>
        <w:pStyle w:val="73"/>
        <w:tabs>
          <w:tab w:val="right" w:leader="dot" w:pos="8302"/>
        </w:tabs>
        <w:rPr>
          <w:rFonts w:eastAsiaTheme="minorEastAsia" w:cstheme="minorBidi"/>
          <w:smallCaps w:val="0"/>
          <w:kern w:val="2"/>
          <w:sz w:val="21"/>
          <w:szCs w:val="22"/>
        </w:rPr>
      </w:pPr>
      <w:r>
        <w:fldChar w:fldCharType="begin"/>
      </w:r>
      <w:r>
        <w:instrText xml:space="preserve"> HYPERLINK \l "_Toc187675421" </w:instrText>
      </w:r>
      <w:r>
        <w:fldChar w:fldCharType="separate"/>
      </w:r>
      <w:r>
        <w:rPr>
          <w:rStyle w:val="143"/>
          <w:rFonts w:ascii="Times New Roman" w:hAnsi="Times New Roman" w:cs="Times New Roman"/>
        </w:rPr>
        <w:t>4.2</w:t>
      </w:r>
      <w:r>
        <w:rPr>
          <w:rStyle w:val="143"/>
          <w:rFonts w:hint="eastAsia" w:ascii="Times New Roman" w:hAnsi="Times New Roman" w:cs="Times New Roman"/>
        </w:rPr>
        <w:t>生态环境调查及评价</w:t>
      </w:r>
      <w:r>
        <w:tab/>
      </w:r>
      <w:r>
        <w:fldChar w:fldCharType="begin"/>
      </w:r>
      <w:r>
        <w:instrText xml:space="preserve"> PAGEREF _Toc187675421 \h </w:instrText>
      </w:r>
      <w:r>
        <w:fldChar w:fldCharType="separate"/>
      </w:r>
      <w:r>
        <w:t>71</w:t>
      </w:r>
      <w:r>
        <w:fldChar w:fldCharType="end"/>
      </w:r>
      <w:r>
        <w:fldChar w:fldCharType="end"/>
      </w:r>
    </w:p>
    <w:p w14:paraId="7D5359D2">
      <w:pPr>
        <w:pStyle w:val="73"/>
        <w:tabs>
          <w:tab w:val="right" w:leader="dot" w:pos="8302"/>
        </w:tabs>
        <w:rPr>
          <w:rFonts w:eastAsiaTheme="minorEastAsia" w:cstheme="minorBidi"/>
          <w:smallCaps w:val="0"/>
          <w:kern w:val="2"/>
          <w:sz w:val="21"/>
          <w:szCs w:val="22"/>
        </w:rPr>
      </w:pPr>
      <w:r>
        <w:fldChar w:fldCharType="begin"/>
      </w:r>
      <w:r>
        <w:instrText xml:space="preserve"> HYPERLINK \l "_Toc187675422" </w:instrText>
      </w:r>
      <w:r>
        <w:fldChar w:fldCharType="separate"/>
      </w:r>
      <w:r>
        <w:rPr>
          <w:rStyle w:val="143"/>
          <w:rFonts w:ascii="Times New Roman" w:hAnsi="Times New Roman" w:cs="Times New Roman"/>
        </w:rPr>
        <w:t>4.3</w:t>
      </w:r>
      <w:r>
        <w:rPr>
          <w:rStyle w:val="143"/>
          <w:rFonts w:hint="eastAsia" w:ascii="Times New Roman" w:hAnsi="Times New Roman" w:cs="Times New Roman"/>
        </w:rPr>
        <w:t>环境现状调查与评价</w:t>
      </w:r>
      <w:r>
        <w:tab/>
      </w:r>
      <w:r>
        <w:fldChar w:fldCharType="begin"/>
      </w:r>
      <w:r>
        <w:instrText xml:space="preserve"> PAGEREF _Toc187675422 \h </w:instrText>
      </w:r>
      <w:r>
        <w:fldChar w:fldCharType="separate"/>
      </w:r>
      <w:r>
        <w:t>80</w:t>
      </w:r>
      <w:r>
        <w:fldChar w:fldCharType="end"/>
      </w:r>
      <w:r>
        <w:fldChar w:fldCharType="end"/>
      </w:r>
    </w:p>
    <w:p w14:paraId="01A9C82D">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"_Toc187675423" </w:instrText>
      </w:r>
      <w:r>
        <w:fldChar w:fldCharType="separate"/>
      </w:r>
      <w:r>
        <w:rPr>
          <w:rStyle w:val="143"/>
          <w:rFonts w:ascii="Times New Roman" w:hAnsi="Times New Roman" w:cs="Times New Roman"/>
        </w:rPr>
        <w:t>5</w:t>
      </w:r>
      <w:r>
        <w:rPr>
          <w:rStyle w:val="143"/>
          <w:rFonts w:hint="eastAsia" w:ascii="Times New Roman" w:hAnsi="Times New Roman" w:cs="Times New Roman"/>
        </w:rPr>
        <w:t>环境影响预测与评价</w:t>
      </w:r>
      <w:r>
        <w:tab/>
      </w:r>
      <w:r>
        <w:fldChar w:fldCharType="begin"/>
      </w:r>
      <w:r>
        <w:instrText xml:space="preserve"> PAGEREF _Toc187675423 \h </w:instrText>
      </w:r>
      <w:r>
        <w:fldChar w:fldCharType="separate"/>
      </w:r>
      <w:r>
        <w:t>85</w:t>
      </w:r>
      <w:r>
        <w:fldChar w:fldCharType="end"/>
      </w:r>
      <w:r>
        <w:fldChar w:fldCharType="end"/>
      </w:r>
    </w:p>
    <w:p w14:paraId="697115A0">
      <w:pPr>
        <w:pStyle w:val="73"/>
        <w:tabs>
          <w:tab w:val="right" w:leader="dot" w:pos="8302"/>
        </w:tabs>
        <w:rPr>
          <w:rFonts w:eastAsiaTheme="minorEastAsia" w:cstheme="minorBidi"/>
          <w:smallCaps w:val="0"/>
          <w:kern w:val="2"/>
          <w:sz w:val="21"/>
          <w:szCs w:val="22"/>
        </w:rPr>
      </w:pPr>
      <w:r>
        <w:fldChar w:fldCharType="begin"/>
      </w:r>
      <w:r>
        <w:instrText xml:space="preserve"> HYPERLINK \l "_Toc187675424" </w:instrText>
      </w:r>
      <w:r>
        <w:fldChar w:fldCharType="separate"/>
      </w:r>
      <w:r>
        <w:rPr>
          <w:rStyle w:val="143"/>
          <w:rFonts w:ascii="Times New Roman" w:hAnsi="Times New Roman" w:cs="Times New Roman"/>
        </w:rPr>
        <w:t>5.1</w:t>
      </w:r>
      <w:r>
        <w:rPr>
          <w:rStyle w:val="143"/>
          <w:rFonts w:hint="eastAsia" w:ascii="Times New Roman" w:hAnsi="Times New Roman" w:cs="Times New Roman"/>
        </w:rPr>
        <w:t>生态环境影响分析</w:t>
      </w:r>
      <w:r>
        <w:tab/>
      </w:r>
      <w:r>
        <w:fldChar w:fldCharType="begin"/>
      </w:r>
      <w:r>
        <w:instrText xml:space="preserve"> PAGEREF _Toc187675424 \h </w:instrText>
      </w:r>
      <w:r>
        <w:fldChar w:fldCharType="separate"/>
      </w:r>
      <w:r>
        <w:t>85</w:t>
      </w:r>
      <w:r>
        <w:fldChar w:fldCharType="end"/>
      </w:r>
      <w:r>
        <w:fldChar w:fldCharType="end"/>
      </w:r>
    </w:p>
    <w:p w14:paraId="32578C92">
      <w:pPr>
        <w:pStyle w:val="73"/>
        <w:tabs>
          <w:tab w:val="right" w:leader="dot" w:pos="8302"/>
        </w:tabs>
        <w:rPr>
          <w:rFonts w:eastAsiaTheme="minorEastAsia" w:cstheme="minorBidi"/>
          <w:smallCaps w:val="0"/>
          <w:kern w:val="2"/>
          <w:sz w:val="21"/>
          <w:szCs w:val="22"/>
        </w:rPr>
      </w:pPr>
      <w:r>
        <w:fldChar w:fldCharType="begin"/>
      </w:r>
      <w:r>
        <w:instrText xml:space="preserve"> HYPERLINK \l "_Toc187675425" </w:instrText>
      </w:r>
      <w:r>
        <w:fldChar w:fldCharType="separate"/>
      </w:r>
      <w:r>
        <w:rPr>
          <w:rStyle w:val="143"/>
          <w:rFonts w:ascii="Times New Roman" w:hAnsi="Times New Roman" w:cs="Times New Roman"/>
          <w:b/>
          <w:bCs/>
        </w:rPr>
        <w:t>5.2</w:t>
      </w:r>
      <w:r>
        <w:rPr>
          <w:rStyle w:val="143"/>
          <w:rFonts w:hint="eastAsia" w:ascii="Times New Roman" w:hAnsi="Times New Roman" w:cs="Times New Roman"/>
          <w:b/>
          <w:bCs/>
        </w:rPr>
        <w:t>环境空气影响分析</w:t>
      </w:r>
      <w:r>
        <w:tab/>
      </w:r>
      <w:r>
        <w:fldChar w:fldCharType="begin"/>
      </w:r>
      <w:r>
        <w:instrText xml:space="preserve"> PAGEREF _Toc187675425 \h </w:instrText>
      </w:r>
      <w:r>
        <w:fldChar w:fldCharType="separate"/>
      </w:r>
      <w:r>
        <w:t>93</w:t>
      </w:r>
      <w:r>
        <w:fldChar w:fldCharType="end"/>
      </w:r>
      <w:r>
        <w:fldChar w:fldCharType="end"/>
      </w:r>
    </w:p>
    <w:p w14:paraId="63B87C20">
      <w:pPr>
        <w:pStyle w:val="73"/>
        <w:tabs>
          <w:tab w:val="right" w:leader="dot" w:pos="8302"/>
        </w:tabs>
        <w:rPr>
          <w:rFonts w:eastAsiaTheme="minorEastAsia" w:cstheme="minorBidi"/>
          <w:smallCaps w:val="0"/>
          <w:kern w:val="2"/>
          <w:sz w:val="21"/>
          <w:szCs w:val="22"/>
        </w:rPr>
      </w:pPr>
      <w:r>
        <w:fldChar w:fldCharType="begin"/>
      </w:r>
      <w:r>
        <w:instrText xml:space="preserve"> HYPERLINK \l "_Toc187675426" </w:instrText>
      </w:r>
      <w:r>
        <w:fldChar w:fldCharType="separate"/>
      </w:r>
      <w:r>
        <w:rPr>
          <w:rStyle w:val="143"/>
          <w:rFonts w:ascii="Times New Roman" w:hAnsi="Times New Roman" w:cs="Times New Roman"/>
        </w:rPr>
        <w:t>5.3</w:t>
      </w:r>
      <w:r>
        <w:rPr>
          <w:rStyle w:val="143"/>
          <w:rFonts w:hint="eastAsia" w:ascii="Times New Roman" w:hAnsi="Times New Roman" w:cs="Times New Roman"/>
        </w:rPr>
        <w:t>声环境影响预测与评价</w:t>
      </w:r>
      <w:r>
        <w:tab/>
      </w:r>
      <w:r>
        <w:fldChar w:fldCharType="begin"/>
      </w:r>
      <w:r>
        <w:instrText xml:space="preserve"> PAGEREF _Toc187675426 \h </w:instrText>
      </w:r>
      <w:r>
        <w:fldChar w:fldCharType="separate"/>
      </w:r>
      <w:r>
        <w:t>97</w:t>
      </w:r>
      <w:r>
        <w:fldChar w:fldCharType="end"/>
      </w:r>
      <w:r>
        <w:fldChar w:fldCharType="end"/>
      </w:r>
    </w:p>
    <w:p w14:paraId="377ED595">
      <w:pPr>
        <w:pStyle w:val="73"/>
        <w:tabs>
          <w:tab w:val="right" w:leader="dot" w:pos="8302"/>
        </w:tabs>
        <w:rPr>
          <w:rFonts w:eastAsiaTheme="minorEastAsia" w:cstheme="minorBidi"/>
          <w:smallCaps w:val="0"/>
          <w:kern w:val="2"/>
          <w:sz w:val="21"/>
          <w:szCs w:val="22"/>
        </w:rPr>
      </w:pPr>
      <w:r>
        <w:fldChar w:fldCharType="begin"/>
      </w:r>
      <w:r>
        <w:instrText xml:space="preserve"> HYPERLINK \l "_Toc187675427" </w:instrText>
      </w:r>
      <w:r>
        <w:fldChar w:fldCharType="separate"/>
      </w:r>
      <w:r>
        <w:rPr>
          <w:rStyle w:val="143"/>
          <w:rFonts w:ascii="Times New Roman" w:hAnsi="Times New Roman" w:cs="Times New Roman"/>
        </w:rPr>
        <w:t>5.4</w:t>
      </w:r>
      <w:r>
        <w:rPr>
          <w:rStyle w:val="143"/>
          <w:rFonts w:hint="eastAsia" w:ascii="Times New Roman" w:hAnsi="Times New Roman" w:cs="Times New Roman"/>
        </w:rPr>
        <w:t>地表水环境影响预测与评价</w:t>
      </w:r>
      <w:r>
        <w:tab/>
      </w:r>
      <w:r>
        <w:fldChar w:fldCharType="begin"/>
      </w:r>
      <w:r>
        <w:instrText xml:space="preserve"> PAGEREF _Toc187675427 \h </w:instrText>
      </w:r>
      <w:r>
        <w:fldChar w:fldCharType="separate"/>
      </w:r>
      <w:r>
        <w:t>114</w:t>
      </w:r>
      <w:r>
        <w:fldChar w:fldCharType="end"/>
      </w:r>
      <w:r>
        <w:fldChar w:fldCharType="end"/>
      </w:r>
    </w:p>
    <w:p w14:paraId="17D47592">
      <w:pPr>
        <w:pStyle w:val="73"/>
        <w:tabs>
          <w:tab w:val="right" w:leader="dot" w:pos="8302"/>
        </w:tabs>
        <w:rPr>
          <w:rFonts w:eastAsiaTheme="minorEastAsia" w:cstheme="minorBidi"/>
          <w:smallCaps w:val="0"/>
          <w:kern w:val="2"/>
          <w:sz w:val="21"/>
          <w:szCs w:val="22"/>
        </w:rPr>
      </w:pPr>
      <w:r>
        <w:fldChar w:fldCharType="begin"/>
      </w:r>
      <w:r>
        <w:instrText xml:space="preserve"> HYPERLINK \l "_Toc187675428" </w:instrText>
      </w:r>
      <w:r>
        <w:fldChar w:fldCharType="separate"/>
      </w:r>
      <w:r>
        <w:rPr>
          <w:rStyle w:val="143"/>
          <w:rFonts w:ascii="Times New Roman" w:hAnsi="Times New Roman" w:cs="Times New Roman"/>
        </w:rPr>
        <w:t>5.5</w:t>
      </w:r>
      <w:r>
        <w:rPr>
          <w:rStyle w:val="143"/>
          <w:rFonts w:hint="eastAsia" w:ascii="Times New Roman" w:hAnsi="Times New Roman" w:cs="Times New Roman"/>
        </w:rPr>
        <w:t>固体废物影响预测与评价</w:t>
      </w:r>
      <w:r>
        <w:tab/>
      </w:r>
      <w:r>
        <w:fldChar w:fldCharType="begin"/>
      </w:r>
      <w:r>
        <w:instrText xml:space="preserve"> PAGEREF _Toc187675428 \h </w:instrText>
      </w:r>
      <w:r>
        <w:fldChar w:fldCharType="separate"/>
      </w:r>
      <w:r>
        <w:t>118</w:t>
      </w:r>
      <w:r>
        <w:fldChar w:fldCharType="end"/>
      </w:r>
      <w:r>
        <w:fldChar w:fldCharType="end"/>
      </w:r>
    </w:p>
    <w:p w14:paraId="4CAF1D9B">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"_Toc187675429" </w:instrText>
      </w:r>
      <w:r>
        <w:fldChar w:fldCharType="separate"/>
      </w:r>
      <w:r>
        <w:rPr>
          <w:rStyle w:val="143"/>
          <w:rFonts w:ascii="Times New Roman" w:hAnsi="Times New Roman" w:cs="Times New Roman"/>
        </w:rPr>
        <w:t>6</w:t>
      </w:r>
      <w:r>
        <w:rPr>
          <w:rStyle w:val="143"/>
          <w:rFonts w:hint="eastAsia" w:ascii="Times New Roman" w:hAnsi="Times New Roman" w:cs="Times New Roman"/>
        </w:rPr>
        <w:t>环境风险分析与评价</w:t>
      </w:r>
      <w:r>
        <w:tab/>
      </w:r>
      <w:r>
        <w:fldChar w:fldCharType="begin"/>
      </w:r>
      <w:r>
        <w:instrText xml:space="preserve"> PAGEREF _Toc187675429 \h </w:instrText>
      </w:r>
      <w:r>
        <w:fldChar w:fldCharType="separate"/>
      </w:r>
      <w:r>
        <w:t>120</w:t>
      </w:r>
      <w:r>
        <w:fldChar w:fldCharType="end"/>
      </w:r>
      <w:r>
        <w:fldChar w:fldCharType="end"/>
      </w:r>
    </w:p>
    <w:p w14:paraId="750FACA8">
      <w:pPr>
        <w:pStyle w:val="73"/>
        <w:tabs>
          <w:tab w:val="right" w:leader="dot" w:pos="8302"/>
        </w:tabs>
        <w:rPr>
          <w:rFonts w:eastAsiaTheme="minorEastAsia" w:cstheme="minorBidi"/>
          <w:smallCaps w:val="0"/>
          <w:kern w:val="2"/>
          <w:sz w:val="21"/>
          <w:szCs w:val="22"/>
        </w:rPr>
      </w:pPr>
      <w:r>
        <w:fldChar w:fldCharType="begin"/>
      </w:r>
      <w:r>
        <w:instrText xml:space="preserve"> HYPERLINK \l "_Toc187675430" </w:instrText>
      </w:r>
      <w:r>
        <w:fldChar w:fldCharType="separate"/>
      </w:r>
      <w:r>
        <w:rPr>
          <w:rStyle w:val="143"/>
          <w:rFonts w:ascii="Times New Roman" w:hAnsi="Times New Roman" w:cs="Times New Roman"/>
        </w:rPr>
        <w:t>6.1</w:t>
      </w:r>
      <w:r>
        <w:rPr>
          <w:rStyle w:val="143"/>
          <w:rFonts w:hint="eastAsia" w:ascii="Times New Roman" w:hAnsi="Times New Roman" w:cs="Times New Roman"/>
        </w:rPr>
        <w:t>评价概述</w:t>
      </w:r>
      <w:r>
        <w:tab/>
      </w:r>
      <w:r>
        <w:fldChar w:fldCharType="begin"/>
      </w:r>
      <w:r>
        <w:instrText xml:space="preserve"> PAGEREF _Toc187675430 \h </w:instrText>
      </w:r>
      <w:r>
        <w:fldChar w:fldCharType="separate"/>
      </w:r>
      <w:r>
        <w:t>120</w:t>
      </w:r>
      <w:r>
        <w:fldChar w:fldCharType="end"/>
      </w:r>
      <w:r>
        <w:fldChar w:fldCharType="end"/>
      </w:r>
    </w:p>
    <w:p w14:paraId="755F91B4">
      <w:pPr>
        <w:pStyle w:val="73"/>
        <w:tabs>
          <w:tab w:val="right" w:leader="dot" w:pos="8302"/>
        </w:tabs>
        <w:rPr>
          <w:rFonts w:eastAsiaTheme="minorEastAsia" w:cstheme="minorBidi"/>
          <w:smallCaps w:val="0"/>
          <w:kern w:val="2"/>
          <w:sz w:val="21"/>
          <w:szCs w:val="22"/>
        </w:rPr>
      </w:pPr>
      <w:r>
        <w:fldChar w:fldCharType="begin"/>
      </w:r>
      <w:r>
        <w:instrText xml:space="preserve"> HYPERLINK \l "_Toc187675431" </w:instrText>
      </w:r>
      <w:r>
        <w:fldChar w:fldCharType="separate"/>
      </w:r>
      <w:r>
        <w:rPr>
          <w:rStyle w:val="143"/>
          <w:rFonts w:ascii="Times New Roman" w:hAnsi="Times New Roman" w:cs="Times New Roman"/>
        </w:rPr>
        <w:t>6.2</w:t>
      </w:r>
      <w:r>
        <w:rPr>
          <w:rStyle w:val="143"/>
          <w:rFonts w:hint="eastAsia" w:ascii="Times New Roman" w:hAnsi="Times New Roman" w:cs="Times New Roman"/>
        </w:rPr>
        <w:t>环境风险影响分析</w:t>
      </w:r>
      <w:r>
        <w:tab/>
      </w:r>
      <w:r>
        <w:fldChar w:fldCharType="begin"/>
      </w:r>
      <w:r>
        <w:instrText xml:space="preserve"> PAGEREF _Toc187675431 \h </w:instrText>
      </w:r>
      <w:r>
        <w:fldChar w:fldCharType="separate"/>
      </w:r>
      <w:r>
        <w:t>120</w:t>
      </w:r>
      <w:r>
        <w:fldChar w:fldCharType="end"/>
      </w:r>
      <w:r>
        <w:fldChar w:fldCharType="end"/>
      </w:r>
    </w:p>
    <w:p w14:paraId="6E659D26">
      <w:pPr>
        <w:pStyle w:val="73"/>
        <w:tabs>
          <w:tab w:val="right" w:leader="dot" w:pos="8302"/>
        </w:tabs>
        <w:rPr>
          <w:rFonts w:eastAsiaTheme="minorEastAsia" w:cstheme="minorBidi"/>
          <w:smallCaps w:val="0"/>
          <w:kern w:val="2"/>
          <w:sz w:val="21"/>
          <w:szCs w:val="22"/>
        </w:rPr>
      </w:pPr>
      <w:r>
        <w:fldChar w:fldCharType="begin"/>
      </w:r>
      <w:r>
        <w:instrText xml:space="preserve"> HYPERLINK \l "_Toc187675432" </w:instrText>
      </w:r>
      <w:r>
        <w:fldChar w:fldCharType="separate"/>
      </w:r>
      <w:r>
        <w:rPr>
          <w:rStyle w:val="143"/>
          <w:rFonts w:ascii="Times New Roman" w:hAnsi="Times New Roman" w:cs="Times New Roman"/>
        </w:rPr>
        <w:t>6.3</w:t>
      </w:r>
      <w:r>
        <w:rPr>
          <w:rStyle w:val="143"/>
          <w:rFonts w:hint="eastAsia" w:ascii="Times New Roman" w:hAnsi="Times New Roman" w:cs="Times New Roman"/>
        </w:rPr>
        <w:t>环境风险防范措施</w:t>
      </w:r>
      <w:r>
        <w:tab/>
      </w:r>
      <w:r>
        <w:fldChar w:fldCharType="begin"/>
      </w:r>
      <w:r>
        <w:instrText xml:space="preserve"> PAGEREF _Toc187675432 \h </w:instrText>
      </w:r>
      <w:r>
        <w:fldChar w:fldCharType="separate"/>
      </w:r>
      <w:r>
        <w:t>121</w:t>
      </w:r>
      <w:r>
        <w:fldChar w:fldCharType="end"/>
      </w:r>
      <w:r>
        <w:fldChar w:fldCharType="end"/>
      </w:r>
    </w:p>
    <w:p w14:paraId="4B4AB743">
      <w:pPr>
        <w:pStyle w:val="73"/>
        <w:tabs>
          <w:tab w:val="right" w:leader="dot" w:pos="8302"/>
        </w:tabs>
        <w:rPr>
          <w:rFonts w:eastAsiaTheme="minorEastAsia" w:cstheme="minorBidi"/>
          <w:smallCaps w:val="0"/>
          <w:kern w:val="2"/>
          <w:sz w:val="21"/>
          <w:szCs w:val="22"/>
        </w:rPr>
      </w:pPr>
      <w:r>
        <w:fldChar w:fldCharType="begin"/>
      </w:r>
      <w:r>
        <w:instrText xml:space="preserve"> HYPERLINK \l "_Toc187675433" </w:instrText>
      </w:r>
      <w:r>
        <w:fldChar w:fldCharType="separate"/>
      </w:r>
      <w:r>
        <w:rPr>
          <w:rStyle w:val="143"/>
          <w:rFonts w:ascii="Times New Roman" w:hAnsi="Times New Roman" w:cs="Times New Roman"/>
        </w:rPr>
        <w:t>6.4</w:t>
      </w:r>
      <w:r>
        <w:rPr>
          <w:rStyle w:val="143"/>
          <w:rFonts w:hint="eastAsia" w:ascii="Times New Roman" w:hAnsi="Times New Roman" w:cs="Times New Roman"/>
        </w:rPr>
        <w:t>应急预案</w:t>
      </w:r>
      <w:r>
        <w:tab/>
      </w:r>
      <w:r>
        <w:fldChar w:fldCharType="begin"/>
      </w:r>
      <w:r>
        <w:instrText xml:space="preserve"> PAGEREF _Toc187675433 \h </w:instrText>
      </w:r>
      <w:r>
        <w:fldChar w:fldCharType="separate"/>
      </w:r>
      <w:r>
        <w:t>124</w:t>
      </w:r>
      <w:r>
        <w:fldChar w:fldCharType="end"/>
      </w:r>
      <w:r>
        <w:fldChar w:fldCharType="end"/>
      </w:r>
    </w:p>
    <w:p w14:paraId="0C6553F1">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"_Toc187675434" </w:instrText>
      </w:r>
      <w:r>
        <w:fldChar w:fldCharType="separate"/>
      </w:r>
      <w:r>
        <w:rPr>
          <w:rStyle w:val="143"/>
          <w:rFonts w:ascii="Times New Roman" w:hAnsi="Times New Roman" w:cs="Times New Roman"/>
        </w:rPr>
        <w:t>7</w:t>
      </w:r>
      <w:r>
        <w:rPr>
          <w:rStyle w:val="143"/>
          <w:rFonts w:hint="eastAsia" w:ascii="Times New Roman" w:hAnsi="Times New Roman" w:cs="Times New Roman"/>
        </w:rPr>
        <w:t>环境保护措施及其可行性论证</w:t>
      </w:r>
      <w:r>
        <w:tab/>
      </w:r>
      <w:r>
        <w:fldChar w:fldCharType="begin"/>
      </w:r>
      <w:r>
        <w:instrText xml:space="preserve"> PAGEREF _Toc187675434 \h </w:instrText>
      </w:r>
      <w:r>
        <w:fldChar w:fldCharType="separate"/>
      </w:r>
      <w:r>
        <w:t>126</w:t>
      </w:r>
      <w:r>
        <w:fldChar w:fldCharType="end"/>
      </w:r>
      <w:r>
        <w:fldChar w:fldCharType="end"/>
      </w:r>
    </w:p>
    <w:p w14:paraId="26520CC9">
      <w:pPr>
        <w:pStyle w:val="73"/>
        <w:tabs>
          <w:tab w:val="right" w:leader="dot" w:pos="8302"/>
        </w:tabs>
        <w:rPr>
          <w:rFonts w:eastAsiaTheme="minorEastAsia" w:cstheme="minorBidi"/>
          <w:smallCaps w:val="0"/>
          <w:kern w:val="2"/>
          <w:sz w:val="21"/>
          <w:szCs w:val="22"/>
        </w:rPr>
      </w:pPr>
      <w:r>
        <w:fldChar w:fldCharType="begin"/>
      </w:r>
      <w:r>
        <w:instrText xml:space="preserve"> HYPERLINK \l "_Toc187675435" </w:instrText>
      </w:r>
      <w:r>
        <w:fldChar w:fldCharType="separate"/>
      </w:r>
      <w:r>
        <w:rPr>
          <w:rStyle w:val="143"/>
          <w:rFonts w:ascii="Times New Roman" w:hAnsi="Times New Roman" w:cs="Times New Roman"/>
        </w:rPr>
        <w:t>7.1</w:t>
      </w:r>
      <w:r>
        <w:rPr>
          <w:rStyle w:val="143"/>
          <w:rFonts w:hint="eastAsia" w:ascii="Times New Roman" w:hAnsi="Times New Roman" w:cs="Times New Roman"/>
        </w:rPr>
        <w:t>生态环境保护措施</w:t>
      </w:r>
      <w:r>
        <w:tab/>
      </w:r>
      <w:r>
        <w:fldChar w:fldCharType="begin"/>
      </w:r>
      <w:r>
        <w:instrText xml:space="preserve"> PAGEREF _Toc187675435 \h </w:instrText>
      </w:r>
      <w:r>
        <w:fldChar w:fldCharType="separate"/>
      </w:r>
      <w:r>
        <w:t>126</w:t>
      </w:r>
      <w:r>
        <w:fldChar w:fldCharType="end"/>
      </w:r>
      <w:r>
        <w:fldChar w:fldCharType="end"/>
      </w:r>
    </w:p>
    <w:p w14:paraId="34C13264">
      <w:pPr>
        <w:pStyle w:val="73"/>
        <w:tabs>
          <w:tab w:val="right" w:leader="dot" w:pos="8302"/>
        </w:tabs>
        <w:rPr>
          <w:rFonts w:eastAsiaTheme="minorEastAsia" w:cstheme="minorBidi"/>
          <w:smallCaps w:val="0"/>
          <w:kern w:val="2"/>
          <w:sz w:val="21"/>
          <w:szCs w:val="22"/>
        </w:rPr>
      </w:pPr>
      <w:r>
        <w:fldChar w:fldCharType="begin"/>
      </w:r>
      <w:r>
        <w:instrText xml:space="preserve"> HYPERLINK \l "_Toc187675436" </w:instrText>
      </w:r>
      <w:r>
        <w:fldChar w:fldCharType="separate"/>
      </w:r>
      <w:r>
        <w:rPr>
          <w:rStyle w:val="143"/>
          <w:rFonts w:ascii="Times New Roman" w:hAnsi="Times New Roman" w:cs="Times New Roman"/>
        </w:rPr>
        <w:t>7.2</w:t>
      </w:r>
      <w:r>
        <w:rPr>
          <w:rStyle w:val="143"/>
          <w:rFonts w:hint="eastAsia" w:ascii="Times New Roman" w:hAnsi="Times New Roman" w:cs="Times New Roman"/>
        </w:rPr>
        <w:t>环境空气污染防治措施</w:t>
      </w:r>
      <w:r>
        <w:tab/>
      </w:r>
      <w:r>
        <w:fldChar w:fldCharType="begin"/>
      </w:r>
      <w:r>
        <w:instrText xml:space="preserve"> PAGEREF _Toc187675436 \h </w:instrText>
      </w:r>
      <w:r>
        <w:fldChar w:fldCharType="separate"/>
      </w:r>
      <w:r>
        <w:t>129</w:t>
      </w:r>
      <w:r>
        <w:fldChar w:fldCharType="end"/>
      </w:r>
      <w:r>
        <w:fldChar w:fldCharType="end"/>
      </w:r>
    </w:p>
    <w:p w14:paraId="72B70915">
      <w:pPr>
        <w:pStyle w:val="73"/>
        <w:tabs>
          <w:tab w:val="right" w:leader="dot" w:pos="8302"/>
        </w:tabs>
        <w:rPr>
          <w:rFonts w:eastAsiaTheme="minorEastAsia" w:cstheme="minorBidi"/>
          <w:smallCaps w:val="0"/>
          <w:kern w:val="2"/>
          <w:sz w:val="21"/>
          <w:szCs w:val="22"/>
        </w:rPr>
      </w:pPr>
      <w:r>
        <w:fldChar w:fldCharType="begin"/>
      </w:r>
      <w:r>
        <w:instrText xml:space="preserve"> HYPERLINK \l "_Toc187675437" </w:instrText>
      </w:r>
      <w:r>
        <w:fldChar w:fldCharType="separate"/>
      </w:r>
      <w:r>
        <w:rPr>
          <w:rStyle w:val="143"/>
          <w:rFonts w:ascii="Times New Roman" w:hAnsi="Times New Roman" w:cs="Times New Roman"/>
        </w:rPr>
        <w:t>7.3</w:t>
      </w:r>
      <w:r>
        <w:rPr>
          <w:rStyle w:val="143"/>
          <w:rFonts w:hint="eastAsia" w:ascii="Times New Roman" w:hAnsi="Times New Roman" w:cs="Times New Roman"/>
        </w:rPr>
        <w:t>地表水环境污染防治措施</w:t>
      </w:r>
      <w:r>
        <w:tab/>
      </w:r>
      <w:r>
        <w:fldChar w:fldCharType="begin"/>
      </w:r>
      <w:r>
        <w:instrText xml:space="preserve"> PAGEREF _Toc187675437 \h </w:instrText>
      </w:r>
      <w:r>
        <w:fldChar w:fldCharType="separate"/>
      </w:r>
      <w:r>
        <w:t>132</w:t>
      </w:r>
      <w:r>
        <w:fldChar w:fldCharType="end"/>
      </w:r>
      <w:r>
        <w:fldChar w:fldCharType="end"/>
      </w:r>
    </w:p>
    <w:p w14:paraId="72E453E6">
      <w:pPr>
        <w:pStyle w:val="73"/>
        <w:tabs>
          <w:tab w:val="right" w:leader="dot" w:pos="8302"/>
        </w:tabs>
        <w:rPr>
          <w:rFonts w:eastAsiaTheme="minorEastAsia" w:cstheme="minorBidi"/>
          <w:smallCaps w:val="0"/>
          <w:kern w:val="2"/>
          <w:sz w:val="21"/>
          <w:szCs w:val="22"/>
        </w:rPr>
      </w:pPr>
      <w:r>
        <w:fldChar w:fldCharType="begin"/>
      </w:r>
      <w:r>
        <w:instrText xml:space="preserve"> HYPERLINK \l "_Toc187675438" </w:instrText>
      </w:r>
      <w:r>
        <w:fldChar w:fldCharType="separate"/>
      </w:r>
      <w:r>
        <w:rPr>
          <w:rStyle w:val="143"/>
          <w:rFonts w:ascii="Times New Roman" w:hAnsi="Times New Roman" w:cs="Times New Roman"/>
        </w:rPr>
        <w:t>7.4</w:t>
      </w:r>
      <w:r>
        <w:rPr>
          <w:rStyle w:val="143"/>
          <w:rFonts w:hint="eastAsia" w:ascii="Times New Roman" w:hAnsi="Times New Roman" w:cs="Times New Roman"/>
        </w:rPr>
        <w:t>噪声污染防治措施</w:t>
      </w:r>
      <w:r>
        <w:tab/>
      </w:r>
      <w:r>
        <w:fldChar w:fldCharType="begin"/>
      </w:r>
      <w:r>
        <w:instrText xml:space="preserve"> PAGEREF _Toc187675438 \h </w:instrText>
      </w:r>
      <w:r>
        <w:fldChar w:fldCharType="separate"/>
      </w:r>
      <w:r>
        <w:t>135</w:t>
      </w:r>
      <w:r>
        <w:fldChar w:fldCharType="end"/>
      </w:r>
      <w:r>
        <w:fldChar w:fldCharType="end"/>
      </w:r>
    </w:p>
    <w:p w14:paraId="3C73A6B3">
      <w:pPr>
        <w:pStyle w:val="73"/>
        <w:tabs>
          <w:tab w:val="right" w:leader="dot" w:pos="8302"/>
        </w:tabs>
        <w:rPr>
          <w:rFonts w:eastAsiaTheme="minorEastAsia" w:cstheme="minorBidi"/>
          <w:smallCaps w:val="0"/>
          <w:kern w:val="2"/>
          <w:sz w:val="21"/>
          <w:szCs w:val="22"/>
        </w:rPr>
      </w:pPr>
      <w:r>
        <w:fldChar w:fldCharType="begin"/>
      </w:r>
      <w:r>
        <w:instrText xml:space="preserve"> HYPERLINK \l "_Toc187675439" </w:instrText>
      </w:r>
      <w:r>
        <w:fldChar w:fldCharType="separate"/>
      </w:r>
      <w:r>
        <w:rPr>
          <w:rStyle w:val="143"/>
          <w:rFonts w:ascii="Times New Roman" w:hAnsi="Times New Roman" w:cs="Times New Roman"/>
        </w:rPr>
        <w:t>7.5</w:t>
      </w:r>
      <w:r>
        <w:rPr>
          <w:rStyle w:val="143"/>
          <w:rFonts w:hint="eastAsia" w:ascii="Times New Roman" w:hAnsi="Times New Roman" w:cs="Times New Roman"/>
        </w:rPr>
        <w:t>固体废物环境保护措施</w:t>
      </w:r>
      <w:r>
        <w:tab/>
      </w:r>
      <w:r>
        <w:fldChar w:fldCharType="begin"/>
      </w:r>
      <w:r>
        <w:instrText xml:space="preserve"> PAGEREF _Toc187675439 \h </w:instrText>
      </w:r>
      <w:r>
        <w:fldChar w:fldCharType="separate"/>
      </w:r>
      <w:r>
        <w:t>136</w:t>
      </w:r>
      <w:r>
        <w:fldChar w:fldCharType="end"/>
      </w:r>
      <w:r>
        <w:fldChar w:fldCharType="end"/>
      </w:r>
    </w:p>
    <w:p w14:paraId="3BCEFC84">
      <w:pPr>
        <w:pStyle w:val="73"/>
        <w:tabs>
          <w:tab w:val="right" w:leader="dot" w:pos="8302"/>
        </w:tabs>
        <w:rPr>
          <w:rFonts w:eastAsiaTheme="minorEastAsia" w:cstheme="minorBidi"/>
          <w:smallCaps w:val="0"/>
          <w:kern w:val="2"/>
          <w:sz w:val="21"/>
          <w:szCs w:val="22"/>
        </w:rPr>
      </w:pPr>
      <w:r>
        <w:fldChar w:fldCharType="begin"/>
      </w:r>
      <w:r>
        <w:instrText xml:space="preserve"> HYPERLINK \l "_Toc187675440" </w:instrText>
      </w:r>
      <w:r>
        <w:fldChar w:fldCharType="separate"/>
      </w:r>
      <w:r>
        <w:rPr>
          <w:rStyle w:val="143"/>
          <w:rFonts w:ascii="Times New Roman" w:hAnsi="Times New Roman" w:cs="Times New Roman"/>
        </w:rPr>
        <w:t>7.6</w:t>
      </w:r>
      <w:r>
        <w:rPr>
          <w:rStyle w:val="143"/>
          <w:rFonts w:hint="eastAsia" w:ascii="Times New Roman" w:hAnsi="Times New Roman" w:cs="Times New Roman"/>
        </w:rPr>
        <w:t>环保投资估算</w:t>
      </w:r>
      <w:r>
        <w:tab/>
      </w:r>
      <w:r>
        <w:fldChar w:fldCharType="begin"/>
      </w:r>
      <w:r>
        <w:instrText xml:space="preserve"> PAGEREF _Toc187675440 \h </w:instrText>
      </w:r>
      <w:r>
        <w:fldChar w:fldCharType="separate"/>
      </w:r>
      <w:r>
        <w:t>136</w:t>
      </w:r>
      <w:r>
        <w:fldChar w:fldCharType="end"/>
      </w:r>
      <w:r>
        <w:fldChar w:fldCharType="end"/>
      </w:r>
    </w:p>
    <w:p w14:paraId="0EBA257A">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"_Toc187675441" </w:instrText>
      </w:r>
      <w:r>
        <w:fldChar w:fldCharType="separate"/>
      </w:r>
      <w:r>
        <w:rPr>
          <w:rStyle w:val="143"/>
          <w:rFonts w:ascii="Times New Roman" w:hAnsi="Times New Roman" w:cs="Times New Roman"/>
        </w:rPr>
        <w:t>8</w:t>
      </w:r>
      <w:r>
        <w:rPr>
          <w:rStyle w:val="143"/>
          <w:rFonts w:hint="eastAsia" w:ascii="Times New Roman" w:hAnsi="Times New Roman" w:cs="Times New Roman"/>
        </w:rPr>
        <w:t>环境影响经济损益分析</w:t>
      </w:r>
      <w:r>
        <w:tab/>
      </w:r>
      <w:r>
        <w:fldChar w:fldCharType="begin"/>
      </w:r>
      <w:r>
        <w:instrText xml:space="preserve"> PAGEREF _Toc187675441 \h </w:instrText>
      </w:r>
      <w:r>
        <w:fldChar w:fldCharType="separate"/>
      </w:r>
      <w:r>
        <w:t>138</w:t>
      </w:r>
      <w:r>
        <w:fldChar w:fldCharType="end"/>
      </w:r>
      <w:r>
        <w:fldChar w:fldCharType="end"/>
      </w:r>
    </w:p>
    <w:p w14:paraId="163C84C7">
      <w:pPr>
        <w:pStyle w:val="73"/>
        <w:tabs>
          <w:tab w:val="right" w:leader="dot" w:pos="8302"/>
        </w:tabs>
        <w:rPr>
          <w:rFonts w:eastAsiaTheme="minorEastAsia" w:cstheme="minorBidi"/>
          <w:smallCaps w:val="0"/>
          <w:kern w:val="2"/>
          <w:sz w:val="21"/>
          <w:szCs w:val="22"/>
        </w:rPr>
      </w:pPr>
      <w:r>
        <w:fldChar w:fldCharType="begin"/>
      </w:r>
      <w:r>
        <w:instrText xml:space="preserve"> HYPERLINK \l "_Toc187675442" </w:instrText>
      </w:r>
      <w:r>
        <w:fldChar w:fldCharType="separate"/>
      </w:r>
      <w:r>
        <w:rPr>
          <w:rStyle w:val="143"/>
          <w:rFonts w:ascii="Times New Roman" w:hAnsi="Times New Roman" w:cs="Times New Roman"/>
        </w:rPr>
        <w:t>8.1</w:t>
      </w:r>
      <w:r>
        <w:rPr>
          <w:rStyle w:val="143"/>
          <w:rFonts w:hint="eastAsia" w:ascii="Times New Roman" w:hAnsi="Times New Roman" w:cs="Times New Roman"/>
        </w:rPr>
        <w:t>经济效益分析</w:t>
      </w:r>
      <w:r>
        <w:tab/>
      </w:r>
      <w:r>
        <w:fldChar w:fldCharType="begin"/>
      </w:r>
      <w:r>
        <w:instrText xml:space="preserve"> PAGEREF _Toc187675442 \h </w:instrText>
      </w:r>
      <w:r>
        <w:fldChar w:fldCharType="separate"/>
      </w:r>
      <w:r>
        <w:t>138</w:t>
      </w:r>
      <w:r>
        <w:fldChar w:fldCharType="end"/>
      </w:r>
      <w:r>
        <w:fldChar w:fldCharType="end"/>
      </w:r>
    </w:p>
    <w:p w14:paraId="2ABE7666">
      <w:pPr>
        <w:pStyle w:val="73"/>
        <w:tabs>
          <w:tab w:val="right" w:leader="dot" w:pos="8302"/>
        </w:tabs>
        <w:rPr>
          <w:rFonts w:eastAsiaTheme="minorEastAsia" w:cstheme="minorBidi"/>
          <w:smallCaps w:val="0"/>
          <w:kern w:val="2"/>
          <w:sz w:val="21"/>
          <w:szCs w:val="22"/>
        </w:rPr>
      </w:pPr>
      <w:r>
        <w:fldChar w:fldCharType="begin"/>
      </w:r>
      <w:r>
        <w:instrText xml:space="preserve"> HYPERLINK \l "_Toc187675443" </w:instrText>
      </w:r>
      <w:r>
        <w:fldChar w:fldCharType="separate"/>
      </w:r>
      <w:r>
        <w:rPr>
          <w:rStyle w:val="143"/>
          <w:rFonts w:ascii="Times New Roman" w:hAnsi="Times New Roman" w:cs="Times New Roman"/>
        </w:rPr>
        <w:t>8.2</w:t>
      </w:r>
      <w:r>
        <w:rPr>
          <w:rStyle w:val="143"/>
          <w:rFonts w:hint="eastAsia" w:ascii="Times New Roman" w:hAnsi="Times New Roman" w:cs="Times New Roman"/>
        </w:rPr>
        <w:t>社会效益分析</w:t>
      </w:r>
      <w:r>
        <w:tab/>
      </w:r>
      <w:r>
        <w:fldChar w:fldCharType="begin"/>
      </w:r>
      <w:r>
        <w:instrText xml:space="preserve"> PAGEREF _Toc187675443 \h </w:instrText>
      </w:r>
      <w:r>
        <w:fldChar w:fldCharType="separate"/>
      </w:r>
      <w:r>
        <w:t>138</w:t>
      </w:r>
      <w:r>
        <w:fldChar w:fldCharType="end"/>
      </w:r>
      <w:r>
        <w:fldChar w:fldCharType="end"/>
      </w:r>
    </w:p>
    <w:p w14:paraId="67D0F20E">
      <w:pPr>
        <w:pStyle w:val="73"/>
        <w:tabs>
          <w:tab w:val="right" w:leader="dot" w:pos="8302"/>
        </w:tabs>
        <w:rPr>
          <w:rFonts w:eastAsiaTheme="minorEastAsia" w:cstheme="minorBidi"/>
          <w:smallCaps w:val="0"/>
          <w:kern w:val="2"/>
          <w:sz w:val="21"/>
          <w:szCs w:val="22"/>
        </w:rPr>
      </w:pPr>
      <w:r>
        <w:fldChar w:fldCharType="begin"/>
      </w:r>
      <w:r>
        <w:instrText xml:space="preserve"> HYPERLINK \l "_Toc187675444" </w:instrText>
      </w:r>
      <w:r>
        <w:fldChar w:fldCharType="separate"/>
      </w:r>
      <w:r>
        <w:rPr>
          <w:rStyle w:val="143"/>
          <w:rFonts w:ascii="Times New Roman" w:hAnsi="Times New Roman" w:cs="Times New Roman"/>
        </w:rPr>
        <w:t>8.3</w:t>
      </w:r>
      <w:r>
        <w:rPr>
          <w:rStyle w:val="143"/>
          <w:rFonts w:hint="eastAsia" w:ascii="Times New Roman" w:hAnsi="Times New Roman" w:cs="Times New Roman"/>
        </w:rPr>
        <w:t>环境效益分析</w:t>
      </w:r>
      <w:r>
        <w:tab/>
      </w:r>
      <w:r>
        <w:fldChar w:fldCharType="begin"/>
      </w:r>
      <w:r>
        <w:instrText xml:space="preserve"> PAGEREF _Toc187675444 \h </w:instrText>
      </w:r>
      <w:r>
        <w:fldChar w:fldCharType="separate"/>
      </w:r>
      <w:r>
        <w:t>139</w:t>
      </w:r>
      <w:r>
        <w:fldChar w:fldCharType="end"/>
      </w:r>
      <w:r>
        <w:fldChar w:fldCharType="end"/>
      </w:r>
    </w:p>
    <w:p w14:paraId="55E2FC78">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"_Toc187675445" </w:instrText>
      </w:r>
      <w:r>
        <w:fldChar w:fldCharType="separate"/>
      </w:r>
      <w:r>
        <w:rPr>
          <w:rStyle w:val="143"/>
          <w:rFonts w:ascii="Times New Roman" w:hAnsi="Times New Roman" w:cs="Times New Roman"/>
        </w:rPr>
        <w:t>9</w:t>
      </w:r>
      <w:r>
        <w:rPr>
          <w:rStyle w:val="143"/>
          <w:rFonts w:hint="eastAsia" w:ascii="Times New Roman" w:hAnsi="Times New Roman" w:cs="Times New Roman"/>
        </w:rPr>
        <w:t>环境管理与环境监测计划</w:t>
      </w:r>
      <w:r>
        <w:tab/>
      </w:r>
      <w:r>
        <w:fldChar w:fldCharType="begin"/>
      </w:r>
      <w:r>
        <w:instrText xml:space="preserve"> PAGEREF _Toc187675445 \h </w:instrText>
      </w:r>
      <w:r>
        <w:fldChar w:fldCharType="separate"/>
      </w:r>
      <w:r>
        <w:t>143</w:t>
      </w:r>
      <w:r>
        <w:fldChar w:fldCharType="end"/>
      </w:r>
      <w:r>
        <w:fldChar w:fldCharType="end"/>
      </w:r>
    </w:p>
    <w:p w14:paraId="7FFC6B52">
      <w:pPr>
        <w:pStyle w:val="73"/>
        <w:tabs>
          <w:tab w:val="right" w:leader="dot" w:pos="8302"/>
        </w:tabs>
        <w:rPr>
          <w:rFonts w:eastAsiaTheme="minorEastAsia" w:cstheme="minorBidi"/>
          <w:smallCaps w:val="0"/>
          <w:kern w:val="2"/>
          <w:sz w:val="21"/>
          <w:szCs w:val="22"/>
        </w:rPr>
      </w:pPr>
      <w:r>
        <w:fldChar w:fldCharType="begin"/>
      </w:r>
      <w:r>
        <w:instrText xml:space="preserve"> HYPERLINK \l "_Toc187675446" </w:instrText>
      </w:r>
      <w:r>
        <w:fldChar w:fldCharType="separate"/>
      </w:r>
      <w:r>
        <w:rPr>
          <w:rStyle w:val="143"/>
          <w:rFonts w:ascii="Times New Roman" w:hAnsi="Times New Roman" w:cs="Times New Roman"/>
        </w:rPr>
        <w:t>9.1</w:t>
      </w:r>
      <w:r>
        <w:rPr>
          <w:rStyle w:val="143"/>
          <w:rFonts w:hint="eastAsia" w:ascii="Times New Roman" w:hAnsi="Times New Roman" w:cs="Times New Roman"/>
        </w:rPr>
        <w:t>环境管理计划</w:t>
      </w:r>
      <w:r>
        <w:tab/>
      </w:r>
      <w:r>
        <w:fldChar w:fldCharType="begin"/>
      </w:r>
      <w:r>
        <w:instrText xml:space="preserve"> PAGEREF _Toc187675446 \h </w:instrText>
      </w:r>
      <w:r>
        <w:fldChar w:fldCharType="separate"/>
      </w:r>
      <w:r>
        <w:t>143</w:t>
      </w:r>
      <w:r>
        <w:fldChar w:fldCharType="end"/>
      </w:r>
      <w:r>
        <w:fldChar w:fldCharType="end"/>
      </w:r>
    </w:p>
    <w:p w14:paraId="11AE1FEE">
      <w:pPr>
        <w:pStyle w:val="73"/>
        <w:tabs>
          <w:tab w:val="right" w:leader="dot" w:pos="8302"/>
        </w:tabs>
        <w:rPr>
          <w:rFonts w:eastAsiaTheme="minorEastAsia" w:cstheme="minorBidi"/>
          <w:smallCaps w:val="0"/>
          <w:kern w:val="2"/>
          <w:sz w:val="21"/>
          <w:szCs w:val="22"/>
        </w:rPr>
      </w:pPr>
      <w:r>
        <w:fldChar w:fldCharType="begin"/>
      </w:r>
      <w:r>
        <w:instrText xml:space="preserve"> HYPERLINK \l "_Toc187675447" </w:instrText>
      </w:r>
      <w:r>
        <w:fldChar w:fldCharType="separate"/>
      </w:r>
      <w:r>
        <w:rPr>
          <w:rStyle w:val="143"/>
          <w:rFonts w:ascii="Times New Roman" w:hAnsi="Times New Roman" w:cs="Times New Roman"/>
        </w:rPr>
        <w:t>9.2</w:t>
      </w:r>
      <w:r>
        <w:rPr>
          <w:rStyle w:val="143"/>
          <w:rFonts w:hint="eastAsia" w:ascii="Times New Roman" w:hAnsi="Times New Roman" w:cs="Times New Roman"/>
        </w:rPr>
        <w:t>环境监测计划</w:t>
      </w:r>
      <w:r>
        <w:tab/>
      </w:r>
      <w:r>
        <w:fldChar w:fldCharType="begin"/>
      </w:r>
      <w:r>
        <w:instrText xml:space="preserve"> PAGEREF _Toc187675447 \h </w:instrText>
      </w:r>
      <w:r>
        <w:fldChar w:fldCharType="separate"/>
      </w:r>
      <w:r>
        <w:t>146</w:t>
      </w:r>
      <w:r>
        <w:fldChar w:fldCharType="end"/>
      </w:r>
      <w:r>
        <w:fldChar w:fldCharType="end"/>
      </w:r>
    </w:p>
    <w:p w14:paraId="600B99BE">
      <w:pPr>
        <w:pStyle w:val="73"/>
        <w:tabs>
          <w:tab w:val="right" w:leader="dot" w:pos="8302"/>
        </w:tabs>
        <w:rPr>
          <w:rFonts w:eastAsiaTheme="minorEastAsia" w:cstheme="minorBidi"/>
          <w:smallCaps w:val="0"/>
          <w:kern w:val="2"/>
          <w:sz w:val="21"/>
          <w:szCs w:val="22"/>
        </w:rPr>
      </w:pPr>
      <w:r>
        <w:fldChar w:fldCharType="begin"/>
      </w:r>
      <w:r>
        <w:instrText xml:space="preserve"> HYPERLINK \l "_Toc187675448" </w:instrText>
      </w:r>
      <w:r>
        <w:fldChar w:fldCharType="separate"/>
      </w:r>
      <w:r>
        <w:rPr>
          <w:rStyle w:val="143"/>
          <w:rFonts w:ascii="Times New Roman" w:hAnsi="Times New Roman" w:cs="Times New Roman"/>
        </w:rPr>
        <w:t>9.3</w:t>
      </w:r>
      <w:r>
        <w:rPr>
          <w:rStyle w:val="143"/>
          <w:rFonts w:hint="eastAsia" w:ascii="Times New Roman" w:hAnsi="Times New Roman" w:cs="Times New Roman"/>
        </w:rPr>
        <w:t>环境监理计划</w:t>
      </w:r>
      <w:r>
        <w:tab/>
      </w:r>
      <w:r>
        <w:fldChar w:fldCharType="begin"/>
      </w:r>
      <w:r>
        <w:instrText xml:space="preserve"> PAGEREF _Toc187675448 \h </w:instrText>
      </w:r>
      <w:r>
        <w:fldChar w:fldCharType="separate"/>
      </w:r>
      <w:r>
        <w:t>147</w:t>
      </w:r>
      <w:r>
        <w:fldChar w:fldCharType="end"/>
      </w:r>
      <w:r>
        <w:fldChar w:fldCharType="end"/>
      </w:r>
    </w:p>
    <w:p w14:paraId="3815F547">
      <w:pPr>
        <w:pStyle w:val="73"/>
        <w:tabs>
          <w:tab w:val="right" w:leader="dot" w:pos="8302"/>
        </w:tabs>
        <w:rPr>
          <w:rFonts w:eastAsiaTheme="minorEastAsia" w:cstheme="minorBidi"/>
          <w:smallCaps w:val="0"/>
          <w:kern w:val="2"/>
          <w:sz w:val="21"/>
          <w:szCs w:val="22"/>
        </w:rPr>
      </w:pPr>
      <w:r>
        <w:fldChar w:fldCharType="begin"/>
      </w:r>
      <w:r>
        <w:instrText xml:space="preserve"> HYPERLINK \l "_Toc187675449" </w:instrText>
      </w:r>
      <w:r>
        <w:fldChar w:fldCharType="separate"/>
      </w:r>
      <w:r>
        <w:rPr>
          <w:rStyle w:val="143"/>
          <w:rFonts w:ascii="Times New Roman" w:hAnsi="Times New Roman" w:cs="Times New Roman"/>
        </w:rPr>
        <w:t>9.4</w:t>
      </w:r>
      <w:r>
        <w:rPr>
          <w:rStyle w:val="143"/>
          <w:rFonts w:hint="eastAsia" w:ascii="Times New Roman" w:hAnsi="Times New Roman" w:cs="Times New Roman"/>
        </w:rPr>
        <w:t>项目竣工环保验收</w:t>
      </w:r>
      <w:r>
        <w:tab/>
      </w:r>
      <w:r>
        <w:fldChar w:fldCharType="begin"/>
      </w:r>
      <w:r>
        <w:instrText xml:space="preserve"> PAGEREF _Toc187675449 \h </w:instrText>
      </w:r>
      <w:r>
        <w:fldChar w:fldCharType="separate"/>
      </w:r>
      <w:r>
        <w:t>149</w:t>
      </w:r>
      <w:r>
        <w:fldChar w:fldCharType="end"/>
      </w:r>
      <w:r>
        <w:fldChar w:fldCharType="end"/>
      </w:r>
    </w:p>
    <w:p w14:paraId="3D6F63CF">
      <w:pPr>
        <w:pStyle w:val="58"/>
        <w:tabs>
          <w:tab w:val="right" w:leader="dot" w:pos="8302"/>
        </w:tabs>
        <w:rPr>
          <w:rFonts w:eastAsiaTheme="minorEastAsia" w:cstheme="minorBidi"/>
          <w:b w:val="0"/>
          <w:bCs w:val="0"/>
          <w:caps w:val="0"/>
          <w:kern w:val="2"/>
          <w:sz w:val="21"/>
          <w:szCs w:val="22"/>
        </w:rPr>
      </w:pPr>
      <w:r>
        <w:fldChar w:fldCharType="begin"/>
      </w:r>
      <w:r>
        <w:instrText xml:space="preserve"> HYPERLINK \l "_Toc187675450" </w:instrText>
      </w:r>
      <w:r>
        <w:fldChar w:fldCharType="separate"/>
      </w:r>
      <w:r>
        <w:rPr>
          <w:rStyle w:val="143"/>
          <w:rFonts w:ascii="Times New Roman" w:hAnsi="Times New Roman" w:cs="Times New Roman"/>
        </w:rPr>
        <w:t>10</w:t>
      </w:r>
      <w:r>
        <w:rPr>
          <w:rStyle w:val="143"/>
          <w:rFonts w:hint="eastAsia" w:ascii="Times New Roman" w:hAnsi="Times New Roman" w:cs="Times New Roman"/>
        </w:rPr>
        <w:t>环境影响评价结论</w:t>
      </w:r>
      <w:r>
        <w:tab/>
      </w:r>
      <w:r>
        <w:fldChar w:fldCharType="begin"/>
      </w:r>
      <w:r>
        <w:instrText xml:space="preserve"> PAGEREF _Toc187675450 \h </w:instrText>
      </w:r>
      <w:r>
        <w:fldChar w:fldCharType="separate"/>
      </w:r>
      <w:r>
        <w:t>151</w:t>
      </w:r>
      <w:r>
        <w:fldChar w:fldCharType="end"/>
      </w:r>
      <w:r>
        <w:fldChar w:fldCharType="end"/>
      </w:r>
    </w:p>
    <w:p w14:paraId="7554CCD2">
      <w:pPr>
        <w:pStyle w:val="73"/>
        <w:tabs>
          <w:tab w:val="right" w:leader="dot" w:pos="8302"/>
        </w:tabs>
        <w:rPr>
          <w:rFonts w:eastAsiaTheme="minorEastAsia" w:cstheme="minorBidi"/>
          <w:smallCaps w:val="0"/>
          <w:kern w:val="2"/>
          <w:sz w:val="21"/>
          <w:szCs w:val="22"/>
        </w:rPr>
      </w:pPr>
      <w:r>
        <w:fldChar w:fldCharType="begin"/>
      </w:r>
      <w:r>
        <w:instrText xml:space="preserve"> HYPERLINK \l "_Toc187675451" </w:instrText>
      </w:r>
      <w:r>
        <w:fldChar w:fldCharType="separate"/>
      </w:r>
      <w:r>
        <w:rPr>
          <w:rStyle w:val="143"/>
          <w:rFonts w:ascii="Times New Roman" w:hAnsi="Times New Roman" w:cs="Times New Roman"/>
        </w:rPr>
        <w:t>10.1</w:t>
      </w:r>
      <w:r>
        <w:rPr>
          <w:rStyle w:val="143"/>
          <w:rFonts w:hint="eastAsia" w:ascii="Times New Roman" w:hAnsi="Times New Roman" w:cs="Times New Roman"/>
        </w:rPr>
        <w:t>工程概况</w:t>
      </w:r>
      <w:r>
        <w:tab/>
      </w:r>
      <w:r>
        <w:fldChar w:fldCharType="begin"/>
      </w:r>
      <w:r>
        <w:instrText xml:space="preserve"> PAGEREF _Toc187675451 \h </w:instrText>
      </w:r>
      <w:r>
        <w:fldChar w:fldCharType="separate"/>
      </w:r>
      <w:r>
        <w:t>151</w:t>
      </w:r>
      <w:r>
        <w:fldChar w:fldCharType="end"/>
      </w:r>
      <w:r>
        <w:fldChar w:fldCharType="end"/>
      </w:r>
    </w:p>
    <w:p w14:paraId="51427F36">
      <w:pPr>
        <w:pStyle w:val="73"/>
        <w:tabs>
          <w:tab w:val="right" w:leader="dot" w:pos="8302"/>
        </w:tabs>
        <w:rPr>
          <w:rFonts w:eastAsiaTheme="minorEastAsia" w:cstheme="minorBidi"/>
          <w:smallCaps w:val="0"/>
          <w:kern w:val="2"/>
          <w:sz w:val="21"/>
          <w:szCs w:val="22"/>
        </w:rPr>
      </w:pPr>
      <w:r>
        <w:fldChar w:fldCharType="begin"/>
      </w:r>
      <w:r>
        <w:instrText xml:space="preserve"> HYPERLINK \l "_Toc187675452" </w:instrText>
      </w:r>
      <w:r>
        <w:fldChar w:fldCharType="separate"/>
      </w:r>
      <w:r>
        <w:rPr>
          <w:rStyle w:val="143"/>
          <w:rFonts w:ascii="Times New Roman" w:hAnsi="Times New Roman" w:cs="Times New Roman"/>
        </w:rPr>
        <w:t>10.2</w:t>
      </w:r>
      <w:r>
        <w:rPr>
          <w:rStyle w:val="143"/>
          <w:rFonts w:hint="eastAsia" w:ascii="Times New Roman" w:hAnsi="Times New Roman" w:cs="Times New Roman"/>
        </w:rPr>
        <w:t>环境质量现状评价结论</w:t>
      </w:r>
      <w:r>
        <w:tab/>
      </w:r>
      <w:r>
        <w:fldChar w:fldCharType="begin"/>
      </w:r>
      <w:r>
        <w:instrText xml:space="preserve"> PAGEREF _Toc187675452 \h </w:instrText>
      </w:r>
      <w:r>
        <w:fldChar w:fldCharType="separate"/>
      </w:r>
      <w:r>
        <w:t>151</w:t>
      </w:r>
      <w:r>
        <w:fldChar w:fldCharType="end"/>
      </w:r>
      <w:r>
        <w:fldChar w:fldCharType="end"/>
      </w:r>
    </w:p>
    <w:p w14:paraId="7F171C3F">
      <w:pPr>
        <w:pStyle w:val="73"/>
        <w:tabs>
          <w:tab w:val="right" w:leader="dot" w:pos="8302"/>
        </w:tabs>
        <w:rPr>
          <w:rFonts w:eastAsiaTheme="minorEastAsia" w:cstheme="minorBidi"/>
          <w:smallCaps w:val="0"/>
          <w:kern w:val="2"/>
          <w:sz w:val="21"/>
          <w:szCs w:val="22"/>
        </w:rPr>
      </w:pPr>
      <w:r>
        <w:fldChar w:fldCharType="begin"/>
      </w:r>
      <w:r>
        <w:instrText xml:space="preserve"> HYPERLINK \l "_Toc187675453" </w:instrText>
      </w:r>
      <w:r>
        <w:fldChar w:fldCharType="separate"/>
      </w:r>
      <w:r>
        <w:rPr>
          <w:rStyle w:val="143"/>
          <w:rFonts w:ascii="Times New Roman" w:hAnsi="Times New Roman" w:cs="Times New Roman"/>
        </w:rPr>
        <w:t>10.3</w:t>
      </w:r>
      <w:r>
        <w:rPr>
          <w:rStyle w:val="143"/>
          <w:rFonts w:hint="eastAsia" w:ascii="Times New Roman" w:hAnsi="Times New Roman" w:cs="Times New Roman"/>
        </w:rPr>
        <w:t>环境影响及环保措施</w:t>
      </w:r>
      <w:r>
        <w:tab/>
      </w:r>
      <w:r>
        <w:fldChar w:fldCharType="begin"/>
      </w:r>
      <w:r>
        <w:instrText xml:space="preserve"> PAGEREF _Toc187675453 \h </w:instrText>
      </w:r>
      <w:r>
        <w:fldChar w:fldCharType="separate"/>
      </w:r>
      <w:r>
        <w:t>152</w:t>
      </w:r>
      <w:r>
        <w:fldChar w:fldCharType="end"/>
      </w:r>
      <w:r>
        <w:fldChar w:fldCharType="end"/>
      </w:r>
    </w:p>
    <w:p w14:paraId="34A390BA">
      <w:pPr>
        <w:pStyle w:val="73"/>
        <w:tabs>
          <w:tab w:val="right" w:leader="dot" w:pos="8302"/>
        </w:tabs>
        <w:rPr>
          <w:rFonts w:eastAsiaTheme="minorEastAsia" w:cstheme="minorBidi"/>
          <w:smallCaps w:val="0"/>
          <w:kern w:val="2"/>
          <w:sz w:val="21"/>
          <w:szCs w:val="22"/>
        </w:rPr>
      </w:pPr>
      <w:r>
        <w:fldChar w:fldCharType="begin"/>
      </w:r>
      <w:r>
        <w:instrText xml:space="preserve"> HYPERLINK \l "_Toc187675454" </w:instrText>
      </w:r>
      <w:r>
        <w:fldChar w:fldCharType="separate"/>
      </w:r>
      <w:r>
        <w:rPr>
          <w:rStyle w:val="143"/>
          <w:rFonts w:ascii="Times New Roman" w:hAnsi="Times New Roman" w:cs="Times New Roman"/>
        </w:rPr>
        <w:t>10.4</w:t>
      </w:r>
      <w:r>
        <w:rPr>
          <w:rStyle w:val="143"/>
          <w:rFonts w:hint="eastAsia" w:ascii="Times New Roman" w:hAnsi="Times New Roman" w:cs="Times New Roman"/>
        </w:rPr>
        <w:t>公众参与</w:t>
      </w:r>
      <w:r>
        <w:tab/>
      </w:r>
      <w:r>
        <w:fldChar w:fldCharType="begin"/>
      </w:r>
      <w:r>
        <w:instrText xml:space="preserve"> PAGEREF _Toc187675454 \h </w:instrText>
      </w:r>
      <w:r>
        <w:fldChar w:fldCharType="separate"/>
      </w:r>
      <w:r>
        <w:t>157</w:t>
      </w:r>
      <w:r>
        <w:fldChar w:fldCharType="end"/>
      </w:r>
      <w:r>
        <w:fldChar w:fldCharType="end"/>
      </w:r>
    </w:p>
    <w:p w14:paraId="01F40285">
      <w:pPr>
        <w:pStyle w:val="73"/>
        <w:tabs>
          <w:tab w:val="right" w:leader="dot" w:pos="8302"/>
        </w:tabs>
        <w:rPr>
          <w:rFonts w:eastAsiaTheme="minorEastAsia" w:cstheme="minorBidi"/>
          <w:smallCaps w:val="0"/>
          <w:kern w:val="2"/>
          <w:sz w:val="21"/>
          <w:szCs w:val="22"/>
        </w:rPr>
      </w:pPr>
      <w:r>
        <w:fldChar w:fldCharType="begin"/>
      </w:r>
      <w:r>
        <w:instrText xml:space="preserve"> HYPERLINK \l "_Toc187675455" </w:instrText>
      </w:r>
      <w:r>
        <w:fldChar w:fldCharType="separate"/>
      </w:r>
      <w:r>
        <w:rPr>
          <w:rStyle w:val="143"/>
          <w:rFonts w:ascii="Times New Roman" w:hAnsi="Times New Roman" w:cs="Times New Roman"/>
        </w:rPr>
        <w:t>10.5</w:t>
      </w:r>
      <w:r>
        <w:rPr>
          <w:rStyle w:val="143"/>
          <w:rFonts w:hint="eastAsia" w:ascii="Times New Roman" w:hAnsi="Times New Roman" w:cs="Times New Roman"/>
        </w:rPr>
        <w:t>综合结论及建议</w:t>
      </w:r>
      <w:r>
        <w:tab/>
      </w:r>
      <w:r>
        <w:fldChar w:fldCharType="begin"/>
      </w:r>
      <w:r>
        <w:instrText xml:space="preserve"> PAGEREF _Toc187675455 \h </w:instrText>
      </w:r>
      <w:r>
        <w:fldChar w:fldCharType="separate"/>
      </w:r>
      <w:r>
        <w:t>157</w:t>
      </w:r>
      <w:r>
        <w:fldChar w:fldCharType="end"/>
      </w:r>
      <w:r>
        <w:fldChar w:fldCharType="end"/>
      </w:r>
    </w:p>
    <w:p w14:paraId="09115EB8">
      <w:pPr>
        <w:rPr>
          <w:rFonts w:ascii="Times New Roman" w:hAnsi="Times New Roman" w:cs="Times New Roman"/>
          <w:lang w:val="zh-CN"/>
        </w:rPr>
      </w:pPr>
      <w:r>
        <w:rPr>
          <w:rFonts w:ascii="Times New Roman" w:hAnsi="Times New Roman" w:cs="Times New Roman"/>
          <w:b/>
          <w:bCs/>
          <w:caps/>
          <w:sz w:val="20"/>
          <w:szCs w:val="21"/>
          <w:lang w:val="zh-CN"/>
        </w:rPr>
        <w:fldChar w:fldCharType="end"/>
      </w:r>
    </w:p>
    <w:p w14:paraId="7A6B6760">
      <w:pPr>
        <w:rPr>
          <w:rFonts w:ascii="Times New Roman" w:hAnsi="Times New Roman" w:eastAsia="隶书" w:cs="Times New Roman"/>
          <w:spacing w:val="72"/>
          <w:sz w:val="30"/>
          <w:szCs w:val="30"/>
        </w:rPr>
      </w:pPr>
    </w:p>
    <w:p w14:paraId="0569B6FE">
      <w:pPr>
        <w:spacing w:line="20" w:lineRule="exact"/>
        <w:rPr>
          <w:rFonts w:ascii="Times New Roman" w:hAnsi="Times New Roman" w:eastAsia="隶书" w:cs="Times New Roman"/>
          <w:spacing w:val="72"/>
          <w:sz w:val="30"/>
          <w:szCs w:val="30"/>
        </w:rPr>
      </w:pPr>
    </w:p>
    <w:tbl>
      <w:tblPr>
        <w:tblStyle w:val="87"/>
        <w:tblpPr w:leftFromText="180" w:rightFromText="180" w:vertAnchor="page" w:horzAnchor="margin" w:tblpXSpec="center" w:tblpY="15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616B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shd w:val="clear" w:color="auto" w:fill="auto"/>
            <w:vAlign w:val="center"/>
          </w:tcPr>
          <w:p w14:paraId="439DF2D5">
            <w:pPr>
              <w:adjustRightInd w:val="0"/>
              <w:snapToGrid w:val="0"/>
              <w:spacing w:line="288" w:lineRule="auto"/>
              <w:jc w:val="center"/>
              <w:rPr>
                <w:rFonts w:ascii="Times New Roman" w:hAnsi="Times New Roman" w:eastAsia="仿宋_GB2312" w:cs="Times New Roman"/>
                <w:sz w:val="36"/>
                <w:szCs w:val="36"/>
              </w:rPr>
            </w:pPr>
            <w:r>
              <w:rPr>
                <w:rFonts w:ascii="Times New Roman" w:hAnsi="Times New Roman" w:eastAsia="仿宋_GB2312" w:cs="Times New Roman"/>
                <w:sz w:val="36"/>
                <w:szCs w:val="36"/>
              </w:rPr>
              <w:drawing>
                <wp:inline distT="0" distB="0" distL="0" distR="0">
                  <wp:extent cx="2519680" cy="2159635"/>
                  <wp:effectExtent l="0" t="0" r="0" b="0"/>
                  <wp:docPr id="19" name="图片 19" descr="E:\项目\2024\G3012-草湖-G314公路\41团草湖公路现场照片\41团草湖公路\IMG_20241013_1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项目\2024\G3012-草湖-G314公路\41团草湖公路现场照片\41团草湖公路\IMG_20241013_1140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c>
          <w:tcPr>
            <w:tcW w:w="5295" w:type="dxa"/>
            <w:shd w:val="clear" w:color="auto" w:fill="auto"/>
            <w:vAlign w:val="center"/>
          </w:tcPr>
          <w:p w14:paraId="1D79B6F0">
            <w:pPr>
              <w:adjustRightInd w:val="0"/>
              <w:snapToGrid w:val="0"/>
              <w:spacing w:line="288" w:lineRule="auto"/>
              <w:jc w:val="center"/>
              <w:rPr>
                <w:rFonts w:ascii="Times New Roman" w:hAnsi="Times New Roman" w:eastAsia="仿宋_GB2312" w:cs="Times New Roman"/>
                <w:sz w:val="36"/>
                <w:szCs w:val="36"/>
              </w:rPr>
            </w:pPr>
            <w:r>
              <w:rPr>
                <w:rFonts w:ascii="Times New Roman" w:hAnsi="Times New Roman" w:eastAsia="仿宋_GB2312" w:cs="Times New Roman"/>
                <w:sz w:val="36"/>
                <w:szCs w:val="36"/>
              </w:rPr>
              <w:drawing>
                <wp:inline distT="0" distB="0" distL="0" distR="0">
                  <wp:extent cx="2519680" cy="2159635"/>
                  <wp:effectExtent l="0" t="0" r="0" b="0"/>
                  <wp:docPr id="3" name="图片 3" descr="E:\项目\2024\G3012-草湖-G314公路\41团草湖公路现场照片\41团草湖公路\IMG_20241013_1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项目\2024\G3012-草湖-G314公路\41团草湖公路现场照片\41团草湖公路\IMG_20241013_1249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r>
      <w:tr w14:paraId="13E2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295" w:type="dxa"/>
            <w:shd w:val="clear" w:color="auto" w:fill="auto"/>
            <w:vAlign w:val="center"/>
          </w:tcPr>
          <w:p w14:paraId="01D81296">
            <w:pPr>
              <w:adjustRightInd w:val="0"/>
              <w:snapToGrid w:val="0"/>
              <w:spacing w:line="288" w:lineRule="auto"/>
              <w:jc w:val="center"/>
              <w:rPr>
                <w:rFonts w:ascii="Times New Roman" w:hAnsi="Times New Roman" w:cs="Times New Roman"/>
              </w:rPr>
            </w:pPr>
            <w:r>
              <w:rPr>
                <w:rFonts w:ascii="Times New Roman" w:hAnsi="Times New Roman" w:cs="Times New Roman"/>
              </w:rPr>
              <w:t>项目区域自然植被</w:t>
            </w:r>
          </w:p>
        </w:tc>
        <w:tc>
          <w:tcPr>
            <w:tcW w:w="5295" w:type="dxa"/>
            <w:shd w:val="clear" w:color="auto" w:fill="auto"/>
            <w:vAlign w:val="center"/>
          </w:tcPr>
          <w:p w14:paraId="594DAC94">
            <w:pPr>
              <w:adjustRightInd w:val="0"/>
              <w:snapToGrid w:val="0"/>
              <w:spacing w:line="288" w:lineRule="auto"/>
              <w:jc w:val="center"/>
              <w:rPr>
                <w:rFonts w:ascii="Times New Roman" w:hAnsi="Times New Roman" w:cs="Times New Roman"/>
              </w:rPr>
            </w:pPr>
            <w:r>
              <w:rPr>
                <w:rFonts w:ascii="Times New Roman" w:hAnsi="Times New Roman" w:cs="Times New Roman"/>
              </w:rPr>
              <w:t>项目区域自然植被</w:t>
            </w:r>
          </w:p>
        </w:tc>
      </w:tr>
      <w:tr w14:paraId="57BD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shd w:val="clear" w:color="auto" w:fill="auto"/>
            <w:vAlign w:val="center"/>
          </w:tcPr>
          <w:p w14:paraId="74E54E36">
            <w:pPr>
              <w:adjustRightInd w:val="0"/>
              <w:snapToGrid w:val="0"/>
              <w:spacing w:line="288" w:lineRule="auto"/>
              <w:jc w:val="center"/>
              <w:rPr>
                <w:rFonts w:ascii="Times New Roman" w:hAnsi="Times New Roman" w:eastAsia="仿宋_GB2312" w:cs="Times New Roman"/>
                <w:sz w:val="36"/>
                <w:szCs w:val="36"/>
              </w:rPr>
            </w:pPr>
            <w:r>
              <w:rPr>
                <w:rFonts w:ascii="Times New Roman" w:hAnsi="Times New Roman" w:eastAsia="仿宋_GB2312" w:cs="Times New Roman"/>
                <w:sz w:val="36"/>
                <w:szCs w:val="36"/>
              </w:rPr>
              <w:drawing>
                <wp:inline distT="0" distB="0" distL="0" distR="0">
                  <wp:extent cx="2519680" cy="2159635"/>
                  <wp:effectExtent l="0" t="0" r="0" b="0"/>
                  <wp:docPr id="24" name="图片 24" descr="E:\项目\2024\G3012-草湖-G314公路\41团草湖公路现场照片\41团草湖公路\IMG_20241013_1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项目\2024\G3012-草湖-G314公路\41团草湖公路现场照片\41团草湖公路\IMG_20241013_1227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c>
          <w:tcPr>
            <w:tcW w:w="5295" w:type="dxa"/>
            <w:shd w:val="clear" w:color="auto" w:fill="auto"/>
            <w:vAlign w:val="center"/>
          </w:tcPr>
          <w:p w14:paraId="1BF66CEC">
            <w:pPr>
              <w:adjustRightInd w:val="0"/>
              <w:snapToGrid w:val="0"/>
              <w:spacing w:line="288" w:lineRule="auto"/>
              <w:jc w:val="center"/>
              <w:rPr>
                <w:rFonts w:ascii="Times New Roman" w:hAnsi="Times New Roman" w:eastAsia="仿宋_GB2312" w:cs="Times New Roman"/>
                <w:sz w:val="36"/>
                <w:szCs w:val="36"/>
              </w:rPr>
            </w:pPr>
            <w:r>
              <w:rPr>
                <w:rFonts w:ascii="Times New Roman" w:hAnsi="Times New Roman" w:eastAsia="仿宋_GB2312" w:cs="Times New Roman"/>
                <w:sz w:val="36"/>
                <w:szCs w:val="36"/>
              </w:rPr>
              <w:drawing>
                <wp:inline distT="0" distB="0" distL="0" distR="0">
                  <wp:extent cx="2519680" cy="2159635"/>
                  <wp:effectExtent l="0" t="0" r="0" b="0"/>
                  <wp:docPr id="34" name="图片 34" descr="E:\项目\2024\G3012-草湖-G314公路\41团草湖公路现场照片\41团草湖公路\IMG_20241013_12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项目\2024\G3012-草湖-G314公路\41团草湖公路现场照片\41团草湖公路\IMG_20241013_1227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r>
      <w:tr w14:paraId="21B5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shd w:val="clear" w:color="auto" w:fill="auto"/>
            <w:vAlign w:val="center"/>
          </w:tcPr>
          <w:p w14:paraId="17C8B9F1">
            <w:pPr>
              <w:adjustRightInd w:val="0"/>
              <w:snapToGrid w:val="0"/>
              <w:spacing w:line="288" w:lineRule="auto"/>
              <w:jc w:val="center"/>
              <w:rPr>
                <w:rFonts w:ascii="Times New Roman" w:hAnsi="Times New Roman" w:cs="Times New Roman"/>
              </w:rPr>
            </w:pPr>
            <w:r>
              <w:rPr>
                <w:rFonts w:hint="eastAsia" w:ascii="Times New Roman" w:hAnsi="Times New Roman" w:cs="Times New Roman"/>
              </w:rPr>
              <w:t>布拉克苏乡路旁村庄K</w:t>
            </w:r>
            <w:r>
              <w:rPr>
                <w:rFonts w:ascii="Times New Roman" w:hAnsi="Times New Roman" w:cs="Times New Roman"/>
              </w:rPr>
              <w:t>8+300</w:t>
            </w:r>
          </w:p>
        </w:tc>
        <w:tc>
          <w:tcPr>
            <w:tcW w:w="5295" w:type="dxa"/>
            <w:shd w:val="clear" w:color="auto" w:fill="auto"/>
            <w:vAlign w:val="center"/>
          </w:tcPr>
          <w:p w14:paraId="0A92182A">
            <w:pPr>
              <w:adjustRightInd w:val="0"/>
              <w:snapToGrid w:val="0"/>
              <w:spacing w:line="288" w:lineRule="auto"/>
              <w:jc w:val="center"/>
              <w:rPr>
                <w:rFonts w:ascii="Times New Roman" w:hAnsi="Times New Roman" w:cs="Times New Roman"/>
              </w:rPr>
            </w:pPr>
            <w:r>
              <w:rPr>
                <w:rFonts w:hint="eastAsia" w:ascii="Times New Roman" w:hAnsi="Times New Roman" w:cs="Times New Roman"/>
              </w:rPr>
              <w:t>布拉克苏乡路旁村庄</w:t>
            </w:r>
            <w:r>
              <w:rPr>
                <w:rFonts w:ascii="Times New Roman" w:hAnsi="Times New Roman" w:cs="Times New Roman"/>
              </w:rPr>
              <w:t>K9+200</w:t>
            </w:r>
          </w:p>
        </w:tc>
      </w:tr>
      <w:tr w14:paraId="3263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shd w:val="clear" w:color="auto" w:fill="auto"/>
            <w:vAlign w:val="center"/>
          </w:tcPr>
          <w:p w14:paraId="51B78CE9">
            <w:pPr>
              <w:adjustRightInd w:val="0"/>
              <w:snapToGrid w:val="0"/>
              <w:spacing w:line="288" w:lineRule="auto"/>
              <w:jc w:val="center"/>
              <w:rPr>
                <w:rFonts w:ascii="Times New Roman" w:hAnsi="Times New Roman" w:cs="Times New Roman"/>
              </w:rPr>
            </w:pPr>
            <w:r>
              <w:rPr>
                <w:rFonts w:ascii="Times New Roman" w:hAnsi="Times New Roman" w:cs="Times New Roman"/>
              </w:rPr>
              <w:drawing>
                <wp:inline distT="0" distB="0" distL="0" distR="0">
                  <wp:extent cx="2519680" cy="2159635"/>
                  <wp:effectExtent l="0" t="0" r="0" b="0"/>
                  <wp:docPr id="36" name="图片 36" descr="E:\项目\2024\G3012-草湖-G314公路\41团草湖公路现场照片\41团草湖公路\IMG_20241013_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项目\2024\G3012-草湖-G314公路\41团草湖公路现场照片\41团草湖公路\IMG_20241013_1312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c>
          <w:tcPr>
            <w:tcW w:w="5295" w:type="dxa"/>
            <w:shd w:val="clear" w:color="auto" w:fill="auto"/>
            <w:vAlign w:val="center"/>
          </w:tcPr>
          <w:p w14:paraId="09A5A2CF">
            <w:pPr>
              <w:adjustRightInd w:val="0"/>
              <w:snapToGrid w:val="0"/>
              <w:spacing w:line="288" w:lineRule="auto"/>
              <w:jc w:val="center"/>
              <w:rPr>
                <w:rFonts w:ascii="Times New Roman" w:hAnsi="Times New Roman" w:cs="Times New Roman"/>
              </w:rPr>
            </w:pPr>
            <w:r>
              <w:rPr>
                <w:rFonts w:ascii="Times New Roman" w:hAnsi="Times New Roman" w:cs="Times New Roman"/>
              </w:rPr>
              <w:drawing>
                <wp:inline distT="0" distB="0" distL="0" distR="0">
                  <wp:extent cx="2519680" cy="2159635"/>
                  <wp:effectExtent l="0" t="0" r="0" b="0"/>
                  <wp:docPr id="37" name="图片 37" descr="E:\项目\2024\G3012-草湖-G314公路\41团草湖公路现场照片\41团草湖公路\IMG_20241013_13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项目\2024\G3012-草湖-G314公路\41团草湖公路现场照片\41团草湖公路\IMG_20241013_1312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r>
      <w:tr w14:paraId="5F18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shd w:val="clear" w:color="auto" w:fill="auto"/>
            <w:vAlign w:val="center"/>
          </w:tcPr>
          <w:p w14:paraId="3365ECD8">
            <w:pPr>
              <w:widowControl w:val="0"/>
              <w:autoSpaceDE w:val="0"/>
              <w:autoSpaceDN w:val="0"/>
              <w:adjustRightInd w:val="0"/>
              <w:jc w:val="center"/>
              <w:rPr>
                <w:rFonts w:ascii="Times New Roman" w:hAnsi="Times New Roman" w:cs="Times New Roman"/>
              </w:rPr>
            </w:pPr>
            <w:r>
              <w:rPr>
                <w:rFonts w:hint="eastAsia" w:ascii="Times New Roman" w:hAnsi="Times New Roman" w:cs="Times New Roman"/>
              </w:rPr>
              <w:t>K</w:t>
            </w:r>
            <w:r>
              <w:rPr>
                <w:rFonts w:ascii="Times New Roman" w:hAnsi="Times New Roman" w:cs="Times New Roman"/>
              </w:rPr>
              <w:t>13+200  1#弃土场周边选址地貌</w:t>
            </w:r>
          </w:p>
        </w:tc>
        <w:tc>
          <w:tcPr>
            <w:tcW w:w="5295" w:type="dxa"/>
            <w:shd w:val="clear" w:color="auto" w:fill="auto"/>
            <w:vAlign w:val="center"/>
          </w:tcPr>
          <w:p w14:paraId="683BF44E">
            <w:pPr>
              <w:adjustRightInd w:val="0"/>
              <w:snapToGrid w:val="0"/>
              <w:spacing w:line="288" w:lineRule="auto"/>
              <w:jc w:val="center"/>
              <w:rPr>
                <w:rFonts w:ascii="Times New Roman" w:hAnsi="Times New Roman" w:cs="Times New Roman"/>
              </w:rPr>
            </w:pPr>
            <w:r>
              <w:rPr>
                <w:rFonts w:ascii="Times New Roman" w:hAnsi="Times New Roman" w:cs="Times New Roman"/>
              </w:rPr>
              <w:t>K13+400  2#弃土场周边选址地貌</w:t>
            </w:r>
          </w:p>
        </w:tc>
      </w:tr>
      <w:tr w14:paraId="71F2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shd w:val="clear" w:color="auto" w:fill="auto"/>
            <w:vAlign w:val="center"/>
          </w:tcPr>
          <w:p w14:paraId="4236B1E7">
            <w:pPr>
              <w:adjustRightInd w:val="0"/>
              <w:snapToGrid w:val="0"/>
              <w:spacing w:line="288" w:lineRule="auto"/>
              <w:jc w:val="center"/>
              <w:rPr>
                <w:rFonts w:ascii="Times New Roman" w:hAnsi="Times New Roman" w:cs="Times New Roman"/>
              </w:rPr>
            </w:pPr>
            <w:r>
              <w:rPr>
                <w:rFonts w:ascii="Times New Roman" w:hAnsi="Times New Roman" w:cs="Times New Roman"/>
              </w:rPr>
              <w:drawing>
                <wp:inline distT="0" distB="0" distL="0" distR="0">
                  <wp:extent cx="2519680" cy="1889760"/>
                  <wp:effectExtent l="0" t="0" r="0" b="0"/>
                  <wp:docPr id="39" name="图片 39" descr="E:\项目\2024\G3012-草湖-G314公路\41团草湖公路现场照片\41团草湖公路\IMG_20241013_13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项目\2024\G3012-草湖-G314公路\41团草湖公路现场照片\41团草湖公路\IMG_20241013_1314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0" cy="1890000"/>
                          </a:xfrm>
                          <a:prstGeom prst="rect">
                            <a:avLst/>
                          </a:prstGeom>
                          <a:noFill/>
                          <a:ln>
                            <a:noFill/>
                          </a:ln>
                        </pic:spPr>
                      </pic:pic>
                    </a:graphicData>
                  </a:graphic>
                </wp:inline>
              </w:drawing>
            </w:r>
          </w:p>
        </w:tc>
        <w:tc>
          <w:tcPr>
            <w:tcW w:w="5295" w:type="dxa"/>
            <w:shd w:val="clear" w:color="auto" w:fill="auto"/>
            <w:vAlign w:val="center"/>
          </w:tcPr>
          <w:p w14:paraId="4753B925">
            <w:pPr>
              <w:adjustRightInd w:val="0"/>
              <w:snapToGrid w:val="0"/>
              <w:spacing w:line="288" w:lineRule="auto"/>
              <w:jc w:val="center"/>
              <w:rPr>
                <w:rFonts w:ascii="Times New Roman" w:hAnsi="Times New Roman" w:cs="Times New Roman"/>
              </w:rPr>
            </w:pPr>
            <w:r>
              <w:rPr>
                <w:rFonts w:ascii="Times New Roman" w:hAnsi="Times New Roman" w:cs="Times New Roman"/>
              </w:rPr>
              <w:drawing>
                <wp:inline distT="0" distB="0" distL="0" distR="0">
                  <wp:extent cx="2519680" cy="1889760"/>
                  <wp:effectExtent l="0" t="0" r="0" b="0"/>
                  <wp:docPr id="7" name="图片 7" descr="E:\项目\2024\G3012-草湖-G314公路\41团草湖公路现场照片\41团草湖公路\IMG_20241013_14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项目\2024\G3012-草湖-G314公路\41团草湖公路现场照片\41团草湖公路\IMG_20241013_1454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0000" cy="1890000"/>
                          </a:xfrm>
                          <a:prstGeom prst="rect">
                            <a:avLst/>
                          </a:prstGeom>
                          <a:noFill/>
                          <a:ln>
                            <a:noFill/>
                          </a:ln>
                        </pic:spPr>
                      </pic:pic>
                    </a:graphicData>
                  </a:graphic>
                </wp:inline>
              </w:drawing>
            </w:r>
          </w:p>
        </w:tc>
      </w:tr>
      <w:tr w14:paraId="35C5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5" w:type="dxa"/>
            <w:shd w:val="clear" w:color="auto" w:fill="auto"/>
            <w:vAlign w:val="center"/>
          </w:tcPr>
          <w:p w14:paraId="00F92625">
            <w:pPr>
              <w:adjustRightInd w:val="0"/>
              <w:snapToGrid w:val="0"/>
              <w:spacing w:line="288" w:lineRule="auto"/>
              <w:jc w:val="center"/>
              <w:rPr>
                <w:rFonts w:ascii="Times New Roman" w:hAnsi="Times New Roman" w:cs="Times New Roman"/>
              </w:rPr>
            </w:pPr>
            <w:r>
              <w:rPr>
                <w:rFonts w:ascii="Times New Roman" w:hAnsi="Times New Roman" w:cs="Times New Roman"/>
              </w:rPr>
              <w:t>样方调查</w:t>
            </w:r>
          </w:p>
        </w:tc>
        <w:tc>
          <w:tcPr>
            <w:tcW w:w="5295" w:type="dxa"/>
            <w:shd w:val="clear" w:color="auto" w:fill="auto"/>
            <w:vAlign w:val="center"/>
          </w:tcPr>
          <w:p w14:paraId="7139141C">
            <w:pPr>
              <w:adjustRightInd w:val="0"/>
              <w:snapToGrid w:val="0"/>
              <w:spacing w:line="288" w:lineRule="auto"/>
              <w:jc w:val="center"/>
              <w:rPr>
                <w:rFonts w:ascii="Times New Roman" w:hAnsi="Times New Roman" w:cs="Times New Roman"/>
              </w:rPr>
            </w:pPr>
            <w:r>
              <w:rPr>
                <w:rFonts w:ascii="Times New Roman" w:hAnsi="Times New Roman" w:cs="Times New Roman"/>
              </w:rPr>
              <w:t>拟跨越的盖孜河河道</w:t>
            </w:r>
          </w:p>
        </w:tc>
      </w:tr>
      <w:tr w14:paraId="71A6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1" w:hRule="atLeast"/>
          <w:jc w:val="center"/>
        </w:trPr>
        <w:tc>
          <w:tcPr>
            <w:tcW w:w="5295" w:type="dxa"/>
            <w:shd w:val="clear" w:color="auto" w:fill="auto"/>
            <w:vAlign w:val="center"/>
          </w:tcPr>
          <w:p w14:paraId="6EE5F16D">
            <w:pPr>
              <w:adjustRightInd w:val="0"/>
              <w:snapToGrid w:val="0"/>
              <w:spacing w:line="288" w:lineRule="auto"/>
              <w:jc w:val="center"/>
              <w:rPr>
                <w:rFonts w:ascii="Times New Roman" w:hAnsi="Times New Roman" w:cs="Times New Roman"/>
              </w:rPr>
            </w:pPr>
            <w:r>
              <w:rPr>
                <w:rFonts w:ascii="Times New Roman" w:hAnsi="Times New Roman" w:cs="Times New Roman"/>
              </w:rPr>
              <w:drawing>
                <wp:inline distT="0" distB="0" distL="0" distR="0">
                  <wp:extent cx="2519680" cy="2159635"/>
                  <wp:effectExtent l="0" t="0" r="0" b="0"/>
                  <wp:docPr id="38" name="图片 38" descr="E:\项目\2024\G3012-草湖-G314公路\41团草湖公路现场照片\41团草湖公路\IMG_20241013_14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项目\2024\G3012-草湖-G314公路\41团草湖公路现场照片\41团草湖公路\IMG_20241013_1418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c>
          <w:tcPr>
            <w:tcW w:w="5295" w:type="dxa"/>
            <w:shd w:val="clear" w:color="auto" w:fill="auto"/>
            <w:vAlign w:val="center"/>
          </w:tcPr>
          <w:p w14:paraId="066BD3BE">
            <w:pPr>
              <w:adjustRightInd w:val="0"/>
              <w:snapToGrid w:val="0"/>
              <w:spacing w:line="288" w:lineRule="auto"/>
              <w:jc w:val="center"/>
              <w:rPr>
                <w:rFonts w:ascii="Times New Roman" w:hAnsi="Times New Roman" w:cs="Times New Roman"/>
              </w:rPr>
            </w:pPr>
            <w:r>
              <w:rPr>
                <w:rFonts w:ascii="Times New Roman" w:hAnsi="Times New Roman" w:cs="Times New Roman"/>
              </w:rPr>
              <w:drawing>
                <wp:inline distT="0" distB="0" distL="0" distR="0">
                  <wp:extent cx="2519680" cy="2159635"/>
                  <wp:effectExtent l="0" t="0" r="0" b="0"/>
                  <wp:docPr id="70" name="图片 70" descr="E:\项目\2024\G3012-草湖-G314公路\41团草湖公路现场照片\41团草湖公路\IMG_20241013_14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E:\项目\2024\G3012-草湖-G314公路\41团草湖公路现场照片\41团草湖公路\IMG_20241013_1432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20000" cy="2160000"/>
                          </a:xfrm>
                          <a:prstGeom prst="rect">
                            <a:avLst/>
                          </a:prstGeom>
                          <a:noFill/>
                          <a:ln>
                            <a:noFill/>
                          </a:ln>
                        </pic:spPr>
                      </pic:pic>
                    </a:graphicData>
                  </a:graphic>
                </wp:inline>
              </w:drawing>
            </w:r>
          </w:p>
        </w:tc>
      </w:tr>
      <w:tr w14:paraId="1011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90" w:type="dxa"/>
            <w:gridSpan w:val="2"/>
            <w:shd w:val="clear" w:color="auto" w:fill="auto"/>
            <w:vAlign w:val="center"/>
          </w:tcPr>
          <w:p w14:paraId="29AA948D">
            <w:pPr>
              <w:adjustRightInd w:val="0"/>
              <w:snapToGrid w:val="0"/>
              <w:spacing w:line="288" w:lineRule="auto"/>
              <w:jc w:val="center"/>
              <w:rPr>
                <w:rFonts w:ascii="Times New Roman" w:hAnsi="Times New Roman" w:cs="Times New Roman"/>
              </w:rPr>
            </w:pPr>
            <w:r>
              <w:rPr>
                <w:rFonts w:ascii="Times New Roman" w:hAnsi="Times New Roman" w:cs="Times New Roman"/>
              </w:rPr>
              <w:t>K28+903.96</w:t>
            </w:r>
            <w:r>
              <w:rPr>
                <w:rFonts w:ascii="Times New Roman" w:hAnsi="Times New Roman" w:cs="Times New Roman"/>
              </w:rPr>
              <w:tab/>
            </w:r>
            <w:r>
              <w:rPr>
                <w:rFonts w:ascii="Times New Roman" w:hAnsi="Times New Roman" w:cs="Times New Roman"/>
              </w:rPr>
              <w:t>苏古鲁克河大桥现状地貌</w:t>
            </w:r>
          </w:p>
        </w:tc>
      </w:tr>
    </w:tbl>
    <w:p w14:paraId="73ADE2FC">
      <w:pPr>
        <w:ind w:firstLine="643" w:firstLineChars="200"/>
        <w:jc w:val="center"/>
        <w:rPr>
          <w:rFonts w:ascii="Times New Roman" w:hAnsi="Times New Roman" w:cs="Times New Roman"/>
          <w:b/>
          <w:bCs/>
          <w:sz w:val="32"/>
        </w:rPr>
      </w:pPr>
    </w:p>
    <w:p w14:paraId="2289E861">
      <w:pPr>
        <w:rPr>
          <w:rFonts w:ascii="Times New Roman" w:hAnsi="Times New Roman" w:cs="Times New Roman"/>
          <w:sz w:val="32"/>
        </w:rPr>
      </w:pPr>
    </w:p>
    <w:p w14:paraId="062DCA87">
      <w:pPr>
        <w:rPr>
          <w:rFonts w:ascii="Times New Roman" w:hAnsi="Times New Roman" w:cs="Times New Roman"/>
          <w:sz w:val="32"/>
        </w:rPr>
      </w:pPr>
    </w:p>
    <w:p w14:paraId="50F79987">
      <w:pPr>
        <w:tabs>
          <w:tab w:val="left" w:pos="4833"/>
        </w:tabs>
        <w:rPr>
          <w:rFonts w:ascii="Times New Roman" w:hAnsi="Times New Roman" w:cs="Times New Roman"/>
          <w:sz w:val="32"/>
        </w:rPr>
        <w:sectPr>
          <w:headerReference r:id="rId4" w:type="default"/>
          <w:pgSz w:w="11906" w:h="16838"/>
          <w:pgMar w:top="1440" w:right="1797" w:bottom="1440" w:left="1797" w:header="794" w:footer="850" w:gutter="0"/>
          <w:pgNumType w:fmt="upperRoman" w:start="1"/>
          <w:cols w:space="720" w:num="1"/>
          <w:docGrid w:type="lines" w:linePitch="326" w:charSpace="0"/>
        </w:sectPr>
      </w:pPr>
      <w:r>
        <w:rPr>
          <w:rFonts w:ascii="Times New Roman" w:hAnsi="Times New Roman" w:cs="Times New Roman"/>
          <w:sz w:val="32"/>
        </w:rPr>
        <w:tab/>
      </w:r>
    </w:p>
    <w:p w14:paraId="193E0571">
      <w:pPr>
        <w:spacing w:line="20" w:lineRule="exact"/>
        <w:rPr>
          <w:rFonts w:ascii="Times New Roman" w:hAnsi="Times New Roman" w:eastAsia="隶书" w:cs="Times New Roman"/>
          <w:spacing w:val="72"/>
          <w:sz w:val="30"/>
          <w:szCs w:val="30"/>
        </w:rPr>
      </w:pPr>
    </w:p>
    <w:p w14:paraId="7B6374B9">
      <w:pPr>
        <w:pStyle w:val="2"/>
        <w:adjustRightInd w:val="0"/>
        <w:snapToGrid w:val="0"/>
        <w:spacing w:before="240" w:after="120" w:line="240" w:lineRule="auto"/>
        <w:rPr>
          <w:rFonts w:ascii="Times New Roman" w:hAnsi="Times New Roman" w:cs="Times New Roman"/>
        </w:rPr>
      </w:pPr>
      <w:bookmarkStart w:id="11" w:name="_Toc316561588"/>
      <w:bookmarkStart w:id="12" w:name="_Toc381605942"/>
      <w:bookmarkStart w:id="13" w:name="_Toc4507831"/>
      <w:bookmarkStart w:id="14" w:name="_Toc98413470"/>
      <w:bookmarkStart w:id="15" w:name="_Toc187675400"/>
      <w:r>
        <w:rPr>
          <w:rFonts w:ascii="Times New Roman" w:hAnsi="Times New Roman" w:cs="Times New Roman"/>
        </w:rPr>
        <w:t>1</w:t>
      </w:r>
      <w:bookmarkEnd w:id="1"/>
      <w:bookmarkEnd w:id="11"/>
      <w:bookmarkEnd w:id="12"/>
      <w:r>
        <w:rPr>
          <w:rFonts w:ascii="Times New Roman" w:hAnsi="Times New Roman" w:cs="Times New Roman"/>
        </w:rPr>
        <w:t>概述</w:t>
      </w:r>
      <w:bookmarkEnd w:id="13"/>
      <w:bookmarkEnd w:id="14"/>
      <w:bookmarkEnd w:id="15"/>
      <w:r>
        <w:rPr>
          <w:rFonts w:hint="eastAsia" w:ascii="Times New Roman" w:hAnsi="Times New Roman" w:cs="Times New Roman"/>
        </w:rPr>
        <w:t xml:space="preserve">  </w:t>
      </w:r>
    </w:p>
    <w:p w14:paraId="3181D1A6">
      <w:pPr>
        <w:pStyle w:val="3"/>
        <w:adjustRightInd w:val="0"/>
        <w:snapToGrid w:val="0"/>
        <w:spacing w:before="120" w:after="120" w:line="240" w:lineRule="auto"/>
        <w:rPr>
          <w:rFonts w:ascii="Times New Roman" w:hAnsi="Times New Roman" w:cs="Times New Roman"/>
          <w:color w:val="00B050"/>
        </w:rPr>
      </w:pPr>
      <w:bookmarkStart w:id="16" w:name="_Toc316510989"/>
      <w:bookmarkStart w:id="17" w:name="_Toc316561589"/>
      <w:bookmarkStart w:id="18" w:name="_Toc381605943"/>
      <w:bookmarkStart w:id="19" w:name="_Toc187675401"/>
      <w:bookmarkStart w:id="20" w:name="_Toc98413471"/>
      <w:bookmarkStart w:id="21" w:name="_Toc4507832"/>
      <w:r>
        <w:rPr>
          <w:rFonts w:ascii="Times New Roman" w:hAnsi="Times New Roman" w:cs="Times New Roman"/>
        </w:rPr>
        <w:t>1.1</w:t>
      </w:r>
      <w:bookmarkEnd w:id="16"/>
      <w:bookmarkEnd w:id="17"/>
      <w:bookmarkEnd w:id="18"/>
      <w:r>
        <w:rPr>
          <w:rFonts w:ascii="Times New Roman" w:hAnsi="Times New Roman" w:cs="Times New Roman"/>
        </w:rPr>
        <w:t>建设由来</w:t>
      </w:r>
      <w:bookmarkEnd w:id="19"/>
    </w:p>
    <w:p w14:paraId="5C548B45">
      <w:pPr>
        <w:autoSpaceDE w:val="0"/>
        <w:autoSpaceDN w:val="0"/>
        <w:adjustRightInd w:val="0"/>
        <w:spacing w:line="360" w:lineRule="auto"/>
        <w:ind w:firstLine="480" w:firstLineChars="200"/>
        <w:jc w:val="both"/>
        <w:rPr>
          <w:rFonts w:ascii="Times New Roman" w:hAnsi="Times New Roman" w:cs="Times New Roman"/>
        </w:rPr>
      </w:pPr>
      <w:r>
        <w:rPr>
          <w:rFonts w:ascii="Times New Roman" w:hAnsi="Times New Roman" w:cs="Times New Roman"/>
        </w:rPr>
        <w:t>2013 年中国国家主席习近平在出访中亚和东南亚国家期间，提出共建丝绸之路</w:t>
      </w:r>
      <w:r>
        <w:rPr>
          <w:rFonts w:hint="eastAsia" w:ascii="Times New Roman" w:hAnsi="Times New Roman" w:cs="Times New Roman"/>
        </w:rPr>
        <w:t>经济带的重大倡议，形成整合欧亚大陆经济的一带一路构想。</w:t>
      </w:r>
      <w:r>
        <w:rPr>
          <w:rFonts w:ascii="Times New Roman" w:hAnsi="Times New Roman" w:cs="Times New Roman"/>
        </w:rPr>
        <w:t>2015 年发布的《推</w:t>
      </w:r>
      <w:r>
        <w:rPr>
          <w:rFonts w:hint="eastAsia" w:ascii="Times New Roman" w:hAnsi="Times New Roman" w:cs="Times New Roman"/>
        </w:rPr>
        <w:t>动共建丝绸之路经济带和</w:t>
      </w:r>
      <w:r>
        <w:rPr>
          <w:rFonts w:ascii="Times New Roman" w:hAnsi="Times New Roman" w:cs="Times New Roman"/>
        </w:rPr>
        <w:t xml:space="preserve"> 21 世纪海上丝绸之路的愿景与行动》明确提出“发挥新疆</w:t>
      </w:r>
      <w:r>
        <w:rPr>
          <w:rFonts w:hint="eastAsia" w:ascii="Times New Roman" w:hAnsi="Times New Roman" w:cs="Times New Roman"/>
        </w:rPr>
        <w:t>独特的区位优势和向西开放重要窗口作用，深化与中亚、南亚、西亚等国家交流合作，形成丝绸之路经济带上重要的交通枢纽、商贸物流和文化科教中心，打造丝绸之路经济带核心区”。喀什、克州地区作为丝绸之路经济带中国</w:t>
      </w:r>
      <w:r>
        <w:rPr>
          <w:rFonts w:ascii="Times New Roman" w:hAnsi="Times New Roman" w:cs="Times New Roman"/>
        </w:rPr>
        <w:t>-中亚-西亚经济走廊和中巴经济走廊两条走廊的境内最后一站，是新疆承载国家向西开放的门户地区，也是近年来国家战略的重要投放地。草湖项目区作为兵团在中巴经济走廊的重要战略节点，承担着向西开放、交通链接的历史使命。</w:t>
      </w:r>
    </w:p>
    <w:p w14:paraId="326FB839">
      <w:pPr>
        <w:autoSpaceDE w:val="0"/>
        <w:autoSpaceDN w:val="0"/>
        <w:adjustRightInd w:val="0"/>
        <w:spacing w:line="360" w:lineRule="auto"/>
        <w:ind w:firstLine="480" w:firstLineChars="200"/>
        <w:jc w:val="both"/>
        <w:rPr>
          <w:rFonts w:ascii="Times New Roman" w:hAnsi="Times New Roman" w:cs="Times New Roman"/>
        </w:rPr>
      </w:pPr>
      <w:r>
        <w:rPr>
          <w:rFonts w:ascii="Times New Roman" w:hAnsi="Times New Roman" w:cs="Times New Roman"/>
        </w:rPr>
        <w:t>G3012-草湖-G314公路（草湖-G314段）是草湖项目区规划“三横七纵”中的横二线工程，横二线工程分两期实施，G3012-草湖段为一期在建段，设计标准为一级公路（兼具城市道路功能）</w:t>
      </w:r>
      <w:r>
        <w:rPr>
          <w:rFonts w:hint="eastAsia" w:ascii="Times New Roman" w:hAnsi="Times New Roman" w:cs="Times New Roman"/>
        </w:rPr>
        <w:t>，</w:t>
      </w:r>
      <w:r>
        <w:rPr>
          <w:rFonts w:ascii="Times New Roman" w:hAnsi="Times New Roman" w:cs="Times New Roman"/>
        </w:rPr>
        <w:t>设计车速 60Km/h，预计2024年10月竣工。本项目草湖-G314段为横二线工程二期，是41团草湖镇重点建设项目。</w:t>
      </w:r>
    </w:p>
    <w:p w14:paraId="02FB3A9A">
      <w:pPr>
        <w:autoSpaceDE w:val="0"/>
        <w:autoSpaceDN w:val="0"/>
        <w:adjustRightInd w:val="0"/>
        <w:spacing w:line="360" w:lineRule="auto"/>
        <w:ind w:firstLine="480" w:firstLineChars="200"/>
        <w:jc w:val="both"/>
        <w:rPr>
          <w:rFonts w:ascii="Times New Roman" w:hAnsi="Times New Roman" w:cs="Times New Roman"/>
        </w:rPr>
      </w:pPr>
      <w:r>
        <w:rPr>
          <w:rFonts w:hint="eastAsia" w:ascii="Times New Roman" w:hAnsi="Times New Roman" w:cs="Times New Roman"/>
        </w:rPr>
        <w:t>本项目是草湖项目区“三横七纵”规划路网的重要组成部分，是第三师图木舒克市“十四五”期间公路重点建设项目之一；是草湖项目区实施东西大通道发展战略和国防建设的重要保障；项目的建设将草湖项目区与国道</w:t>
      </w:r>
      <w:r>
        <w:rPr>
          <w:rFonts w:ascii="Times New Roman" w:hAnsi="Times New Roman" w:cs="Times New Roman"/>
        </w:rPr>
        <w:t xml:space="preserve"> G314、规划S334、规划国道G314及多条内部路有效</w:t>
      </w:r>
      <w:r>
        <w:rPr>
          <w:rFonts w:hint="eastAsia" w:ascii="Times New Roman" w:hAnsi="Times New Roman" w:cs="Times New Roman"/>
        </w:rPr>
        <w:t>地</w:t>
      </w:r>
      <w:r>
        <w:rPr>
          <w:rFonts w:ascii="Times New Roman" w:hAnsi="Times New Roman" w:cs="Times New Roman"/>
        </w:rPr>
        <w:t>连接起来，</w:t>
      </w:r>
      <w:r>
        <w:rPr>
          <w:rFonts w:hint="eastAsia" w:ascii="Times New Roman" w:hAnsi="Times New Roman" w:cs="Times New Roman"/>
        </w:rPr>
        <w:t>对</w:t>
      </w:r>
      <w:r>
        <w:rPr>
          <w:rFonts w:ascii="Times New Roman" w:hAnsi="Times New Roman" w:cs="Times New Roman"/>
        </w:rPr>
        <w:t>41团草湖镇经济发展起着重要的支撑作用；</w:t>
      </w:r>
      <w:r>
        <w:rPr>
          <w:rFonts w:hint="eastAsia" w:ascii="Times New Roman" w:hAnsi="Times New Roman" w:cs="Times New Roman"/>
        </w:rPr>
        <w:t>同时本项目作为兵团高等级公路网的脉络之一，彻底贯通了南疆各产业崛起的草湖项目区、阿克陶县、疏附县，为全面铺设南疆高等级公路网迈出坚实的一步。</w:t>
      </w:r>
      <w:r>
        <w:rPr>
          <w:rFonts w:ascii="Times New Roman" w:hAnsi="Times New Roman" w:cs="Times New Roman"/>
        </w:rPr>
        <w:t>因此拟建公路的建设是十分必要的。</w:t>
      </w:r>
    </w:p>
    <w:p w14:paraId="7B03DBE4">
      <w:pPr>
        <w:pStyle w:val="3"/>
        <w:adjustRightInd w:val="0"/>
        <w:snapToGrid w:val="0"/>
        <w:spacing w:before="120" w:after="120" w:line="240" w:lineRule="auto"/>
        <w:jc w:val="both"/>
        <w:rPr>
          <w:rFonts w:ascii="Times New Roman" w:hAnsi="Times New Roman" w:cs="Times New Roman"/>
        </w:rPr>
      </w:pPr>
      <w:bookmarkStart w:id="22" w:name="_Toc187675402"/>
      <w:r>
        <w:rPr>
          <w:rFonts w:ascii="Times New Roman" w:hAnsi="Times New Roman" w:cs="Times New Roman"/>
        </w:rPr>
        <w:t>1.2项目特点</w:t>
      </w:r>
      <w:bookmarkEnd w:id="20"/>
      <w:bookmarkEnd w:id="21"/>
      <w:bookmarkEnd w:id="22"/>
    </w:p>
    <w:p w14:paraId="5E17B1A4">
      <w:pPr>
        <w:spacing w:line="360" w:lineRule="auto"/>
        <w:ind w:firstLine="480" w:firstLineChars="200"/>
        <w:jc w:val="both"/>
        <w:rPr>
          <w:rFonts w:ascii="Times New Roman" w:hAnsi="Times New Roman" w:cs="Times New Roman"/>
        </w:rPr>
      </w:pPr>
      <w:r>
        <w:rPr>
          <w:rFonts w:ascii="Times New Roman" w:hAnsi="Times New Roman" w:cs="Times New Roman"/>
        </w:rPr>
        <w:t>拟建公路为新建</w:t>
      </w:r>
      <w:r>
        <w:rPr>
          <w:rFonts w:hint="eastAsia" w:ascii="Times New Roman" w:hAnsi="Times New Roman" w:cs="Times New Roman"/>
        </w:rPr>
        <w:t>次要干线公路</w:t>
      </w:r>
      <w:r>
        <w:rPr>
          <w:rFonts w:ascii="Times New Roman" w:hAnsi="Times New Roman" w:cs="Times New Roman"/>
        </w:rPr>
        <w:t>，位于41团草湖镇、喀什地区疏附县、克州阿克陶县境内，由一条路线组成，</w:t>
      </w:r>
      <w:r>
        <w:rPr>
          <w:rFonts w:hint="eastAsia" w:ascii="Times New Roman" w:hAnsi="Times New Roman" w:cs="Times New Roman"/>
        </w:rPr>
        <w:t>本项目起点接</w:t>
      </w:r>
      <w:r>
        <w:rPr>
          <w:rFonts w:ascii="Times New Roman" w:hAnsi="Times New Roman" w:cs="Times New Roman"/>
        </w:rPr>
        <w:t>G3012-草湖-G314公路（G3012-草湖段）和第八大道，终点接G314。是规划</w:t>
      </w:r>
      <w:r>
        <w:rPr>
          <w:rFonts w:hint="eastAsia" w:ascii="Times New Roman" w:hAnsi="Times New Roman" w:cs="Times New Roman"/>
        </w:rPr>
        <w:t xml:space="preserve"> “三横七纵”的重要节点。</w:t>
      </w:r>
    </w:p>
    <w:p w14:paraId="4E06BC11">
      <w:pPr>
        <w:spacing w:line="360" w:lineRule="auto"/>
        <w:ind w:firstLine="480" w:firstLineChars="200"/>
        <w:jc w:val="both"/>
        <w:rPr>
          <w:rFonts w:ascii="Times New Roman" w:hAnsi="Times New Roman" w:cs="Times New Roman"/>
        </w:rPr>
      </w:pPr>
      <w:r>
        <w:rPr>
          <w:rFonts w:hint="eastAsia" w:ascii="Times New Roman" w:hAnsi="Times New Roman" w:cs="Times New Roman"/>
        </w:rPr>
        <w:t>公路起点位于</w:t>
      </w:r>
      <w:r>
        <w:rPr>
          <w:rFonts w:ascii="Times New Roman" w:hAnsi="Times New Roman" w:cs="Times New Roman"/>
        </w:rPr>
        <w:t>41团草湖镇西侧第八大道与广东大道（G3012-草湖-G314公路</w:t>
      </w:r>
      <w:r>
        <w:rPr>
          <w:rFonts w:hint="eastAsia" w:ascii="Times New Roman" w:hAnsi="Times New Roman" w:cs="Times New Roman"/>
        </w:rPr>
        <w:t>（</w:t>
      </w:r>
      <w:r>
        <w:rPr>
          <w:rFonts w:ascii="Times New Roman" w:hAnsi="Times New Roman" w:cs="Times New Roman"/>
        </w:rPr>
        <w:t>G3012-草湖段））交叉处，完全利用第八大道后，向西南布设新线经过布拉克苏乡，设置平面</w:t>
      </w:r>
      <w:r>
        <w:rPr>
          <w:rFonts w:hint="eastAsia" w:ascii="Times New Roman" w:hAnsi="Times New Roman" w:cs="Times New Roman"/>
        </w:rPr>
        <w:t>交叉连接</w:t>
      </w:r>
      <w:r>
        <w:rPr>
          <w:rFonts w:ascii="Times New Roman" w:hAnsi="Times New Roman" w:cs="Times New Roman"/>
        </w:rPr>
        <w:t>X434，继续向西在喀热开其克乡南侧、铁日木乡北侧新建桥梁跨越盖孜河进入乌帕尔镇，</w:t>
      </w:r>
      <w:r>
        <w:rPr>
          <w:rFonts w:hint="eastAsia" w:ascii="Times New Roman" w:hAnsi="Times New Roman" w:cs="Times New Roman"/>
        </w:rPr>
        <w:t>经乌帕尔镇</w:t>
      </w:r>
      <w:r>
        <w:rPr>
          <w:rFonts w:ascii="Times New Roman" w:hAnsi="Times New Roman" w:cs="Times New Roman"/>
        </w:rPr>
        <w:t>15村、14村、11村、9 村，终点位于乌帕尔镇公安检查站南，波斯坦铁列克乡东侧接</w:t>
      </w:r>
      <w:r>
        <w:rPr>
          <w:rFonts w:hint="eastAsia" w:ascii="Times New Roman" w:hAnsi="Times New Roman" w:cs="Times New Roman"/>
        </w:rPr>
        <w:t>国道</w:t>
      </w:r>
      <w:r>
        <w:rPr>
          <w:rFonts w:ascii="Times New Roman" w:hAnsi="Times New Roman" w:cs="Times New Roman"/>
        </w:rPr>
        <w:t>G314。路线全长33.453 km（含完全利用段 0.795km），实际建设里程长32.658km。</w:t>
      </w:r>
    </w:p>
    <w:p w14:paraId="7369A9B2">
      <w:pPr>
        <w:spacing w:line="360" w:lineRule="auto"/>
        <w:ind w:firstLine="480" w:firstLineChars="200"/>
        <w:jc w:val="both"/>
        <w:rPr>
          <w:rFonts w:ascii="Times New Roman" w:hAnsi="Times New Roman" w:cs="Times New Roman"/>
        </w:rPr>
      </w:pPr>
      <w:r>
        <w:rPr>
          <w:rFonts w:ascii="Times New Roman" w:hAnsi="Times New Roman" w:cs="Times New Roman"/>
        </w:rPr>
        <w:t>全线共设桥梁10座，</w:t>
      </w:r>
      <w:r>
        <w:rPr>
          <w:rFonts w:hint="eastAsia" w:ascii="Times New Roman" w:hAnsi="Times New Roman" w:cs="Times New Roman"/>
        </w:rPr>
        <w:t>其中特大桥1座，大中桥</w:t>
      </w:r>
      <w:r>
        <w:rPr>
          <w:rFonts w:ascii="Times New Roman" w:hAnsi="Times New Roman" w:cs="Times New Roman"/>
        </w:rPr>
        <w:t>9</w:t>
      </w:r>
      <w:r>
        <w:rPr>
          <w:rFonts w:hint="eastAsia" w:ascii="Times New Roman" w:hAnsi="Times New Roman" w:cs="Times New Roman"/>
        </w:rPr>
        <w:t>座；</w:t>
      </w:r>
      <w:r>
        <w:rPr>
          <w:rFonts w:ascii="Times New Roman" w:hAnsi="Times New Roman" w:cs="Times New Roman"/>
        </w:rPr>
        <w:t>全线共设平面交叉23处，涵洞96道。</w:t>
      </w:r>
    </w:p>
    <w:p w14:paraId="37A0037B">
      <w:pPr>
        <w:spacing w:line="360" w:lineRule="auto"/>
        <w:ind w:firstLine="480" w:firstLineChars="200"/>
        <w:jc w:val="both"/>
        <w:rPr>
          <w:rFonts w:ascii="Times New Roman" w:hAnsi="Times New Roman" w:cs="Times New Roman"/>
        </w:rPr>
      </w:pPr>
      <w:r>
        <w:rPr>
          <w:rFonts w:ascii="Times New Roman" w:hAnsi="Times New Roman" w:cs="Times New Roman"/>
        </w:rPr>
        <w:t>项目永久占地总面积1332.11</w:t>
      </w:r>
      <w:r>
        <w:rPr>
          <w:rFonts w:hint="eastAsia" w:ascii="Times New Roman" w:hAnsi="Times New Roman" w:cs="Times New Roman"/>
        </w:rPr>
        <w:t>亩</w:t>
      </w:r>
      <w:r>
        <w:rPr>
          <w:rFonts w:ascii="Times New Roman" w:hAnsi="Times New Roman" w:cs="Times New Roman"/>
        </w:rPr>
        <w:t>，占地类型为农田、灌木林地、草地、戈壁</w:t>
      </w:r>
      <w:r>
        <w:rPr>
          <w:rFonts w:hint="eastAsia" w:ascii="Times New Roman" w:hAnsi="Times New Roman" w:cs="Times New Roman"/>
        </w:rPr>
        <w:t>等</w:t>
      </w:r>
      <w:r>
        <w:rPr>
          <w:rFonts w:ascii="Times New Roman" w:hAnsi="Times New Roman" w:cs="Times New Roman"/>
        </w:rPr>
        <w:t>。</w:t>
      </w:r>
    </w:p>
    <w:p w14:paraId="10B25C3B">
      <w:pPr>
        <w:spacing w:line="360" w:lineRule="auto"/>
        <w:ind w:firstLine="480" w:firstLineChars="200"/>
        <w:jc w:val="both"/>
        <w:rPr>
          <w:rFonts w:ascii="Times New Roman" w:hAnsi="Times New Roman" w:cs="Times New Roman"/>
        </w:rPr>
      </w:pPr>
      <w:r>
        <w:rPr>
          <w:rFonts w:ascii="Times New Roman" w:hAnsi="Times New Roman" w:cs="Times New Roman"/>
        </w:rPr>
        <w:t>临时占地总面积481.3</w:t>
      </w:r>
      <w:r>
        <w:rPr>
          <w:rFonts w:hint="eastAsia" w:ascii="Times New Roman" w:hAnsi="Times New Roman" w:cs="Times New Roman"/>
        </w:rPr>
        <w:t>亩</w:t>
      </w:r>
      <w:r>
        <w:rPr>
          <w:rFonts w:ascii="Times New Roman" w:hAnsi="Times New Roman" w:cs="Times New Roman"/>
        </w:rPr>
        <w:t>，临时用地分别为2</w:t>
      </w:r>
      <w:r>
        <w:rPr>
          <w:rFonts w:hint="eastAsia" w:ascii="Times New Roman" w:hAnsi="Times New Roman" w:cs="Times New Roman"/>
        </w:rPr>
        <w:t>处施工</w:t>
      </w:r>
      <w:r>
        <w:rPr>
          <w:rFonts w:ascii="Times New Roman" w:hAnsi="Times New Roman" w:cs="Times New Roman"/>
        </w:rPr>
        <w:t>综合场站（内含预制场、</w:t>
      </w:r>
      <w:r>
        <w:rPr>
          <w:rFonts w:hint="eastAsia" w:ascii="Times New Roman" w:hAnsi="Times New Roman" w:cs="Times New Roman"/>
        </w:rPr>
        <w:t>水泥混凝土</w:t>
      </w:r>
      <w:r>
        <w:rPr>
          <w:rFonts w:ascii="Times New Roman" w:hAnsi="Times New Roman" w:cs="Times New Roman"/>
        </w:rPr>
        <w:t>拌合站、水</w:t>
      </w:r>
      <w:r>
        <w:rPr>
          <w:rFonts w:hint="eastAsia" w:ascii="Times New Roman" w:hAnsi="Times New Roman" w:cs="Times New Roman"/>
        </w:rPr>
        <w:t>稳</w:t>
      </w:r>
      <w:r>
        <w:rPr>
          <w:rFonts w:ascii="Times New Roman" w:hAnsi="Times New Roman" w:cs="Times New Roman"/>
        </w:rPr>
        <w:t>拌合站、沥青混合料拌合站、生活区）、3</w:t>
      </w:r>
      <w:r>
        <w:rPr>
          <w:rFonts w:hint="eastAsia" w:ascii="Times New Roman" w:hAnsi="Times New Roman" w:cs="Times New Roman"/>
        </w:rPr>
        <w:t>处弃土场</w:t>
      </w:r>
      <w:r>
        <w:rPr>
          <w:rFonts w:ascii="Times New Roman" w:hAnsi="Times New Roman" w:cs="Times New Roman"/>
        </w:rPr>
        <w:t>以及施工便道</w:t>
      </w:r>
      <w:r>
        <w:rPr>
          <w:rFonts w:hint="eastAsia" w:ascii="Times New Roman" w:hAnsi="Times New Roman" w:cs="Times New Roman"/>
        </w:rPr>
        <w:t xml:space="preserve">。 </w:t>
      </w:r>
    </w:p>
    <w:p w14:paraId="2588EF0B">
      <w:pPr>
        <w:pStyle w:val="3"/>
        <w:adjustRightInd w:val="0"/>
        <w:snapToGrid w:val="0"/>
        <w:spacing w:before="120" w:after="120" w:line="240" w:lineRule="auto"/>
        <w:jc w:val="both"/>
        <w:rPr>
          <w:rFonts w:ascii="Times New Roman" w:hAnsi="Times New Roman" w:cs="Times New Roman"/>
        </w:rPr>
      </w:pPr>
      <w:bookmarkStart w:id="23" w:name="_Toc316510993"/>
      <w:bookmarkStart w:id="24" w:name="_Toc381605944"/>
      <w:bookmarkStart w:id="25" w:name="_Toc187675403"/>
      <w:bookmarkStart w:id="26" w:name="_Toc316561593"/>
      <w:bookmarkStart w:id="27" w:name="_Toc98413472"/>
      <w:bookmarkStart w:id="28" w:name="_Toc4507833"/>
      <w:r>
        <w:rPr>
          <w:rFonts w:ascii="Times New Roman" w:hAnsi="Times New Roman" w:cs="Times New Roman"/>
        </w:rPr>
        <w:t>1.3环境影响评价的工作过程</w:t>
      </w:r>
      <w:bookmarkEnd w:id="23"/>
      <w:bookmarkEnd w:id="24"/>
      <w:bookmarkEnd w:id="25"/>
      <w:bookmarkEnd w:id="26"/>
      <w:bookmarkEnd w:id="27"/>
      <w:bookmarkEnd w:id="28"/>
    </w:p>
    <w:p w14:paraId="114747E6">
      <w:pPr>
        <w:spacing w:line="360" w:lineRule="auto"/>
        <w:ind w:firstLine="480" w:firstLineChars="200"/>
        <w:jc w:val="both"/>
      </w:pPr>
      <w:r>
        <w:rPr>
          <w:rFonts w:ascii="Times New Roman" w:hAnsi="Times New Roman" w:cs="Times New Roman"/>
        </w:rPr>
        <w:t>根据国务院令第682号《建设项目环境保护管理条例》和生态环境部部令第16号《建设项目环境影响评价分类管理名录（2021版）》及相关规定，本项目属于</w:t>
      </w:r>
      <w:r>
        <w:rPr>
          <w:rFonts w:hint="eastAsia" w:ascii="Times New Roman" w:hAnsi="Times New Roman" w:cs="Times New Roman"/>
        </w:rPr>
        <w:t>“</w:t>
      </w:r>
      <w:r>
        <w:rPr>
          <w:rFonts w:ascii="Times New Roman" w:hAnsi="Times New Roman" w:cs="Times New Roman"/>
        </w:rPr>
        <w:t>五十二、交通运输业、管道运输业130等级公路（不含维护；不含生命救援、应急保通工程以及国防交通保障工程；不含改扩建四级公路）</w:t>
      </w:r>
      <w:r>
        <w:rPr>
          <w:rFonts w:hint="eastAsia" w:ascii="Times New Roman" w:hAnsi="Times New Roman" w:cs="Times New Roman"/>
        </w:rPr>
        <w:t>：</w:t>
      </w:r>
      <w:r>
        <w:rPr>
          <w:rFonts w:ascii="Times New Roman" w:hAnsi="Times New Roman" w:cs="Times New Roman"/>
        </w:rPr>
        <w:t>新建涉及环境敏感区的二级及以上等级公路</w:t>
      </w:r>
      <w:r>
        <w:rPr>
          <w:rFonts w:hint="eastAsia" w:ascii="Times New Roman" w:hAnsi="Times New Roman" w:cs="Times New Roman"/>
        </w:rPr>
        <w:t>”</w:t>
      </w:r>
      <w:r>
        <w:rPr>
          <w:rFonts w:ascii="Times New Roman" w:hAnsi="Times New Roman" w:cs="Times New Roman"/>
        </w:rPr>
        <w:t>，本项目</w:t>
      </w:r>
      <w:r>
        <w:rPr>
          <w:rFonts w:hint="eastAsia" w:ascii="Times New Roman" w:hAnsi="Times New Roman" w:cs="Times New Roman"/>
        </w:rPr>
        <w:t>为二级公路</w:t>
      </w:r>
      <w:r>
        <w:rPr>
          <w:rFonts w:hint="eastAsia"/>
        </w:rPr>
        <w:t>且沿线经过村庄等居民区</w:t>
      </w:r>
      <w:r>
        <w:rPr>
          <w:rFonts w:hint="eastAsia" w:ascii="Times New Roman" w:hAnsi="Times New Roman" w:cs="Times New Roman"/>
        </w:rPr>
        <w:t>，并跨越盖孜河，</w:t>
      </w:r>
      <w:r>
        <w:rPr>
          <w:rFonts w:ascii="Times New Roman" w:hAnsi="Times New Roman" w:cs="Times New Roman"/>
        </w:rPr>
        <w:t>应</w:t>
      </w:r>
      <w:r>
        <w:rPr>
          <w:rFonts w:hint="eastAsia" w:ascii="Times New Roman" w:hAnsi="Times New Roman" w:cs="Times New Roman"/>
        </w:rPr>
        <w:t>编制</w:t>
      </w:r>
      <w:r>
        <w:rPr>
          <w:rFonts w:hint="eastAsia"/>
        </w:rPr>
        <w:t>环境影响报告书</w:t>
      </w:r>
      <w:r>
        <w:t>。</w:t>
      </w:r>
    </w:p>
    <w:p w14:paraId="769E004B">
      <w:pPr>
        <w:spacing w:line="360" w:lineRule="auto"/>
        <w:ind w:firstLine="480" w:firstLineChars="200"/>
        <w:jc w:val="both"/>
        <w:rPr>
          <w:rFonts w:ascii="Times New Roman" w:hAnsi="Times New Roman" w:cs="Times New Roman"/>
        </w:rPr>
      </w:pPr>
      <w:r>
        <w:rPr>
          <w:rFonts w:ascii="Times New Roman" w:hAnsi="Times New Roman" w:cs="Times New Roman"/>
        </w:rPr>
        <w:t>具体评价过程如下：</w:t>
      </w:r>
    </w:p>
    <w:p w14:paraId="267E30DD">
      <w:pPr>
        <w:spacing w:line="360" w:lineRule="auto"/>
        <w:ind w:firstLine="480" w:firstLineChars="200"/>
        <w:jc w:val="both"/>
        <w:rPr>
          <w:rFonts w:ascii="Times New Roman" w:hAnsi="Times New Roman" w:cs="Times New Roman"/>
        </w:rPr>
      </w:pPr>
      <w:r>
        <w:rPr>
          <w:rFonts w:ascii="Times New Roman" w:hAnsi="Times New Roman" w:cs="Times New Roman"/>
        </w:rPr>
        <w:t>2024年10月10日，建设单位委托新疆兵团勘测设计院集团股份有限公司开展G3012-草湖-G314公路（草湖-G314段）公路工程的环境影响评价工作。</w:t>
      </w:r>
    </w:p>
    <w:p w14:paraId="318250B7">
      <w:pPr>
        <w:spacing w:line="360" w:lineRule="auto"/>
        <w:ind w:firstLine="480" w:firstLineChars="200"/>
        <w:jc w:val="both"/>
        <w:rPr>
          <w:rFonts w:ascii="Times New Roman" w:hAnsi="Times New Roman" w:cs="Times New Roman"/>
        </w:rPr>
      </w:pPr>
      <w:r>
        <w:rPr>
          <w:rFonts w:ascii="Times New Roman" w:hAnsi="Times New Roman" w:cs="Times New Roman"/>
          <w:snapToGrid w:val="0"/>
        </w:rPr>
        <w:t>2024年10月13日，编制单位</w:t>
      </w:r>
      <w:r>
        <w:rPr>
          <w:rFonts w:ascii="Times New Roman" w:hAnsi="Times New Roman" w:cs="Times New Roman"/>
        </w:rPr>
        <w:t>开展了现场踏勘和资料收集工作，走访了项目所在地的生态环境、自然资源等政府部门，对沿线的环境现状进行了深入调查、分析和筛选。</w:t>
      </w:r>
    </w:p>
    <w:p w14:paraId="1F926567">
      <w:pPr>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rPr>
        <w:t>2024年10月24日</w:t>
      </w:r>
      <w:r>
        <w:rPr>
          <w:rFonts w:hint="eastAsia" w:ascii="Times New Roman" w:hAnsi="Times New Roman" w:cs="Times New Roman"/>
          <w:snapToGrid w:val="0"/>
        </w:rPr>
        <w:t>，</w:t>
      </w:r>
      <w:r>
        <w:rPr>
          <w:rFonts w:ascii="Times New Roman" w:hAnsi="Times New Roman" w:cs="Times New Roman"/>
        </w:rPr>
        <w:t>本项目在</w:t>
      </w:r>
      <w:r>
        <w:rPr>
          <w:rFonts w:ascii="Times New Roman" w:hAnsi="Times New Roman" w:cs="Times New Roman"/>
          <w:snapToGrid w:val="0"/>
        </w:rPr>
        <w:t>第三师政务网</w:t>
      </w:r>
      <w:r>
        <w:rPr>
          <w:rFonts w:ascii="Times New Roman" w:hAnsi="Times New Roman" w:cs="Times New Roman"/>
        </w:rPr>
        <w:t>（http://www.xjbtnss.gov.cn/）</w:t>
      </w:r>
      <w:r>
        <w:rPr>
          <w:rFonts w:ascii="Times New Roman" w:hAnsi="Times New Roman" w:cs="Times New Roman"/>
          <w:snapToGrid w:val="0"/>
        </w:rPr>
        <w:t>进行网络第一次公示。</w:t>
      </w:r>
    </w:p>
    <w:p w14:paraId="04A10EAD">
      <w:pPr>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rPr>
        <w:t>2025年1月6日，</w:t>
      </w:r>
      <w:r>
        <w:rPr>
          <w:rFonts w:hint="eastAsia" w:ascii="Times New Roman" w:hAnsi="Times New Roman" w:cs="Times New Roman"/>
        </w:rPr>
        <w:t>本项目在第三师政务网（</w:t>
      </w:r>
      <w:r>
        <w:rPr>
          <w:rFonts w:ascii="Times New Roman" w:hAnsi="Times New Roman" w:cs="Times New Roman"/>
        </w:rPr>
        <w:t>http://www.xjbtnss.gov.cn/）</w:t>
      </w:r>
      <w:r>
        <w:rPr>
          <w:rFonts w:ascii="Times New Roman" w:hAnsi="Times New Roman" w:cs="Times New Roman"/>
          <w:snapToGrid w:val="0"/>
        </w:rPr>
        <w:t>进行网络第二次公示。公示内容包括</w:t>
      </w:r>
      <w:r>
        <w:rPr>
          <w:rFonts w:ascii="Times New Roman" w:hAnsi="Times New Roman" w:cs="Times New Roman"/>
        </w:rPr>
        <w:t>G3012-草湖-G314公路（草湖-G314段）环境影响报告书征求意见稿</w:t>
      </w:r>
      <w:r>
        <w:rPr>
          <w:rFonts w:ascii="Times New Roman" w:hAnsi="Times New Roman" w:cs="Times New Roman"/>
          <w:snapToGrid w:val="0"/>
        </w:rPr>
        <w:t>。在征求意见稿公示期间又分别于2025年1月3日和1月6日在新疆法制报进行了报纸公示。并在现场张贴本项目环评公众参与公告。</w:t>
      </w:r>
    </w:p>
    <w:p w14:paraId="300D1B6E">
      <w:pPr>
        <w:spacing w:line="360" w:lineRule="auto"/>
        <w:ind w:firstLine="480" w:firstLineChars="200"/>
        <w:rPr>
          <w:rFonts w:ascii="Times New Roman" w:hAnsi="Times New Roman" w:cs="Times New Roman"/>
        </w:rPr>
      </w:pPr>
      <w:r>
        <w:rPr>
          <w:rFonts w:ascii="Times New Roman" w:hAnsi="Times New Roman" w:cs="Times New Roman"/>
          <w:snapToGrid w:val="0"/>
        </w:rPr>
        <w:t>2025年</w:t>
      </w:r>
      <w:r>
        <w:rPr>
          <w:rFonts w:hint="eastAsia" w:ascii="Times New Roman" w:hAnsi="Times New Roman" w:cs="Times New Roman"/>
        </w:rPr>
        <w:t>1</w:t>
      </w:r>
      <w:r>
        <w:rPr>
          <w:rFonts w:ascii="Times New Roman" w:hAnsi="Times New Roman" w:cs="Times New Roman"/>
        </w:rPr>
        <w:t>月</w:t>
      </w:r>
      <w:r>
        <w:rPr>
          <w:rFonts w:hint="eastAsia" w:ascii="Times New Roman" w:hAnsi="Times New Roman" w:cs="Times New Roman"/>
        </w:rPr>
        <w:t>2</w:t>
      </w:r>
      <w:r>
        <w:rPr>
          <w:rFonts w:ascii="Times New Roman" w:hAnsi="Times New Roman" w:cs="Times New Roman"/>
        </w:rPr>
        <w:t>5日，建设单位</w:t>
      </w:r>
      <w:r>
        <w:rPr>
          <w:rFonts w:hint="eastAsia" w:ascii="Times New Roman" w:hAnsi="Times New Roman" w:cs="Times New Roman"/>
        </w:rPr>
        <w:t>第三师政务网（</w:t>
      </w:r>
      <w:r>
        <w:rPr>
          <w:rFonts w:ascii="Times New Roman" w:hAnsi="Times New Roman" w:cs="Times New Roman"/>
        </w:rPr>
        <w:t>http://www.xjbtnss.gov.cn/）</w:t>
      </w:r>
      <w:r>
        <w:rPr>
          <w:rFonts w:ascii="Times New Roman" w:hAnsi="Times New Roman" w:cs="Times New Roman"/>
          <w:snapToGrid w:val="0"/>
        </w:rPr>
        <w:t>进行第三次拟上报公示，并</w:t>
      </w:r>
      <w:r>
        <w:rPr>
          <w:rFonts w:ascii="Times New Roman" w:hAnsi="Times New Roman" w:cs="Times New Roman"/>
        </w:rPr>
        <w:t>报送生态环境主管部门审批。</w:t>
      </w:r>
    </w:p>
    <w:p w14:paraId="01E20B54">
      <w:pPr>
        <w:pStyle w:val="3"/>
        <w:adjustRightInd w:val="0"/>
        <w:snapToGrid w:val="0"/>
        <w:spacing w:before="120" w:after="120" w:line="240" w:lineRule="auto"/>
        <w:jc w:val="both"/>
        <w:rPr>
          <w:rFonts w:ascii="Times New Roman" w:hAnsi="Times New Roman" w:cs="Times New Roman"/>
        </w:rPr>
      </w:pPr>
      <w:bookmarkStart w:id="29" w:name="_Toc381605945"/>
      <w:bookmarkStart w:id="30" w:name="_Toc319858544"/>
      <w:bookmarkStart w:id="31" w:name="_Toc187675404"/>
      <w:bookmarkStart w:id="32" w:name="_Toc4507834"/>
      <w:bookmarkStart w:id="33" w:name="_Toc98413473"/>
      <w:r>
        <w:rPr>
          <w:rFonts w:ascii="Times New Roman" w:hAnsi="Times New Roman" w:cs="Times New Roman"/>
        </w:rPr>
        <w:t>1.</w:t>
      </w:r>
      <w:bookmarkEnd w:id="29"/>
      <w:bookmarkEnd w:id="30"/>
      <w:r>
        <w:rPr>
          <w:rFonts w:ascii="Times New Roman" w:hAnsi="Times New Roman" w:cs="Times New Roman"/>
        </w:rPr>
        <w:t>4分析判定相关情况</w:t>
      </w:r>
      <w:bookmarkEnd w:id="31"/>
      <w:bookmarkEnd w:id="32"/>
      <w:bookmarkEnd w:id="33"/>
    </w:p>
    <w:p w14:paraId="57D94A1D">
      <w:pPr>
        <w:pStyle w:val="4"/>
        <w:adjustRightInd w:val="0"/>
        <w:snapToGrid w:val="0"/>
        <w:spacing w:before="120" w:after="120" w:line="240" w:lineRule="auto"/>
        <w:jc w:val="both"/>
        <w:rPr>
          <w:rFonts w:ascii="Times New Roman" w:hAnsi="Times New Roman" w:cs="Times New Roman"/>
        </w:rPr>
      </w:pPr>
      <w:bookmarkStart w:id="34" w:name="_Toc98413526"/>
      <w:bookmarkStart w:id="35" w:name="_Toc98414208"/>
      <w:bookmarkStart w:id="36" w:name="_Toc57826733"/>
      <w:bookmarkStart w:id="37" w:name="_Toc97464631"/>
      <w:bookmarkStart w:id="38" w:name="_Toc34989571"/>
      <w:bookmarkStart w:id="39" w:name="_Toc98413520"/>
      <w:bookmarkStart w:id="40" w:name="_Toc4507849"/>
      <w:bookmarkStart w:id="41" w:name="_Toc98413474"/>
      <w:bookmarkStart w:id="42" w:name="_Toc4507835"/>
      <w:r>
        <w:rPr>
          <w:rFonts w:ascii="Times New Roman" w:hAnsi="Times New Roman" w:cs="Times New Roman"/>
        </w:rPr>
        <w:t>1.4.1与产业政策和规划符合性分析</w:t>
      </w:r>
      <w:bookmarkEnd w:id="34"/>
      <w:bookmarkEnd w:id="35"/>
      <w:bookmarkEnd w:id="36"/>
      <w:bookmarkEnd w:id="37"/>
      <w:bookmarkEnd w:id="38"/>
    </w:p>
    <w:p w14:paraId="45FD2802">
      <w:pPr>
        <w:pStyle w:val="5"/>
        <w:snapToGrid w:val="0"/>
        <w:spacing w:before="120" w:after="120" w:line="240" w:lineRule="auto"/>
        <w:jc w:val="both"/>
        <w:rPr>
          <w:rFonts w:ascii="Times New Roman" w:hAnsi="Times New Roman" w:cs="Times New Roman"/>
          <w:i w:val="0"/>
        </w:rPr>
      </w:pPr>
      <w:r>
        <w:rPr>
          <w:rFonts w:ascii="Times New Roman" w:hAnsi="Times New Roman" w:cs="Times New Roman"/>
          <w:i w:val="0"/>
        </w:rPr>
        <w:t>1.4.1.1产业政策符合性分析</w:t>
      </w:r>
    </w:p>
    <w:p w14:paraId="1BF4ADAB">
      <w:pPr>
        <w:spacing w:line="360" w:lineRule="auto"/>
        <w:ind w:firstLine="456" w:firstLineChars="200"/>
        <w:jc w:val="both"/>
        <w:rPr>
          <w:rFonts w:ascii="Times New Roman" w:hAnsi="Times New Roman" w:cs="Times New Roman"/>
        </w:rPr>
      </w:pPr>
      <w:r>
        <w:rPr>
          <w:rFonts w:ascii="Times New Roman" w:hAnsi="Times New Roman" w:cs="Times New Roman"/>
          <w:spacing w:val="-6"/>
        </w:rPr>
        <w:t>根据国家发展改革委《产业结构调整指导目录（2024年本）》，本项目属于</w:t>
      </w:r>
      <w:r>
        <w:rPr>
          <w:rFonts w:hint="eastAsia" w:ascii="Times New Roman" w:hAnsi="Times New Roman" w:cs="Times New Roman"/>
          <w:spacing w:val="-6"/>
        </w:rPr>
        <w:t>“</w:t>
      </w:r>
      <w:r>
        <w:rPr>
          <w:rFonts w:ascii="Times New Roman" w:hAnsi="Times New Roman" w:cs="Times New Roman"/>
          <w:spacing w:val="-6"/>
        </w:rPr>
        <w:t>第一类鼓励类</w:t>
      </w:r>
      <w:r>
        <w:rPr>
          <w:rFonts w:hint="eastAsia" w:ascii="Times New Roman" w:hAnsi="Times New Roman" w:cs="Times New Roman"/>
          <w:spacing w:val="-6"/>
        </w:rPr>
        <w:t>” “</w:t>
      </w:r>
      <w:r>
        <w:rPr>
          <w:rFonts w:ascii="Times New Roman" w:hAnsi="Times New Roman" w:cs="Times New Roman"/>
          <w:spacing w:val="-6"/>
        </w:rPr>
        <w:t>二十四、公路及道路运输</w:t>
      </w:r>
      <w:r>
        <w:rPr>
          <w:rFonts w:hint="eastAsia" w:ascii="Times New Roman" w:hAnsi="Times New Roman" w:cs="Times New Roman"/>
          <w:spacing w:val="-6"/>
        </w:rPr>
        <w:t>：</w:t>
      </w:r>
      <w:r>
        <w:rPr>
          <w:rFonts w:ascii="Times New Roman" w:hAnsi="Times New Roman" w:cs="Times New Roman"/>
          <w:spacing w:val="-6"/>
        </w:rPr>
        <w:t>1、公路交通网络建设</w:t>
      </w:r>
      <w:r>
        <w:rPr>
          <w:rFonts w:hint="eastAsia" w:ascii="Times New Roman" w:hAnsi="Times New Roman" w:cs="Times New Roman"/>
          <w:spacing w:val="-6"/>
        </w:rPr>
        <w:t>”</w:t>
      </w:r>
      <w:r>
        <w:rPr>
          <w:rFonts w:ascii="Times New Roman" w:hAnsi="Times New Roman" w:cs="Times New Roman"/>
          <w:spacing w:val="-6"/>
        </w:rPr>
        <w:t>项目</w:t>
      </w:r>
      <w:r>
        <w:rPr>
          <w:rFonts w:hint="eastAsia" w:ascii="Times New Roman" w:hAnsi="Times New Roman" w:cs="Times New Roman"/>
          <w:spacing w:val="-6"/>
        </w:rPr>
        <w:t>，符合国家产业政策。</w:t>
      </w:r>
    </w:p>
    <w:p w14:paraId="14B743E7">
      <w:pPr>
        <w:pStyle w:val="5"/>
        <w:snapToGrid w:val="0"/>
        <w:spacing w:before="120" w:after="120" w:line="240" w:lineRule="auto"/>
        <w:jc w:val="both"/>
        <w:rPr>
          <w:rFonts w:ascii="Times New Roman" w:hAnsi="Times New Roman" w:cs="Times New Roman"/>
          <w:i w:val="0"/>
        </w:rPr>
      </w:pPr>
      <w:bookmarkStart w:id="43" w:name="_Hlk172304252"/>
      <w:r>
        <w:rPr>
          <w:rFonts w:ascii="Times New Roman" w:hAnsi="Times New Roman" w:cs="Times New Roman"/>
          <w:i w:val="0"/>
        </w:rPr>
        <w:t>1.4.1.2规划符合性分析</w:t>
      </w:r>
    </w:p>
    <w:p w14:paraId="55B4B308">
      <w:pPr>
        <w:spacing w:line="360" w:lineRule="auto"/>
        <w:ind w:firstLine="480" w:firstLineChars="200"/>
        <w:jc w:val="both"/>
        <w:rPr>
          <w:rFonts w:ascii="Times New Roman" w:hAnsi="Times New Roman" w:cs="Times New Roman"/>
        </w:rPr>
      </w:pPr>
      <w:r>
        <w:rPr>
          <w:rFonts w:ascii="Times New Roman" w:hAnsi="Times New Roman" w:cs="Times New Roman"/>
        </w:rPr>
        <w:t>本项目与《新疆维吾尔自治区公路网发展规划》及规划环评、《新疆生产建设兵团</w:t>
      </w:r>
      <w:r>
        <w:rPr>
          <w:rFonts w:hint="eastAsia" w:ascii="Times New Roman" w:hAnsi="Times New Roman" w:cs="Times New Roman"/>
        </w:rPr>
        <w:t>“</w:t>
      </w:r>
      <w:r>
        <w:rPr>
          <w:rFonts w:ascii="Times New Roman" w:hAnsi="Times New Roman" w:cs="Times New Roman"/>
        </w:rPr>
        <w:t>十四五</w:t>
      </w:r>
      <w:r>
        <w:rPr>
          <w:rFonts w:hint="eastAsia" w:ascii="Times New Roman" w:hAnsi="Times New Roman" w:cs="Times New Roman"/>
        </w:rPr>
        <w:t>”</w:t>
      </w:r>
      <w:r>
        <w:rPr>
          <w:rFonts w:ascii="Times New Roman" w:hAnsi="Times New Roman" w:cs="Times New Roman"/>
        </w:rPr>
        <w:t>交通运输发展规划》及规划环评、《新疆生产建设兵团省道网规划（2023-2035年）》的符合性见表1.4-1。</w:t>
      </w:r>
    </w:p>
    <w:p w14:paraId="10452A01">
      <w:pPr>
        <w:spacing w:line="360" w:lineRule="auto"/>
        <w:ind w:firstLine="456" w:firstLineChars="200"/>
        <w:jc w:val="both"/>
        <w:rPr>
          <w:rFonts w:ascii="Times New Roman" w:hAnsi="Times New Roman" w:cs="Times New Roman"/>
          <w:spacing w:val="-6"/>
        </w:rPr>
      </w:pPr>
    </w:p>
    <w:p w14:paraId="774C708A">
      <w:pPr>
        <w:spacing w:line="360" w:lineRule="auto"/>
        <w:ind w:firstLine="456" w:firstLineChars="200"/>
        <w:jc w:val="both"/>
        <w:rPr>
          <w:rFonts w:ascii="Times New Roman" w:hAnsi="Times New Roman" w:cs="Times New Roman"/>
          <w:spacing w:val="-6"/>
        </w:rPr>
        <w:sectPr>
          <w:headerReference r:id="rId5" w:type="default"/>
          <w:footerReference r:id="rId6" w:type="default"/>
          <w:pgSz w:w="11906" w:h="16838"/>
          <w:pgMar w:top="1440" w:right="1797" w:bottom="1440" w:left="1797" w:header="851" w:footer="992" w:gutter="0"/>
          <w:pgNumType w:start="1"/>
          <w:cols w:space="425" w:num="1"/>
          <w:docGrid w:linePitch="312" w:charSpace="0"/>
        </w:sectPr>
      </w:pPr>
    </w:p>
    <w:p w14:paraId="01D6EA5F">
      <w:pPr>
        <w:spacing w:line="360" w:lineRule="auto"/>
        <w:jc w:val="center"/>
        <w:rPr>
          <w:rFonts w:ascii="黑体" w:hAnsi="黑体" w:eastAsia="黑体" w:cs="Times New Roman"/>
          <w:b/>
        </w:rPr>
      </w:pPr>
      <w:r>
        <w:rPr>
          <w:rFonts w:ascii="黑体" w:hAnsi="黑体" w:eastAsia="黑体" w:cs="Times New Roman"/>
          <w:b/>
        </w:rPr>
        <w:t>表1.4-1  相关规划、规划环评符合性分析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772"/>
        <w:gridCol w:w="5763"/>
        <w:gridCol w:w="4799"/>
        <w:gridCol w:w="1024"/>
      </w:tblGrid>
      <w:tr w14:paraId="28D7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8" w:type="pct"/>
            <w:vAlign w:val="center"/>
          </w:tcPr>
          <w:p w14:paraId="2CE9E28E">
            <w:pPr>
              <w:pStyle w:val="167"/>
              <w:widowControl w:val="0"/>
              <w:jc w:val="center"/>
              <w:rPr>
                <w:rFonts w:ascii="Times New Roman" w:hAnsi="Times New Roman" w:cs="Times New Roman"/>
                <w:b/>
                <w:sz w:val="18"/>
                <w:szCs w:val="18"/>
              </w:rPr>
            </w:pPr>
            <w:bookmarkStart w:id="44" w:name="_Hlk167712322"/>
            <w:r>
              <w:rPr>
                <w:rFonts w:ascii="Times New Roman" w:hAnsi="Times New Roman" w:cs="Times New Roman"/>
                <w:b/>
                <w:sz w:val="18"/>
                <w:szCs w:val="18"/>
              </w:rPr>
              <w:t>序号</w:t>
            </w:r>
          </w:p>
        </w:tc>
        <w:tc>
          <w:tcPr>
            <w:tcW w:w="625" w:type="pct"/>
            <w:vAlign w:val="center"/>
          </w:tcPr>
          <w:p w14:paraId="23A5233A">
            <w:pPr>
              <w:pStyle w:val="167"/>
              <w:widowControl w:val="0"/>
              <w:jc w:val="center"/>
              <w:rPr>
                <w:rFonts w:ascii="Times New Roman" w:hAnsi="Times New Roman" w:cs="Times New Roman"/>
                <w:b/>
                <w:sz w:val="18"/>
                <w:szCs w:val="18"/>
              </w:rPr>
            </w:pPr>
            <w:r>
              <w:rPr>
                <w:rFonts w:ascii="Times New Roman" w:hAnsi="Times New Roman" w:cs="Times New Roman"/>
                <w:b/>
                <w:sz w:val="18"/>
                <w:szCs w:val="18"/>
              </w:rPr>
              <w:t>文件名称</w:t>
            </w:r>
          </w:p>
        </w:tc>
        <w:tc>
          <w:tcPr>
            <w:tcW w:w="2033" w:type="pct"/>
            <w:vAlign w:val="center"/>
          </w:tcPr>
          <w:p w14:paraId="1145370C">
            <w:pPr>
              <w:pStyle w:val="167"/>
              <w:widowControl w:val="0"/>
              <w:jc w:val="center"/>
              <w:rPr>
                <w:rFonts w:ascii="Times New Roman" w:hAnsi="Times New Roman" w:cs="Times New Roman"/>
                <w:b/>
                <w:sz w:val="18"/>
                <w:szCs w:val="18"/>
              </w:rPr>
            </w:pPr>
            <w:r>
              <w:rPr>
                <w:rFonts w:ascii="Times New Roman" w:hAnsi="Times New Roman" w:cs="Times New Roman"/>
                <w:b/>
                <w:sz w:val="18"/>
                <w:szCs w:val="18"/>
              </w:rPr>
              <w:t>文件相关内容</w:t>
            </w:r>
          </w:p>
        </w:tc>
        <w:tc>
          <w:tcPr>
            <w:tcW w:w="1693" w:type="pct"/>
            <w:vAlign w:val="center"/>
          </w:tcPr>
          <w:p w14:paraId="275D8C12">
            <w:pPr>
              <w:pStyle w:val="167"/>
              <w:widowControl w:val="0"/>
              <w:jc w:val="center"/>
              <w:rPr>
                <w:rFonts w:ascii="Times New Roman" w:hAnsi="Times New Roman" w:cs="Times New Roman"/>
                <w:b/>
                <w:sz w:val="18"/>
                <w:szCs w:val="18"/>
              </w:rPr>
            </w:pPr>
            <w:r>
              <w:rPr>
                <w:rFonts w:ascii="Times New Roman" w:hAnsi="Times New Roman" w:cs="Times New Roman"/>
                <w:b/>
                <w:sz w:val="18"/>
                <w:szCs w:val="18"/>
              </w:rPr>
              <w:t>本项目分析</w:t>
            </w:r>
          </w:p>
        </w:tc>
        <w:tc>
          <w:tcPr>
            <w:tcW w:w="361" w:type="pct"/>
            <w:vAlign w:val="center"/>
          </w:tcPr>
          <w:p w14:paraId="4AD357AB">
            <w:pPr>
              <w:pStyle w:val="167"/>
              <w:widowControl w:val="0"/>
              <w:jc w:val="center"/>
              <w:rPr>
                <w:rFonts w:ascii="Times New Roman" w:hAnsi="Times New Roman" w:cs="Times New Roman"/>
                <w:b/>
                <w:sz w:val="18"/>
                <w:szCs w:val="18"/>
              </w:rPr>
            </w:pPr>
            <w:r>
              <w:rPr>
                <w:rFonts w:ascii="Times New Roman" w:hAnsi="Times New Roman" w:cs="Times New Roman"/>
                <w:b/>
                <w:sz w:val="18"/>
                <w:szCs w:val="18"/>
              </w:rPr>
              <w:t>相符性</w:t>
            </w:r>
          </w:p>
        </w:tc>
      </w:tr>
      <w:tr w14:paraId="2CDE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Align w:val="center"/>
          </w:tcPr>
          <w:p w14:paraId="5FE9E06A">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1</w:t>
            </w:r>
          </w:p>
        </w:tc>
        <w:tc>
          <w:tcPr>
            <w:tcW w:w="625" w:type="pct"/>
            <w:vAlign w:val="center"/>
          </w:tcPr>
          <w:p w14:paraId="2A533048">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《新疆维吾尔自治区“十四五”交通运输发展规划》</w:t>
            </w:r>
          </w:p>
        </w:tc>
        <w:tc>
          <w:tcPr>
            <w:tcW w:w="2033" w:type="pct"/>
            <w:vAlign w:val="center"/>
          </w:tcPr>
          <w:p w14:paraId="546FF19A">
            <w:pPr>
              <w:pStyle w:val="2527"/>
              <w:widowControl w:val="0"/>
              <w:ind w:firstLine="360" w:firstLineChars="200"/>
              <w:jc w:val="left"/>
              <w:rPr>
                <w:rFonts w:ascii="Times New Roman" w:hAnsi="Times New Roman" w:cs="Times New Roman"/>
                <w:sz w:val="18"/>
                <w:szCs w:val="18"/>
                <w:lang w:eastAsia="zh-CN"/>
              </w:rPr>
            </w:pPr>
            <w:r>
              <w:rPr>
                <w:rFonts w:ascii="Times New Roman" w:hAnsi="Times New Roman" w:cs="Times New Roman"/>
                <w:sz w:val="18"/>
                <w:szCs w:val="18"/>
                <w:lang w:eastAsia="zh-CN"/>
              </w:rPr>
              <w:t>“推动兵地融合发展，加快建设一批连接自治区县市、乡镇与周边兵团城市、团场的道路建设。”</w:t>
            </w:r>
          </w:p>
          <w:p w14:paraId="65948AAB">
            <w:pPr>
              <w:pStyle w:val="2527"/>
              <w:widowControl w:val="0"/>
              <w:ind w:firstLine="360" w:firstLineChars="200"/>
              <w:jc w:val="left"/>
              <w:rPr>
                <w:rFonts w:ascii="Times New Roman" w:hAnsi="Times New Roman" w:cs="Times New Roman"/>
                <w:sz w:val="18"/>
                <w:szCs w:val="18"/>
                <w:lang w:eastAsia="zh-CN"/>
              </w:rPr>
            </w:pPr>
            <w:r>
              <w:rPr>
                <w:rFonts w:ascii="Times New Roman" w:hAnsi="Times New Roman" w:cs="Times New Roman"/>
                <w:sz w:val="18"/>
                <w:szCs w:val="18"/>
                <w:lang w:eastAsia="zh-CN"/>
              </w:rPr>
              <w:t>“维护稳定和安全应急。推动兵地交通融合发展。完善兵地交通运输发展沟通协商与统筹协调机制，提升自治区与兵团路网的互联互通水平，着力实现自治区与兵团重大交通基础设施项目的规划同图、建设同步、运行同网，深化自治区与兵团协调合作……”</w:t>
            </w:r>
          </w:p>
        </w:tc>
        <w:tc>
          <w:tcPr>
            <w:tcW w:w="1693" w:type="pct"/>
            <w:vAlign w:val="center"/>
          </w:tcPr>
          <w:p w14:paraId="0E98A747">
            <w:pPr>
              <w:pStyle w:val="2527"/>
              <w:widowControl w:val="0"/>
              <w:ind w:firstLine="360" w:firstLineChars="200"/>
              <w:jc w:val="both"/>
              <w:rPr>
                <w:rFonts w:ascii="Times New Roman" w:hAnsi="Times New Roman" w:cs="Times New Roman"/>
                <w:sz w:val="18"/>
                <w:szCs w:val="18"/>
                <w:lang w:eastAsia="zh-CN"/>
              </w:rPr>
            </w:pPr>
            <w:r>
              <w:rPr>
                <w:rFonts w:hint="eastAsia" w:ascii="Times New Roman" w:hAnsi="Times New Roman" w:cs="Times New Roman"/>
                <w:sz w:val="18"/>
                <w:szCs w:val="18"/>
                <w:lang w:eastAsia="zh-CN"/>
              </w:rPr>
              <w:t>拟建公路将草湖项目区与国道</w:t>
            </w:r>
            <w:r>
              <w:rPr>
                <w:rFonts w:ascii="Times New Roman" w:hAnsi="Times New Roman" w:cs="Times New Roman"/>
                <w:sz w:val="18"/>
                <w:szCs w:val="18"/>
                <w:lang w:eastAsia="zh-CN"/>
              </w:rPr>
              <w:t xml:space="preserve"> G314、规划S334、规划国道 G314 及多条内部路有效</w:t>
            </w:r>
            <w:r>
              <w:rPr>
                <w:rFonts w:hint="eastAsia" w:ascii="Times New Roman" w:hAnsi="Times New Roman" w:cs="Times New Roman"/>
                <w:sz w:val="18"/>
                <w:szCs w:val="18"/>
                <w:lang w:eastAsia="zh-CN"/>
              </w:rPr>
              <w:t>地</w:t>
            </w:r>
            <w:r>
              <w:rPr>
                <w:rFonts w:ascii="Times New Roman" w:hAnsi="Times New Roman" w:cs="Times New Roman"/>
                <w:sz w:val="18"/>
                <w:szCs w:val="18"/>
                <w:lang w:eastAsia="zh-CN"/>
              </w:rPr>
              <w:t>连接起来，</w:t>
            </w:r>
            <w:r>
              <w:rPr>
                <w:rFonts w:hint="eastAsia" w:ascii="Times New Roman" w:hAnsi="Times New Roman" w:cs="Times New Roman"/>
                <w:sz w:val="18"/>
                <w:szCs w:val="18"/>
                <w:lang w:eastAsia="zh-CN"/>
              </w:rPr>
              <w:t>属于</w:t>
            </w:r>
            <w:r>
              <w:rPr>
                <w:rFonts w:ascii="Times New Roman" w:hAnsi="Times New Roman" w:cs="Times New Roman"/>
                <w:sz w:val="18"/>
                <w:szCs w:val="18"/>
                <w:lang w:eastAsia="zh-CN"/>
              </w:rPr>
              <w:t>兵地综合交通网建设</w:t>
            </w:r>
            <w:r>
              <w:rPr>
                <w:rFonts w:hint="eastAsia" w:ascii="Times New Roman" w:hAnsi="Times New Roman" w:cs="Times New Roman"/>
                <w:sz w:val="18"/>
                <w:szCs w:val="18"/>
                <w:lang w:eastAsia="zh-CN"/>
              </w:rPr>
              <w:t>，可有效加强兵地互联互通，推动兵地融合发展。</w:t>
            </w:r>
          </w:p>
        </w:tc>
        <w:tc>
          <w:tcPr>
            <w:tcW w:w="361" w:type="pct"/>
            <w:vAlign w:val="center"/>
          </w:tcPr>
          <w:p w14:paraId="11560A84">
            <w:pPr>
              <w:pStyle w:val="2527"/>
              <w:widowControl w:val="0"/>
              <w:rPr>
                <w:rFonts w:ascii="Times New Roman" w:hAnsi="Times New Roman" w:cs="Times New Roman"/>
                <w:sz w:val="18"/>
                <w:szCs w:val="18"/>
                <w:lang w:eastAsia="zh-CN"/>
              </w:rPr>
            </w:pPr>
            <w:r>
              <w:rPr>
                <w:rFonts w:hint="eastAsia" w:ascii="Times New Roman" w:hAnsi="Times New Roman" w:cs="Times New Roman"/>
                <w:sz w:val="18"/>
                <w:szCs w:val="18"/>
                <w:lang w:eastAsia="zh-CN"/>
              </w:rPr>
              <w:t>符合</w:t>
            </w:r>
          </w:p>
        </w:tc>
      </w:tr>
      <w:tr w14:paraId="2119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Align w:val="center"/>
          </w:tcPr>
          <w:p w14:paraId="5EC5C605">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2</w:t>
            </w:r>
          </w:p>
        </w:tc>
        <w:tc>
          <w:tcPr>
            <w:tcW w:w="625" w:type="pct"/>
            <w:vAlign w:val="center"/>
          </w:tcPr>
          <w:p w14:paraId="644AA540">
            <w:pPr>
              <w:pStyle w:val="2527"/>
              <w:widowControl w:val="0"/>
              <w:rPr>
                <w:rFonts w:ascii="Times New Roman" w:hAnsi="Times New Roman" w:cs="Times New Roman"/>
                <w:sz w:val="18"/>
                <w:szCs w:val="18"/>
                <w:lang w:eastAsia="zh-CN"/>
              </w:rPr>
            </w:pPr>
            <w:bookmarkStart w:id="45" w:name="_Hlk167472551"/>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新疆维吾尔自治区“十四五”</w:t>
            </w:r>
            <w:r>
              <w:rPr>
                <w:rFonts w:hint="eastAsia" w:ascii="Times New Roman" w:hAnsi="Times New Roman" w:cs="Times New Roman"/>
                <w:sz w:val="18"/>
                <w:szCs w:val="18"/>
                <w:lang w:eastAsia="zh-CN"/>
              </w:rPr>
              <w:t>综合</w:t>
            </w:r>
            <w:r>
              <w:rPr>
                <w:rFonts w:ascii="Times New Roman" w:hAnsi="Times New Roman" w:cs="Times New Roman"/>
                <w:sz w:val="18"/>
                <w:szCs w:val="18"/>
                <w:lang w:eastAsia="zh-CN"/>
              </w:rPr>
              <w:t>交通</w:t>
            </w:r>
            <w:r>
              <w:rPr>
                <w:rFonts w:hint="eastAsia" w:ascii="Times New Roman" w:hAnsi="Times New Roman" w:cs="Times New Roman"/>
                <w:sz w:val="18"/>
                <w:szCs w:val="18"/>
                <w:lang w:eastAsia="zh-CN"/>
              </w:rPr>
              <w:t>规划环境影响报告书》及审查意见</w:t>
            </w:r>
            <w:bookmarkEnd w:id="45"/>
            <w:r>
              <w:rPr>
                <w:rFonts w:hint="eastAsia" w:ascii="Times New Roman" w:hAnsi="Times New Roman" w:cs="Times New Roman"/>
                <w:sz w:val="18"/>
                <w:szCs w:val="18"/>
                <w:lang w:eastAsia="zh-CN"/>
              </w:rPr>
              <w:t>（新环环评函〔2022〕76号）。</w:t>
            </w:r>
          </w:p>
        </w:tc>
        <w:tc>
          <w:tcPr>
            <w:tcW w:w="2033" w:type="pct"/>
            <w:vAlign w:val="center"/>
          </w:tcPr>
          <w:p w14:paraId="1EB2769F">
            <w:pPr>
              <w:pStyle w:val="2527"/>
              <w:widowControl w:val="0"/>
              <w:ind w:firstLine="360" w:firstLineChars="200"/>
              <w:jc w:val="left"/>
              <w:rPr>
                <w:rFonts w:ascii="Times New Roman" w:hAnsi="Times New Roman" w:cs="Times New Roman"/>
                <w:sz w:val="18"/>
                <w:szCs w:val="18"/>
                <w:lang w:eastAsia="zh-CN"/>
              </w:rPr>
            </w:pPr>
            <w:r>
              <w:rPr>
                <w:rFonts w:hint="eastAsia" w:ascii="Times New Roman" w:hAnsi="Times New Roman" w:cs="Times New Roman"/>
                <w:sz w:val="18"/>
                <w:szCs w:val="18"/>
                <w:lang w:eastAsia="zh-CN"/>
              </w:rPr>
              <w:t>对规划优化调整和实施过程中的意见：</w:t>
            </w:r>
          </w:p>
          <w:p w14:paraId="3F7D7A98">
            <w:pPr>
              <w:pStyle w:val="2527"/>
              <w:widowControl w:val="0"/>
              <w:ind w:firstLine="360" w:firstLineChars="200"/>
              <w:jc w:val="left"/>
              <w:rPr>
                <w:rFonts w:ascii="Times New Roman" w:hAnsi="Times New Roman" w:cs="Times New Roman"/>
                <w:sz w:val="18"/>
                <w:szCs w:val="18"/>
                <w:lang w:eastAsia="zh-CN"/>
              </w:rPr>
            </w:pPr>
            <w:r>
              <w:rPr>
                <w:rFonts w:hint="eastAsia" w:ascii="Times New Roman" w:hAnsi="Times New Roman" w:cs="Times New Roman"/>
                <w:sz w:val="18"/>
                <w:szCs w:val="18"/>
                <w:lang w:eastAsia="zh-CN"/>
              </w:rPr>
              <w:t>“严格保护生态空间，优化规划布局。主动对接国家、自治区国土空间规划，加强与“三线一单”分区管控等有关要求的衔接，确保符合相关管控和保护要求，实现综合交通和枢纽空间布局，坚持绕避优先原则，严格按照自然保护地、饮用水源保护区等管控要求进行交通开发建设活动。”</w:t>
            </w:r>
          </w:p>
          <w:p w14:paraId="4BD4E1F9">
            <w:pPr>
              <w:widowControl w:val="0"/>
              <w:ind w:firstLine="360" w:firstLineChars="200"/>
              <w:jc w:val="both"/>
              <w:rPr>
                <w:rFonts w:ascii="Times New Roman" w:hAnsi="Times New Roman" w:cs="Times New Roman"/>
                <w:sz w:val="18"/>
                <w:szCs w:val="18"/>
              </w:rPr>
            </w:pPr>
            <w:r>
              <w:rPr>
                <w:rFonts w:ascii="Times New Roman" w:hAnsi="Times New Roman" w:cs="Times New Roman"/>
                <w:sz w:val="18"/>
                <w:szCs w:val="18"/>
              </w:rPr>
              <w:t>“规划发展目标”提出如下要求：</w:t>
            </w:r>
          </w:p>
          <w:p w14:paraId="40EDF59C">
            <w:pPr>
              <w:widowControl w:val="0"/>
              <w:ind w:firstLine="360" w:firstLineChars="200"/>
              <w:jc w:val="both"/>
            </w:pPr>
            <w:r>
              <w:rPr>
                <w:rFonts w:hint="eastAsia" w:ascii="Times New Roman" w:hAnsi="Times New Roman" w:cs="Times New Roman"/>
                <w:sz w:val="18"/>
                <w:szCs w:val="18"/>
              </w:rPr>
              <w:t>“</w:t>
            </w:r>
            <w:r>
              <w:rPr>
                <w:rFonts w:ascii="Times New Roman" w:hAnsi="Times New Roman" w:cs="Times New Roman"/>
                <w:sz w:val="18"/>
                <w:szCs w:val="18"/>
              </w:rPr>
              <w:t>兵地融合有效推进，南疆地区、农村地区等交通运输发展水平明显提升；交通运输与其他产业发展协同性明显提升……</w:t>
            </w:r>
            <w:r>
              <w:rPr>
                <w:rFonts w:hint="eastAsia" w:ascii="Times New Roman" w:hAnsi="Times New Roman" w:cs="Times New Roman"/>
                <w:sz w:val="18"/>
                <w:szCs w:val="18"/>
              </w:rPr>
              <w:t>”</w:t>
            </w:r>
          </w:p>
        </w:tc>
        <w:tc>
          <w:tcPr>
            <w:tcW w:w="1693" w:type="pct"/>
            <w:vAlign w:val="center"/>
          </w:tcPr>
          <w:p w14:paraId="03F42795">
            <w:pPr>
              <w:pStyle w:val="2527"/>
              <w:widowControl w:val="0"/>
              <w:ind w:firstLine="360" w:firstLineChars="200"/>
              <w:jc w:val="left"/>
              <w:rPr>
                <w:lang w:eastAsia="zh-CN"/>
              </w:rPr>
            </w:pPr>
            <w:r>
              <w:rPr>
                <w:rFonts w:ascii="Times New Roman" w:hAnsi="Times New Roman" w:cs="Times New Roman"/>
                <w:sz w:val="18"/>
                <w:szCs w:val="18"/>
                <w:lang w:eastAsia="zh-CN"/>
              </w:rPr>
              <w:t>本项目</w:t>
            </w:r>
            <w:r>
              <w:rPr>
                <w:rFonts w:hint="eastAsia" w:ascii="Times New Roman" w:hAnsi="Times New Roman" w:cs="Times New Roman"/>
                <w:sz w:val="18"/>
                <w:szCs w:val="18"/>
                <w:lang w:eastAsia="zh-CN"/>
              </w:rPr>
              <w:t>不占生态红线，符合“三线一单”分区管控的要求。拟建公路将草湖项目区与国道</w:t>
            </w:r>
            <w:r>
              <w:rPr>
                <w:rFonts w:ascii="Times New Roman" w:hAnsi="Times New Roman" w:cs="Times New Roman"/>
                <w:sz w:val="18"/>
                <w:szCs w:val="18"/>
                <w:lang w:eastAsia="zh-CN"/>
              </w:rPr>
              <w:t xml:space="preserve"> G314、规划S334、规划国道 G314 及多条内部路有效</w:t>
            </w:r>
            <w:r>
              <w:rPr>
                <w:rFonts w:hint="eastAsia" w:ascii="Times New Roman" w:hAnsi="Times New Roman" w:cs="Times New Roman"/>
                <w:sz w:val="18"/>
                <w:szCs w:val="18"/>
                <w:lang w:eastAsia="zh-CN"/>
              </w:rPr>
              <w:t>地</w:t>
            </w:r>
            <w:r>
              <w:rPr>
                <w:rFonts w:ascii="Times New Roman" w:hAnsi="Times New Roman" w:cs="Times New Roman"/>
                <w:sz w:val="18"/>
                <w:szCs w:val="18"/>
                <w:lang w:eastAsia="zh-CN"/>
              </w:rPr>
              <w:t>连接起来，</w:t>
            </w:r>
            <w:r>
              <w:rPr>
                <w:rFonts w:hint="eastAsia" w:ascii="Times New Roman" w:hAnsi="Times New Roman" w:cs="Times New Roman"/>
                <w:sz w:val="18"/>
                <w:szCs w:val="18"/>
                <w:lang w:eastAsia="zh-CN"/>
              </w:rPr>
              <w:t>属于</w:t>
            </w:r>
            <w:r>
              <w:rPr>
                <w:rFonts w:ascii="Times New Roman" w:hAnsi="Times New Roman" w:cs="Times New Roman"/>
                <w:sz w:val="18"/>
                <w:szCs w:val="18"/>
                <w:lang w:eastAsia="zh-CN"/>
              </w:rPr>
              <w:t>兵地综合交通网建设</w:t>
            </w:r>
            <w:r>
              <w:rPr>
                <w:rFonts w:hint="eastAsia" w:ascii="Times New Roman" w:hAnsi="Times New Roman" w:cs="Times New Roman"/>
                <w:sz w:val="18"/>
                <w:szCs w:val="18"/>
                <w:lang w:eastAsia="zh-CN"/>
              </w:rPr>
              <w:t>，可有效加强兵地互联互通，推动兵地融合发展。</w:t>
            </w:r>
          </w:p>
        </w:tc>
        <w:tc>
          <w:tcPr>
            <w:tcW w:w="361" w:type="pct"/>
            <w:vAlign w:val="center"/>
          </w:tcPr>
          <w:p w14:paraId="489F44AA">
            <w:pPr>
              <w:pStyle w:val="2527"/>
              <w:widowControl w:val="0"/>
              <w:rPr>
                <w:rFonts w:ascii="Times New Roman" w:hAnsi="Times New Roman" w:cs="Times New Roman"/>
                <w:sz w:val="18"/>
                <w:szCs w:val="18"/>
                <w:lang w:eastAsia="zh-CN"/>
              </w:rPr>
            </w:pPr>
            <w:r>
              <w:rPr>
                <w:rFonts w:hint="eastAsia" w:ascii="Times New Roman" w:hAnsi="Times New Roman" w:cs="Times New Roman"/>
                <w:sz w:val="18"/>
                <w:szCs w:val="18"/>
                <w:lang w:eastAsia="zh-CN"/>
              </w:rPr>
              <w:t>符合</w:t>
            </w:r>
          </w:p>
        </w:tc>
      </w:tr>
      <w:bookmarkEnd w:id="44"/>
      <w:tr w14:paraId="3D2B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Align w:val="center"/>
          </w:tcPr>
          <w:p w14:paraId="7C1E6738">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3</w:t>
            </w:r>
          </w:p>
        </w:tc>
        <w:tc>
          <w:tcPr>
            <w:tcW w:w="625" w:type="pct"/>
            <w:vAlign w:val="center"/>
          </w:tcPr>
          <w:p w14:paraId="356AD17F">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《新疆生产建设兵团“十四五”交通运输发展规划》</w:t>
            </w:r>
          </w:p>
        </w:tc>
        <w:tc>
          <w:tcPr>
            <w:tcW w:w="2033" w:type="pct"/>
            <w:vAlign w:val="center"/>
          </w:tcPr>
          <w:p w14:paraId="5DF3BC3E">
            <w:pPr>
              <w:pStyle w:val="2527"/>
              <w:widowControl w:val="0"/>
              <w:ind w:firstLine="360" w:firstLineChars="200"/>
              <w:jc w:val="left"/>
              <w:rPr>
                <w:rFonts w:ascii="Times New Roman" w:hAnsi="Times New Roman" w:cs="Times New Roman"/>
                <w:sz w:val="18"/>
                <w:szCs w:val="18"/>
                <w:lang w:eastAsia="zh-CN"/>
              </w:rPr>
            </w:pPr>
            <w:r>
              <w:rPr>
                <w:rFonts w:ascii="Times New Roman" w:hAnsi="Times New Roman" w:cs="Times New Roman"/>
                <w:sz w:val="18"/>
                <w:szCs w:val="18"/>
                <w:lang w:eastAsia="zh-CN"/>
              </w:rPr>
              <w:t>进一步加强与自治区公路网的进一步衔接，加快兵团综合交通通道建设，消除兵团干线网断头和瓶颈，提高现有干线技术等级水平，提高运输能力和效率；全面提升兵团在新疆公路、铁路、航空，以及</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丝绸之路经济带</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和</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中巴经济走廊</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中的战略地位和作用，确定兵团城镇在综合交通网中的区域枢纽地位，促使兵团区位优势向经济优势转变。根据综合交通网布局和沿线垦区经济发展需求，重点加强连接路网的带动垦区沿线城镇发展通道建设，形成南北疆垦区两个公路网运输大通道，从而促进沿线兵团城镇群及重点产业发展壮大。</w:t>
            </w:r>
          </w:p>
        </w:tc>
        <w:tc>
          <w:tcPr>
            <w:tcW w:w="1693" w:type="pct"/>
            <w:vAlign w:val="center"/>
          </w:tcPr>
          <w:p w14:paraId="6A897ED2">
            <w:pPr>
              <w:widowControl w:val="0"/>
              <w:jc w:val="both"/>
            </w:pPr>
            <w:r>
              <w:rPr>
                <w:rFonts w:hint="eastAsia" w:ascii="Times New Roman" w:hAnsi="Times New Roman" w:cs="Times New Roman"/>
                <w:sz w:val="18"/>
                <w:szCs w:val="18"/>
              </w:rPr>
              <w:t>草湖项目区作为兵团在中巴经济走廊的重要战略节点，承担着向西开放、交通链接的历史使命，项目的建设将加强兵团第三师内部与外界的联系，提升第三师在“丝绸之路经济带”和“中巴经济走廊”中的战略地位和作用；有利于实现巩固拓展脱贫攻坚成果同服务乡村振兴有效衔接，从而提高兵团城镇化水平、促进兵地融合发展；项目的建设彻底贯通了南疆各产业崛起的草湖项目区、阿克陶县、疏附县，为全面铺设南疆高等级公路网迈出坚实的一步。</w:t>
            </w:r>
          </w:p>
        </w:tc>
        <w:tc>
          <w:tcPr>
            <w:tcW w:w="361" w:type="pct"/>
            <w:vAlign w:val="center"/>
          </w:tcPr>
          <w:p w14:paraId="37D3387F">
            <w:pPr>
              <w:pStyle w:val="2527"/>
              <w:widowControl w:val="0"/>
              <w:rPr>
                <w:rFonts w:ascii="Times New Roman" w:hAnsi="Times New Roman" w:cs="Times New Roman"/>
                <w:sz w:val="18"/>
                <w:szCs w:val="18"/>
              </w:rPr>
            </w:pPr>
            <w:r>
              <w:rPr>
                <w:rFonts w:ascii="Times New Roman" w:hAnsi="Times New Roman" w:cs="Times New Roman"/>
                <w:sz w:val="18"/>
                <w:szCs w:val="18"/>
              </w:rPr>
              <w:t>符合</w:t>
            </w:r>
          </w:p>
        </w:tc>
      </w:tr>
      <w:tr w14:paraId="16AC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Align w:val="center"/>
          </w:tcPr>
          <w:p w14:paraId="3FD48C8D">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4</w:t>
            </w:r>
          </w:p>
        </w:tc>
        <w:tc>
          <w:tcPr>
            <w:tcW w:w="625" w:type="pct"/>
            <w:vAlign w:val="center"/>
          </w:tcPr>
          <w:p w14:paraId="5820D3D7">
            <w:pPr>
              <w:pStyle w:val="2527"/>
              <w:widowControl w:val="0"/>
              <w:rPr>
                <w:rFonts w:ascii="Times New Roman" w:hAnsi="Times New Roman" w:cs="Times New Roman"/>
                <w:sz w:val="18"/>
                <w:szCs w:val="18"/>
                <w:lang w:eastAsia="zh-CN"/>
              </w:rPr>
            </w:pPr>
            <w:bookmarkStart w:id="46" w:name="_Hlk167472563"/>
            <w:r>
              <w:rPr>
                <w:rFonts w:ascii="Times New Roman" w:hAnsi="Times New Roman" w:cs="Times New Roman"/>
                <w:sz w:val="18"/>
                <w:szCs w:val="18"/>
                <w:lang w:eastAsia="zh-CN"/>
              </w:rPr>
              <w:t>《新疆生产建设兵团</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十四五</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公路建设规划环境影响报告书》及审查意见</w:t>
            </w:r>
            <w:bookmarkEnd w:id="46"/>
            <w:r>
              <w:rPr>
                <w:rFonts w:ascii="Times New Roman" w:hAnsi="Times New Roman" w:cs="Times New Roman"/>
                <w:sz w:val="18"/>
                <w:szCs w:val="18"/>
                <w:lang w:eastAsia="zh-CN"/>
              </w:rPr>
              <w:t>（兵环审〔2022〕40号）。</w:t>
            </w:r>
          </w:p>
        </w:tc>
        <w:tc>
          <w:tcPr>
            <w:tcW w:w="2033" w:type="pct"/>
            <w:vAlign w:val="center"/>
          </w:tcPr>
          <w:p w14:paraId="7E6BB80B">
            <w:pPr>
              <w:pStyle w:val="2527"/>
              <w:widowControl w:val="0"/>
              <w:ind w:firstLine="360" w:firstLineChars="200"/>
              <w:jc w:val="left"/>
              <w:rPr>
                <w:rFonts w:ascii="Times New Roman" w:hAnsi="Times New Roman" w:cs="Times New Roman"/>
                <w:sz w:val="18"/>
                <w:szCs w:val="18"/>
                <w:lang w:eastAsia="zh-CN"/>
              </w:rPr>
            </w:pPr>
            <w:r>
              <w:rPr>
                <w:rFonts w:ascii="Times New Roman" w:hAnsi="Times New Roman" w:cs="Times New Roman"/>
                <w:sz w:val="18"/>
                <w:szCs w:val="18"/>
                <w:lang w:eastAsia="zh-CN"/>
              </w:rPr>
              <w:t>公路选线最大限度避让各类环境敏感目标，同步开展原生动植物保护和动物通道建设；尽可能避免占用河湖空间特别是饮用水水源保护区，如占用须采用封闭式排水和水处理系统，强化公路施工期和运营期服务区污水处理，有条件的纳入城市污水管网；在可能造成噪声污染的重点路段设置声屏障或者采取其他降低噪声的有效措施；尽量不占或少占耕地和基本农田等。</w:t>
            </w:r>
          </w:p>
        </w:tc>
        <w:tc>
          <w:tcPr>
            <w:tcW w:w="1693" w:type="pct"/>
            <w:vAlign w:val="center"/>
          </w:tcPr>
          <w:p w14:paraId="05806F24">
            <w:pPr>
              <w:pStyle w:val="2527"/>
              <w:widowControl w:val="0"/>
              <w:ind w:firstLine="360" w:firstLineChars="200"/>
              <w:jc w:val="left"/>
              <w:rPr>
                <w:rFonts w:ascii="Times New Roman" w:hAnsi="Times New Roman" w:cs="Times New Roman"/>
                <w:sz w:val="18"/>
                <w:szCs w:val="18"/>
                <w:lang w:eastAsia="zh-CN"/>
              </w:rPr>
            </w:pPr>
            <w:r>
              <w:rPr>
                <w:rFonts w:ascii="Times New Roman" w:hAnsi="Times New Roman" w:cs="Times New Roman"/>
                <w:sz w:val="18"/>
                <w:szCs w:val="18"/>
                <w:lang w:eastAsia="zh-CN"/>
              </w:rPr>
              <w:t>本项目对新建线路进行了多方案比选和合理布线，</w:t>
            </w:r>
            <w:r>
              <w:rPr>
                <w:rFonts w:hint="eastAsia" w:ascii="Times New Roman" w:hAnsi="Times New Roman" w:cs="Times New Roman"/>
                <w:sz w:val="18"/>
                <w:szCs w:val="18"/>
                <w:lang w:eastAsia="zh-CN"/>
              </w:rPr>
              <w:t>路线布设时已充分考虑避让水源保护区，跨越盖孜河的桥梁设置桥面径流收集系统；</w:t>
            </w:r>
            <w:r>
              <w:rPr>
                <w:rFonts w:ascii="Times New Roman" w:hAnsi="Times New Roman" w:cs="Times New Roman"/>
                <w:sz w:val="18"/>
                <w:szCs w:val="18"/>
                <w:lang w:eastAsia="zh-CN"/>
              </w:rPr>
              <w:t>项目施工和运营期严格按照各类环保要求保护沿线原生动植物，全线共设</w:t>
            </w:r>
            <w:r>
              <w:rPr>
                <w:rFonts w:hint="eastAsia" w:ascii="Times New Roman" w:hAnsi="Times New Roman" w:cs="Times New Roman"/>
                <w:sz w:val="18"/>
                <w:szCs w:val="18"/>
                <w:lang w:eastAsia="zh-CN"/>
              </w:rPr>
              <w:t>桥梁1</w:t>
            </w:r>
            <w:r>
              <w:rPr>
                <w:rFonts w:ascii="Times New Roman" w:hAnsi="Times New Roman" w:cs="Times New Roman"/>
                <w:sz w:val="18"/>
                <w:szCs w:val="18"/>
                <w:lang w:eastAsia="zh-CN"/>
              </w:rPr>
              <w:t>0座、涵洞96道，均可作为动物通道使用；公路施工期生产废水处理后回用不外排，</w:t>
            </w:r>
            <w:r>
              <w:rPr>
                <w:rFonts w:hint="eastAsia" w:ascii="Times New Roman" w:hAnsi="Times New Roman" w:cs="Times New Roman"/>
                <w:sz w:val="18"/>
                <w:szCs w:val="18"/>
                <w:lang w:eastAsia="zh-CN"/>
              </w:rPr>
              <w:t>生活污水</w:t>
            </w:r>
            <w:r>
              <w:rPr>
                <w:rFonts w:ascii="Times New Roman" w:hAnsi="Times New Roman" w:cs="Times New Roman"/>
                <w:sz w:val="18"/>
                <w:szCs w:val="18"/>
                <w:lang w:eastAsia="zh-CN"/>
              </w:rPr>
              <w:t>经一体化污水设施处理后</w:t>
            </w:r>
            <w:r>
              <w:rPr>
                <w:rFonts w:hint="eastAsia" w:ascii="Times New Roman" w:hAnsi="Times New Roman" w:cs="Times New Roman"/>
                <w:sz w:val="18"/>
                <w:szCs w:val="18"/>
                <w:lang w:eastAsia="zh-CN"/>
              </w:rPr>
              <w:t>用于洒水降尘</w:t>
            </w:r>
            <w:r>
              <w:rPr>
                <w:rFonts w:ascii="Times New Roman" w:hAnsi="Times New Roman" w:cs="Times New Roman"/>
                <w:sz w:val="18"/>
                <w:szCs w:val="18"/>
                <w:lang w:eastAsia="zh-CN"/>
              </w:rPr>
              <w:t>；项目不占用耕地和基本农田，占用灌木林地建设单位提请了经济补偿方案。</w:t>
            </w:r>
          </w:p>
        </w:tc>
        <w:tc>
          <w:tcPr>
            <w:tcW w:w="361" w:type="pct"/>
            <w:vAlign w:val="center"/>
          </w:tcPr>
          <w:p w14:paraId="2B347658">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符合</w:t>
            </w:r>
          </w:p>
        </w:tc>
      </w:tr>
      <w:tr w14:paraId="6CB2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pct"/>
            <w:vAlign w:val="center"/>
          </w:tcPr>
          <w:p w14:paraId="01F265A0">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5</w:t>
            </w:r>
          </w:p>
        </w:tc>
        <w:tc>
          <w:tcPr>
            <w:tcW w:w="625" w:type="pct"/>
            <w:vAlign w:val="center"/>
          </w:tcPr>
          <w:p w14:paraId="4B316292">
            <w:pPr>
              <w:pStyle w:val="2527"/>
              <w:widowControl w:val="0"/>
              <w:rPr>
                <w:rFonts w:ascii="Times New Roman" w:hAnsi="Times New Roman" w:cs="Times New Roman"/>
                <w:sz w:val="18"/>
                <w:szCs w:val="18"/>
                <w:lang w:eastAsia="zh-CN"/>
              </w:rPr>
            </w:pPr>
            <w:r>
              <w:rPr>
                <w:rFonts w:ascii="Times New Roman" w:hAnsi="Times New Roman" w:cs="Times New Roman"/>
                <w:sz w:val="18"/>
                <w:szCs w:val="18"/>
                <w:lang w:eastAsia="zh-CN"/>
              </w:rPr>
              <w:t>《新疆生产建设兵团省道网规划（2023-2035年）》</w:t>
            </w:r>
          </w:p>
        </w:tc>
        <w:tc>
          <w:tcPr>
            <w:tcW w:w="2033" w:type="pct"/>
            <w:vAlign w:val="center"/>
          </w:tcPr>
          <w:p w14:paraId="409F64C4">
            <w:pPr>
              <w:pStyle w:val="2527"/>
              <w:widowControl w:val="0"/>
              <w:ind w:firstLine="360" w:firstLineChars="200"/>
              <w:jc w:val="left"/>
              <w:rPr>
                <w:rFonts w:ascii="Times New Roman" w:hAnsi="Times New Roman" w:cs="Times New Roman"/>
                <w:sz w:val="18"/>
                <w:szCs w:val="18"/>
                <w:lang w:eastAsia="zh-CN"/>
              </w:rPr>
            </w:pPr>
            <w:r>
              <w:rPr>
                <w:rFonts w:ascii="Times New Roman" w:hAnsi="Times New Roman" w:cs="Times New Roman"/>
                <w:sz w:val="18"/>
                <w:szCs w:val="18"/>
                <w:lang w:eastAsia="zh-CN"/>
              </w:rPr>
              <w:t>本规划为兵团首个中长期省道网规划。根据《规划》，兵团将建设由96条纵线和54条横线组成的普通省道网。</w:t>
            </w:r>
          </w:p>
          <w:p w14:paraId="3DE988FF">
            <w:pPr>
              <w:pStyle w:val="2527"/>
              <w:widowControl w:val="0"/>
              <w:ind w:firstLine="360" w:firstLineChars="200"/>
              <w:jc w:val="left"/>
              <w:rPr>
                <w:rFonts w:ascii="Times New Roman" w:hAnsi="Times New Roman" w:cs="Times New Roman"/>
                <w:sz w:val="18"/>
                <w:szCs w:val="18"/>
                <w:lang w:eastAsia="zh-CN"/>
              </w:rPr>
            </w:pPr>
            <w:r>
              <w:rPr>
                <w:rFonts w:ascii="Times New Roman" w:hAnsi="Times New Roman" w:cs="Times New Roman"/>
                <w:sz w:val="18"/>
                <w:szCs w:val="18"/>
                <w:lang w:eastAsia="zh-CN"/>
              </w:rPr>
              <w:t>《规划》提出，在国家公路基础上，普通省道将全面连接师市驻地和团镇，覆盖兵团所有国家4A级及以上旅游景区和兵团级以上经济技术开发区；充分衔接自治区公路骨架，实现与内地省份和新亚欧大陆桥、中国—中亚—西亚、中巴经济走廊沿线国家互联互通。到2035年，基本建成</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覆盖广泛、结构合理、畅通便捷、兵地互联、衔接高效、安全可靠</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的兵团省道网，实现师市之间便捷互通，师市内部顺畅联系、团镇节点多路通达、兵地交通密切衔接、沿边公路连续贯通。</w:t>
            </w:r>
          </w:p>
        </w:tc>
        <w:tc>
          <w:tcPr>
            <w:tcW w:w="1693" w:type="pct"/>
            <w:vAlign w:val="center"/>
          </w:tcPr>
          <w:p w14:paraId="433977A7">
            <w:pPr>
              <w:pStyle w:val="2527"/>
              <w:widowControl w:val="0"/>
              <w:ind w:firstLine="360" w:firstLineChars="200"/>
              <w:jc w:val="left"/>
              <w:rPr>
                <w:rFonts w:ascii="Times New Roman" w:hAnsi="Times New Roman" w:cs="Times New Roman"/>
                <w:sz w:val="18"/>
                <w:szCs w:val="18"/>
                <w:lang w:eastAsia="zh-CN"/>
              </w:rPr>
            </w:pPr>
            <w:r>
              <w:rPr>
                <w:rFonts w:hint="eastAsia" w:ascii="Times New Roman" w:hAnsi="Times New Roman" w:cs="Times New Roman"/>
                <w:sz w:val="18"/>
                <w:szCs w:val="18"/>
                <w:lang w:eastAsia="zh-CN"/>
              </w:rPr>
              <w:t>本项目是草湖项目区“三横七纵”规划路网的重要组成部分，是第三师图木舒克市“十四五”期间公路重点建设项目之一；是草湖项目区实施东西大通道发展战略和国防建设的重要保障，项目的建设将草湖项目区与国道</w:t>
            </w:r>
            <w:r>
              <w:rPr>
                <w:rFonts w:ascii="Times New Roman" w:hAnsi="Times New Roman" w:cs="Times New Roman"/>
                <w:sz w:val="18"/>
                <w:szCs w:val="18"/>
                <w:lang w:eastAsia="zh-CN"/>
              </w:rPr>
              <w:t xml:space="preserve"> G314、规划S334、规划国道 G314 及多条内部路有效</w:t>
            </w:r>
            <w:r>
              <w:rPr>
                <w:rFonts w:hint="eastAsia" w:ascii="Times New Roman" w:hAnsi="Times New Roman" w:cs="Times New Roman"/>
                <w:sz w:val="18"/>
                <w:szCs w:val="18"/>
                <w:lang w:eastAsia="zh-CN"/>
              </w:rPr>
              <w:t>地</w:t>
            </w:r>
            <w:r>
              <w:rPr>
                <w:rFonts w:ascii="Times New Roman" w:hAnsi="Times New Roman" w:cs="Times New Roman"/>
                <w:sz w:val="18"/>
                <w:szCs w:val="18"/>
                <w:lang w:eastAsia="zh-CN"/>
              </w:rPr>
              <w:t>连接起来，对41团草湖镇经济发展起着重要的支撑作用；同时本项目作为兵团高等级公路网的脉络之一，彻底贯通了南疆各产业崛起的草湖项目区、阿克陶县、疏附县，为全面铺设南疆高等级公路网迈出坚实的一步</w:t>
            </w:r>
            <w:r>
              <w:rPr>
                <w:rFonts w:hint="eastAsia" w:ascii="Times New Roman" w:hAnsi="Times New Roman" w:cs="Times New Roman"/>
                <w:sz w:val="18"/>
                <w:szCs w:val="18"/>
                <w:lang w:eastAsia="zh-CN"/>
              </w:rPr>
              <w:t>。</w:t>
            </w:r>
          </w:p>
          <w:p w14:paraId="0EB0136B">
            <w:pPr>
              <w:pStyle w:val="2527"/>
              <w:widowControl w:val="0"/>
              <w:ind w:firstLine="360" w:firstLineChars="200"/>
              <w:jc w:val="left"/>
              <w:rPr>
                <w:rFonts w:ascii="Times New Roman" w:hAnsi="Times New Roman" w:cs="Times New Roman"/>
                <w:sz w:val="18"/>
                <w:szCs w:val="18"/>
                <w:lang w:eastAsia="zh-CN"/>
              </w:rPr>
            </w:pPr>
          </w:p>
        </w:tc>
        <w:tc>
          <w:tcPr>
            <w:tcW w:w="361" w:type="pct"/>
            <w:vAlign w:val="center"/>
          </w:tcPr>
          <w:p w14:paraId="13E5A9DE">
            <w:pPr>
              <w:pStyle w:val="2527"/>
              <w:widowControl w:val="0"/>
              <w:rPr>
                <w:rFonts w:ascii="Times New Roman" w:hAnsi="Times New Roman" w:cs="Times New Roman"/>
                <w:sz w:val="18"/>
                <w:szCs w:val="18"/>
              </w:rPr>
            </w:pPr>
            <w:r>
              <w:rPr>
                <w:rFonts w:ascii="Times New Roman" w:hAnsi="Times New Roman" w:cs="Times New Roman"/>
                <w:sz w:val="18"/>
                <w:szCs w:val="18"/>
              </w:rPr>
              <w:t>符合</w:t>
            </w:r>
          </w:p>
        </w:tc>
      </w:tr>
      <w:bookmarkEnd w:id="43"/>
    </w:tbl>
    <w:p w14:paraId="7EE45BAE">
      <w:pPr>
        <w:spacing w:line="360" w:lineRule="auto"/>
        <w:rPr>
          <w:rFonts w:ascii="Times New Roman" w:hAnsi="Times New Roman" w:cs="Times New Roman"/>
          <w:spacing w:val="-6"/>
        </w:rPr>
        <w:sectPr>
          <w:pgSz w:w="16838" w:h="11906" w:orient="landscape"/>
          <w:pgMar w:top="1797" w:right="1440" w:bottom="1797" w:left="1440" w:header="851" w:footer="992" w:gutter="0"/>
          <w:cols w:space="425" w:num="1"/>
          <w:docGrid w:linePitch="312" w:charSpace="0"/>
        </w:sectPr>
      </w:pPr>
    </w:p>
    <w:p w14:paraId="722FDF76">
      <w:pPr>
        <w:pStyle w:val="4"/>
        <w:adjustRightInd w:val="0"/>
        <w:snapToGrid w:val="0"/>
        <w:spacing w:before="156" w:after="156" w:line="240" w:lineRule="auto"/>
        <w:rPr>
          <w:rFonts w:ascii="Times New Roman" w:hAnsi="Times New Roman" w:cs="Times New Roman"/>
        </w:rPr>
      </w:pPr>
      <w:bookmarkStart w:id="47" w:name="_Toc57826734"/>
      <w:bookmarkStart w:id="48" w:name="_Toc98414209"/>
      <w:bookmarkStart w:id="49" w:name="_Toc97464632"/>
      <w:bookmarkStart w:id="50" w:name="_Toc34989572"/>
      <w:bookmarkStart w:id="51" w:name="_Toc98413527"/>
      <w:r>
        <w:rPr>
          <w:rFonts w:ascii="Times New Roman" w:hAnsi="Times New Roman" w:cs="Times New Roman"/>
        </w:rPr>
        <w:t>1.4.2</w:t>
      </w:r>
      <w:r>
        <w:rPr>
          <w:rFonts w:hint="eastAsia" w:ascii="Times New Roman" w:hAnsi="Times New Roman" w:cs="Times New Roman"/>
        </w:rPr>
        <w:t>“</w:t>
      </w:r>
      <w:r>
        <w:rPr>
          <w:rFonts w:ascii="Times New Roman" w:hAnsi="Times New Roman" w:cs="Times New Roman"/>
        </w:rPr>
        <w:t>三线一单</w:t>
      </w:r>
      <w:r>
        <w:rPr>
          <w:rFonts w:hint="eastAsia" w:ascii="Times New Roman" w:hAnsi="Times New Roman" w:cs="Times New Roman"/>
        </w:rPr>
        <w:t>”</w:t>
      </w:r>
      <w:r>
        <w:rPr>
          <w:rFonts w:ascii="Times New Roman" w:hAnsi="Times New Roman" w:cs="Times New Roman"/>
        </w:rPr>
        <w:t>的符合性分析</w:t>
      </w:r>
      <w:bookmarkEnd w:id="47"/>
      <w:bookmarkEnd w:id="48"/>
      <w:bookmarkEnd w:id="49"/>
      <w:bookmarkEnd w:id="50"/>
      <w:bookmarkEnd w:id="51"/>
    </w:p>
    <w:p w14:paraId="319CAAE1">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1.4.2.1</w:t>
      </w:r>
      <w:r>
        <w:rPr>
          <w:rFonts w:hint="eastAsia" w:ascii="Times New Roman" w:hAnsi="Times New Roman" w:cs="Times New Roman"/>
          <w:i w:val="0"/>
        </w:rPr>
        <w:t>与《新疆维吾尔自治区“三线一单”生态环境分区管控方案》符合性分析</w:t>
      </w:r>
    </w:p>
    <w:p w14:paraId="62543AB3">
      <w:pPr>
        <w:pStyle w:val="312"/>
        <w:spacing w:line="360" w:lineRule="auto"/>
        <w:ind w:firstLine="480" w:firstLineChars="200"/>
        <w:jc w:val="both"/>
        <w:rPr>
          <w:rFonts w:ascii="Times New Roman" w:cs="Times New Roman"/>
          <w:color w:val="auto"/>
        </w:rPr>
      </w:pPr>
      <w:r>
        <w:rPr>
          <w:rFonts w:hint="eastAsia"/>
          <w:color w:val="auto"/>
        </w:rPr>
        <w:t>根据新疆维吾尔自治区人民政府办公厅“新政发</w:t>
      </w:r>
      <w:r>
        <w:rPr>
          <w:color w:val="auto"/>
        </w:rPr>
        <w:t>[2021]18</w:t>
      </w:r>
      <w:r>
        <w:rPr>
          <w:rFonts w:hint="eastAsia"/>
          <w:color w:val="auto"/>
        </w:rPr>
        <w:t>号”《关于印发《新疆维吾尔自治区</w:t>
      </w:r>
      <w:r>
        <w:rPr>
          <w:color w:val="auto"/>
        </w:rPr>
        <w:t>“</w:t>
      </w:r>
      <w:r>
        <w:rPr>
          <w:rFonts w:hint="eastAsia"/>
          <w:color w:val="auto"/>
        </w:rPr>
        <w:t>三线一单</w:t>
      </w:r>
      <w:r>
        <w:rPr>
          <w:color w:val="auto"/>
        </w:rPr>
        <w:t>”</w:t>
      </w:r>
      <w:r>
        <w:rPr>
          <w:rFonts w:hint="eastAsia"/>
          <w:color w:val="auto"/>
        </w:rPr>
        <w:t>生态环境分区管控方案》的通知》 要求，具体如下：为贯彻落实《中共中央 国务院关于全面加强生态环境保护坚决打好污染防治攻坚战的意见》和《自治区党委自治区人民政府关于全面加强生态环境保护坚决打好污染防治攻坚战实施方案》，按照生态环境部统一部署，自治区组织编制了</w:t>
      </w:r>
      <w:r>
        <w:rPr>
          <w:color w:val="auto"/>
        </w:rPr>
        <w:t>“</w:t>
      </w:r>
      <w:r>
        <w:rPr>
          <w:rFonts w:hint="eastAsia"/>
          <w:color w:val="auto"/>
        </w:rPr>
        <w:t>生态保护红线、环境质量底线、资源利用上线和生态环境准入清单</w:t>
      </w:r>
      <w:r>
        <w:rPr>
          <w:color w:val="auto"/>
        </w:rPr>
        <w:t>”</w:t>
      </w:r>
      <w:r>
        <w:rPr>
          <w:rFonts w:hint="eastAsia"/>
          <w:color w:val="auto"/>
        </w:rPr>
        <w:t>（以下简称</w:t>
      </w:r>
      <w:r>
        <w:rPr>
          <w:color w:val="auto"/>
        </w:rPr>
        <w:t>“</w:t>
      </w:r>
      <w:r>
        <w:rPr>
          <w:rFonts w:hint="eastAsia"/>
          <w:color w:val="auto"/>
        </w:rPr>
        <w:t>三线一单</w:t>
      </w:r>
      <w:r>
        <w:rPr>
          <w:color w:val="auto"/>
        </w:rPr>
        <w:t>”</w:t>
      </w:r>
      <w:r>
        <w:rPr>
          <w:rFonts w:hint="eastAsia"/>
          <w:color w:val="auto"/>
        </w:rPr>
        <w:t xml:space="preserve">）。 </w:t>
      </w:r>
      <w:r>
        <w:rPr>
          <w:color w:val="auto"/>
        </w:rPr>
        <w:t>2024年11月15日，自治区生态环境厅发布《新疆维吾尔自治区生态环境分区管控动态更新成果》（新环环评发[2024]157号）。</w:t>
      </w:r>
      <w:r>
        <w:rPr>
          <w:rFonts w:hint="eastAsia"/>
          <w:color w:val="auto"/>
        </w:rPr>
        <w:t>现就实施</w:t>
      </w:r>
      <w:r>
        <w:rPr>
          <w:color w:val="auto"/>
        </w:rPr>
        <w:t>“</w:t>
      </w:r>
      <w:r>
        <w:rPr>
          <w:rFonts w:hint="eastAsia"/>
          <w:color w:val="auto"/>
        </w:rPr>
        <w:t>三线一单</w:t>
      </w:r>
      <w:r>
        <w:rPr>
          <w:color w:val="auto"/>
        </w:rPr>
        <w:t>”</w:t>
      </w:r>
      <w:r>
        <w:rPr>
          <w:rFonts w:hint="eastAsia"/>
          <w:color w:val="auto"/>
        </w:rPr>
        <w:t>生态环境分区管控，项目与“新政发</w:t>
      </w:r>
      <w:r>
        <w:rPr>
          <w:color w:val="auto"/>
        </w:rPr>
        <w:t>[2021]18号”和“新环环评发[2024]157号”</w:t>
      </w:r>
      <w:r>
        <w:rPr>
          <w:rFonts w:hint="eastAsia"/>
          <w:color w:val="auto"/>
        </w:rPr>
        <w:t>符合性分析如下：</w:t>
      </w:r>
    </w:p>
    <w:p w14:paraId="545CD15F">
      <w:pPr>
        <w:pStyle w:val="312"/>
        <w:spacing w:line="360" w:lineRule="auto"/>
        <w:ind w:firstLine="480" w:firstLineChars="200"/>
        <w:jc w:val="both"/>
        <w:rPr>
          <w:rFonts w:ascii="Times New Roman" w:cs="Times New Roman"/>
          <w:color w:val="auto"/>
        </w:rPr>
      </w:pPr>
      <w:r>
        <w:rPr>
          <w:rFonts w:ascii="Times New Roman" w:cs="Times New Roman"/>
          <w:color w:val="auto"/>
        </w:rPr>
        <w:t>（1）生态保护红线符合性分析</w:t>
      </w:r>
    </w:p>
    <w:p w14:paraId="07D91C61">
      <w:pPr>
        <w:pStyle w:val="312"/>
        <w:adjustRightInd/>
        <w:spacing w:line="360" w:lineRule="auto"/>
        <w:ind w:firstLine="480" w:firstLineChars="200"/>
        <w:jc w:val="both"/>
        <w:rPr>
          <w:color w:val="auto"/>
        </w:rPr>
      </w:pPr>
      <w:r>
        <w:rPr>
          <w:rFonts w:hint="eastAsia"/>
          <w:color w:val="auto"/>
        </w:rPr>
        <w:t>生态保护红线，按照</w:t>
      </w:r>
      <w:r>
        <w:rPr>
          <w:color w:val="auto"/>
        </w:rPr>
        <w:t>“</w:t>
      </w:r>
      <w:r>
        <w:rPr>
          <w:rFonts w:hint="eastAsia"/>
          <w:color w:val="auto"/>
        </w:rPr>
        <w:t>生态功能不降低、面积不减少、性质不改变</w:t>
      </w:r>
      <w:r>
        <w:rPr>
          <w:color w:val="auto"/>
        </w:rPr>
        <w:t>”</w:t>
      </w:r>
      <w:r>
        <w:rPr>
          <w:rFonts w:hint="eastAsia"/>
          <w:color w:val="auto"/>
        </w:rPr>
        <w:t>的基本要求，</w:t>
      </w:r>
      <w:r>
        <w:rPr>
          <w:color w:val="auto"/>
        </w:rPr>
        <w:t xml:space="preserve"> </w:t>
      </w:r>
      <w:r>
        <w:rPr>
          <w:rFonts w:hint="eastAsia"/>
          <w:color w:val="auto"/>
        </w:rPr>
        <w:t>对划定的生态保护红线实施严格管控，保障和维护国家生态安全的底线和生命线。</w:t>
      </w:r>
    </w:p>
    <w:p w14:paraId="2F227A2C">
      <w:pPr>
        <w:pStyle w:val="312"/>
        <w:adjustRightInd/>
        <w:spacing w:line="360" w:lineRule="auto"/>
        <w:ind w:firstLine="480" w:firstLineChars="200"/>
        <w:jc w:val="both"/>
        <w:rPr>
          <w:rFonts w:ascii="Times New Roman" w:cs="Times New Roman"/>
          <w:color w:val="auto"/>
        </w:rPr>
      </w:pPr>
      <w:r>
        <w:rPr>
          <w:rFonts w:ascii="Times New Roman" w:cs="Times New Roman"/>
          <w:color w:val="auto"/>
        </w:rPr>
        <w:t>经核实，拟建项目不占用自然保护区、世界文化和自然遗产地等特殊生态敏感区，亦无风景名胜区、森林公园、地质公园、重要湿地、原始天然林、珍稀濒危野生动植物天然集中分布区、重要水生生物的自然产卵场及索饵场、越冬场和洄游通道、天然渔场等重要生态敏感区，项目占地不属于生态保护红线范围，符合生态保护红线要求。</w:t>
      </w:r>
    </w:p>
    <w:p w14:paraId="58B5C805">
      <w:pPr>
        <w:pStyle w:val="312"/>
        <w:adjustRightInd/>
        <w:spacing w:line="360" w:lineRule="auto"/>
        <w:ind w:firstLine="480" w:firstLineChars="200"/>
        <w:jc w:val="both"/>
        <w:rPr>
          <w:rFonts w:ascii="Times New Roman" w:cs="Times New Roman"/>
          <w:color w:val="auto"/>
        </w:rPr>
      </w:pPr>
      <w:r>
        <w:rPr>
          <w:rFonts w:ascii="Times New Roman" w:cs="Times New Roman"/>
          <w:color w:val="auto"/>
        </w:rPr>
        <w:t>（2）环境质量底线符合性分析</w:t>
      </w:r>
    </w:p>
    <w:p w14:paraId="50C74015">
      <w:pPr>
        <w:pStyle w:val="312"/>
        <w:adjustRightInd/>
        <w:spacing w:line="360" w:lineRule="auto"/>
        <w:ind w:firstLine="480" w:firstLineChars="200"/>
        <w:jc w:val="both"/>
        <w:rPr>
          <w:rFonts w:ascii="Times New Roman" w:cs="Times New Roman"/>
          <w:color w:val="auto"/>
        </w:rPr>
      </w:pPr>
      <w:r>
        <w:rPr>
          <w:rFonts w:hint="eastAsia"/>
          <w:color w:val="auto"/>
        </w:rPr>
        <w:t>环境质量底线要求：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p w14:paraId="06F23E6C">
      <w:pPr>
        <w:pStyle w:val="312"/>
        <w:adjustRightInd/>
        <w:spacing w:line="360" w:lineRule="auto"/>
        <w:ind w:firstLine="480" w:firstLineChars="200"/>
        <w:jc w:val="both"/>
        <w:rPr>
          <w:rFonts w:ascii="Times New Roman" w:cs="Times New Roman"/>
          <w:color w:val="auto"/>
        </w:rPr>
      </w:pPr>
      <w:r>
        <w:rPr>
          <w:rFonts w:ascii="Times New Roman" w:cs="Times New Roman"/>
          <w:color w:val="auto"/>
        </w:rPr>
        <w:t>本项目为公路建设项目，施工期项目产生的废气、废水、固废，随施工期结束而消失，为暂时性影响。项目营运期会产生一定的车辆尾气和噪声等，经预测，本项目建成运行后，在采取严格的环保措施后，本工程对区域空气和声环境质量影响较小，不会因本项目的建设而突破所在区域环境质量底线。</w:t>
      </w:r>
    </w:p>
    <w:p w14:paraId="16517214">
      <w:pPr>
        <w:pStyle w:val="312"/>
        <w:spacing w:line="360" w:lineRule="auto"/>
        <w:ind w:firstLine="480" w:firstLineChars="200"/>
        <w:jc w:val="both"/>
        <w:rPr>
          <w:rFonts w:ascii="Times New Roman" w:cs="Times New Roman"/>
          <w:color w:val="auto"/>
        </w:rPr>
      </w:pPr>
      <w:r>
        <w:rPr>
          <w:rFonts w:ascii="Times New Roman" w:cs="Times New Roman"/>
          <w:color w:val="auto"/>
        </w:rPr>
        <w:t>（3）资源利用上线符合性分析</w:t>
      </w:r>
    </w:p>
    <w:p w14:paraId="4D922F9F">
      <w:pPr>
        <w:spacing w:line="360" w:lineRule="auto"/>
        <w:ind w:firstLine="480" w:firstLineChars="200"/>
        <w:jc w:val="both"/>
      </w:pPr>
      <w:r>
        <w:rPr>
          <w:rFonts w:hint="eastAsia"/>
        </w:rPr>
        <w:t>资源利用上线，强化节约集约利用，持续提升资源能源利用效率，水资源、土地资源、能源消耗等达到国家、自治区下达的总量和强度控制目标。</w:t>
      </w:r>
    </w:p>
    <w:p w14:paraId="7C39D61A">
      <w:pPr>
        <w:pStyle w:val="312"/>
        <w:spacing w:line="360" w:lineRule="auto"/>
        <w:ind w:firstLine="480" w:firstLineChars="200"/>
        <w:jc w:val="both"/>
        <w:rPr>
          <w:rFonts w:ascii="Times New Roman" w:cs="Times New Roman"/>
          <w:color w:val="auto"/>
        </w:rPr>
      </w:pPr>
      <w:r>
        <w:rPr>
          <w:rFonts w:hint="eastAsia"/>
          <w:color w:val="auto"/>
        </w:rPr>
        <w:t>本项目运营期基本不消耗资源，不会突破区域资源利用上线；本项目不占用基本农田，土地资源消耗符合要求；项目总体上不会突破资源利用上线。</w:t>
      </w:r>
    </w:p>
    <w:p w14:paraId="51D7A080">
      <w:pPr>
        <w:pStyle w:val="312"/>
        <w:spacing w:line="360" w:lineRule="auto"/>
        <w:ind w:firstLine="480" w:firstLineChars="200"/>
        <w:jc w:val="both"/>
        <w:rPr>
          <w:rFonts w:ascii="Times New Roman" w:cs="Times New Roman"/>
          <w:color w:val="auto"/>
        </w:rPr>
      </w:pPr>
      <w:r>
        <w:rPr>
          <w:rFonts w:ascii="Times New Roman" w:cs="Times New Roman"/>
          <w:color w:val="auto"/>
        </w:rPr>
        <w:t>（4）与环境准入清单符合性分析</w:t>
      </w:r>
    </w:p>
    <w:p w14:paraId="0B4518AD">
      <w:pPr>
        <w:pStyle w:val="312"/>
        <w:spacing w:line="360" w:lineRule="auto"/>
        <w:ind w:firstLine="480" w:firstLineChars="200"/>
        <w:jc w:val="both"/>
        <w:rPr>
          <w:color w:val="auto"/>
        </w:rPr>
      </w:pPr>
      <w:r>
        <w:rPr>
          <w:rFonts w:hint="eastAsia"/>
          <w:color w:val="auto"/>
        </w:rPr>
        <w:t>本项目部分区域位于</w:t>
      </w:r>
      <w:r>
        <w:rPr>
          <w:color w:val="auto"/>
        </w:rPr>
        <w:t>克州阿克陶县境内</w:t>
      </w:r>
      <w:r>
        <w:rPr>
          <w:rFonts w:hint="eastAsia"/>
          <w:color w:val="auto"/>
        </w:rPr>
        <w:t>，属于一般管控单元</w:t>
      </w:r>
      <w:r>
        <w:rPr>
          <w:color w:val="auto"/>
        </w:rPr>
        <w:t>（管控编码ZH 65302230001）</w:t>
      </w:r>
      <w:r>
        <w:rPr>
          <w:rFonts w:hint="eastAsia"/>
          <w:color w:val="auto"/>
        </w:rPr>
        <w:t>，要求落实生态环境保护要求，推动区域环境质量持续改善。</w:t>
      </w:r>
    </w:p>
    <w:p w14:paraId="74D05F37">
      <w:pPr>
        <w:autoSpaceDE w:val="0"/>
        <w:autoSpaceDN w:val="0"/>
        <w:adjustRightInd w:val="0"/>
        <w:rPr>
          <w:rFonts w:ascii="黑体" w:hAnsi="黑体" w:eastAsia="黑体" w:cs="Times New Roman"/>
          <w:b/>
        </w:rPr>
      </w:pPr>
      <w:r>
        <w:rPr>
          <w:rFonts w:hint="eastAsia" w:ascii="黑体" w:hAnsi="黑体" w:eastAsia="黑体" w:cs="Times New Roman"/>
          <w:b/>
        </w:rPr>
        <w:t>表</w:t>
      </w:r>
      <w:r>
        <w:rPr>
          <w:rFonts w:ascii="黑体" w:hAnsi="黑体" w:eastAsia="黑体" w:cs="Times New Roman"/>
          <w:b/>
        </w:rPr>
        <w:t xml:space="preserve">1.4-2  </w:t>
      </w:r>
      <w:r>
        <w:rPr>
          <w:rFonts w:hint="eastAsia" w:ascii="黑体" w:hAnsi="黑体" w:eastAsia="黑体" w:cs="Times New Roman"/>
          <w:b/>
        </w:rPr>
        <w:t>《新疆维吾尔自治区“三线一单”生态环境分区管控方案》</w:t>
      </w:r>
    </w:p>
    <w:p w14:paraId="78E1ADEC">
      <w:pPr>
        <w:autoSpaceDE w:val="0"/>
        <w:autoSpaceDN w:val="0"/>
        <w:adjustRightInd w:val="0"/>
        <w:jc w:val="center"/>
        <w:rPr>
          <w:rFonts w:ascii="Times New Roman" w:hAnsi="Times New Roman" w:cs="Times New Roman"/>
          <w:b/>
        </w:rPr>
      </w:pPr>
      <w:r>
        <w:rPr>
          <w:rFonts w:hint="eastAsia" w:ascii="黑体" w:hAnsi="黑体" w:eastAsia="黑体" w:cs="Times New Roman"/>
          <w:b/>
        </w:rPr>
        <w:t>符合性分析表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0" w:type="dxa"/>
          <w:bottom w:w="0" w:type="dxa"/>
          <w:right w:w="0" w:type="dxa"/>
        </w:tblCellMar>
      </w:tblPr>
      <w:tblGrid>
        <w:gridCol w:w="389"/>
        <w:gridCol w:w="4451"/>
        <w:gridCol w:w="3502"/>
      </w:tblGrid>
      <w:tr w14:paraId="0C32E9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901" w:type="pct"/>
            <w:gridSpan w:val="2"/>
            <w:vAlign w:val="center"/>
          </w:tcPr>
          <w:p w14:paraId="04DA3B23">
            <w:pPr>
              <w:pStyle w:val="2265"/>
              <w:kinsoku w:val="0"/>
              <w:overflowPunct w:val="0"/>
              <w:spacing w:line="200" w:lineRule="exact"/>
              <w:jc w:val="center"/>
              <w:rPr>
                <w:rFonts w:ascii="Times New Roman" w:hAnsi="Times New Roman"/>
                <w:bCs/>
                <w:sz w:val="18"/>
                <w:szCs w:val="18"/>
                <w:lang w:eastAsia="zh-CN"/>
              </w:rPr>
            </w:pPr>
            <w:r>
              <w:rPr>
                <w:rFonts w:hint="eastAsia" w:ascii="Times New Roman" w:hAnsi="Times New Roman"/>
                <w:bCs/>
                <w:sz w:val="18"/>
                <w:szCs w:val="18"/>
                <w:lang w:eastAsia="zh-CN"/>
              </w:rPr>
              <w:t>新疆维吾尔自治区一般管控单元管控要求</w:t>
            </w:r>
          </w:p>
        </w:tc>
        <w:tc>
          <w:tcPr>
            <w:tcW w:w="2099" w:type="pct"/>
            <w:vAlign w:val="center"/>
          </w:tcPr>
          <w:p w14:paraId="431B5FB1">
            <w:pPr>
              <w:pStyle w:val="2265"/>
              <w:kinsoku w:val="0"/>
              <w:overflowPunct w:val="0"/>
              <w:spacing w:line="200" w:lineRule="exact"/>
              <w:jc w:val="center"/>
              <w:rPr>
                <w:rFonts w:ascii="Times New Roman" w:hAnsi="Times New Roman"/>
                <w:bCs/>
                <w:sz w:val="18"/>
                <w:szCs w:val="18"/>
              </w:rPr>
            </w:pPr>
            <w:r>
              <w:rPr>
                <w:rFonts w:hint="eastAsia" w:ascii="Times New Roman" w:hAnsi="Times New Roman"/>
                <w:bCs/>
                <w:sz w:val="18"/>
                <w:szCs w:val="18"/>
              </w:rPr>
              <w:t>符合性</w:t>
            </w:r>
          </w:p>
        </w:tc>
      </w:tr>
      <w:tr w14:paraId="7165B1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33" w:type="pct"/>
            <w:tcBorders>
              <w:bottom w:val="single" w:color="auto" w:sz="2" w:space="0"/>
            </w:tcBorders>
            <w:vAlign w:val="center"/>
          </w:tcPr>
          <w:p w14:paraId="1823C389">
            <w:pPr>
              <w:pStyle w:val="2265"/>
              <w:kinsoku w:val="0"/>
              <w:overflowPunct w:val="0"/>
              <w:spacing w:line="200" w:lineRule="exact"/>
              <w:jc w:val="both"/>
              <w:rPr>
                <w:rFonts w:ascii="Times New Roman" w:hAnsi="Times New Roman"/>
                <w:bCs/>
                <w:sz w:val="18"/>
                <w:szCs w:val="18"/>
              </w:rPr>
            </w:pPr>
            <w:r>
              <w:rPr>
                <w:rFonts w:hint="eastAsia" w:ascii="Times New Roman" w:hAnsi="Times New Roman"/>
                <w:bCs/>
                <w:sz w:val="18"/>
                <w:szCs w:val="18"/>
              </w:rPr>
              <w:t>空间布局约束</w:t>
            </w:r>
          </w:p>
        </w:tc>
        <w:tc>
          <w:tcPr>
            <w:tcW w:w="2668" w:type="pct"/>
            <w:tcBorders>
              <w:bottom w:val="single" w:color="auto" w:sz="2" w:space="0"/>
            </w:tcBorders>
            <w:vAlign w:val="center"/>
          </w:tcPr>
          <w:p w14:paraId="2F112581">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A7.1-1</w:t>
            </w:r>
            <w:r>
              <w:rPr>
                <w:rFonts w:hint="eastAsia" w:ascii="Times New Roman" w:hAnsi="Times New Roman"/>
                <w:bCs/>
                <w:sz w:val="18"/>
                <w:szCs w:val="18"/>
                <w:lang w:eastAsia="zh-CN"/>
              </w:rPr>
              <w:t>】限制进行大规模高强度工业化城镇化开发，严格控制金属冶炼、石油化工、焦化等“高污染、高环境风险产品”工业项目，原则上不增加产能，现有“高污染、高环境风险产品”工业项目持续削减污染物</w:t>
            </w:r>
            <w:r>
              <w:rPr>
                <w:rFonts w:ascii="Times New Roman" w:hAnsi="Times New Roman"/>
                <w:bCs/>
                <w:sz w:val="18"/>
                <w:szCs w:val="18"/>
                <w:lang w:eastAsia="zh-CN"/>
              </w:rPr>
              <w:t xml:space="preserve"> </w:t>
            </w:r>
            <w:r>
              <w:rPr>
                <w:rFonts w:hint="eastAsia" w:ascii="Times New Roman" w:hAnsi="Times New Roman"/>
                <w:bCs/>
                <w:sz w:val="18"/>
                <w:szCs w:val="18"/>
                <w:lang w:eastAsia="zh-CN"/>
              </w:rPr>
              <w:t>排放总量并严格控制环境风险。原则上禁止建设涉及一类重金属、持久性有机污染物排放的工业项目。建立集镇居住商业区、耕地保护区与工业功能区等集聚区块之间的防护带严格执行畜禽养殖禁养区规定，根据区域用地和消纳水平，合理确定养殖规模。加强基本农田保护，严格限制非农项目占用耕地。</w:t>
            </w:r>
          </w:p>
        </w:tc>
        <w:tc>
          <w:tcPr>
            <w:tcW w:w="2099" w:type="pct"/>
            <w:vAlign w:val="center"/>
          </w:tcPr>
          <w:p w14:paraId="3FD88B52">
            <w:pPr>
              <w:autoSpaceDE w:val="0"/>
              <w:autoSpaceDN w:val="0"/>
              <w:adjustRightInd w:val="0"/>
              <w:rPr>
                <w:bCs/>
                <w:sz w:val="18"/>
                <w:szCs w:val="18"/>
              </w:rPr>
            </w:pPr>
            <w:r>
              <w:rPr>
                <w:rFonts w:hint="eastAsia"/>
                <w:bCs/>
                <w:sz w:val="18"/>
                <w:szCs w:val="18"/>
              </w:rPr>
              <w:t>本项目为公路工程，不属于“高污染、高环境风险产品”工业项目，</w:t>
            </w:r>
            <w:r>
              <w:rPr>
                <w:bCs/>
                <w:sz w:val="18"/>
                <w:szCs w:val="18"/>
              </w:rPr>
              <w:t xml:space="preserve"> </w:t>
            </w:r>
            <w:r>
              <w:rPr>
                <w:rFonts w:hint="eastAsia"/>
                <w:bCs/>
                <w:sz w:val="18"/>
                <w:szCs w:val="18"/>
              </w:rPr>
              <w:t>也不属于涉及一类重金属、持久性有机污染物排放的工业项目，施工期加强周边农田保护，本项目没有占用耕地，综上所述，</w:t>
            </w:r>
            <w:r>
              <w:rPr>
                <w:bCs/>
                <w:sz w:val="18"/>
                <w:szCs w:val="18"/>
              </w:rPr>
              <w:t xml:space="preserve"> </w:t>
            </w:r>
            <w:r>
              <w:rPr>
                <w:rFonts w:hint="eastAsia"/>
                <w:bCs/>
                <w:sz w:val="18"/>
                <w:szCs w:val="18"/>
              </w:rPr>
              <w:t>符合空间布局约束要求。</w:t>
            </w:r>
          </w:p>
        </w:tc>
      </w:tr>
      <w:tr w14:paraId="134D2E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33" w:type="pct"/>
            <w:tcBorders>
              <w:top w:val="single" w:color="auto" w:sz="2" w:space="0"/>
            </w:tcBorders>
            <w:vAlign w:val="center"/>
          </w:tcPr>
          <w:p w14:paraId="654D52F1">
            <w:pPr>
              <w:pStyle w:val="2265"/>
              <w:kinsoku w:val="0"/>
              <w:overflowPunct w:val="0"/>
              <w:spacing w:line="200" w:lineRule="exact"/>
              <w:jc w:val="both"/>
              <w:rPr>
                <w:rFonts w:ascii="Times New Roman" w:hAnsi="Times New Roman"/>
                <w:bCs/>
                <w:sz w:val="18"/>
                <w:szCs w:val="18"/>
              </w:rPr>
            </w:pPr>
            <w:r>
              <w:rPr>
                <w:rFonts w:hint="eastAsia" w:ascii="Times New Roman" w:hAnsi="Times New Roman"/>
                <w:bCs/>
                <w:sz w:val="18"/>
                <w:szCs w:val="18"/>
              </w:rPr>
              <w:t>污染物排放管控</w:t>
            </w:r>
          </w:p>
        </w:tc>
        <w:tc>
          <w:tcPr>
            <w:tcW w:w="2668" w:type="pct"/>
            <w:tcBorders>
              <w:top w:val="single" w:color="auto" w:sz="2" w:space="0"/>
            </w:tcBorders>
            <w:vAlign w:val="center"/>
          </w:tcPr>
          <w:p w14:paraId="6273C309">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A7.2-1】加强农业面源污染治理，严格控制化肥农药施加量，逐步削减农业面源污染物</w:t>
            </w:r>
            <w:r>
              <w:rPr>
                <w:rFonts w:hint="eastAsia" w:ascii="Times New Roman" w:hAnsi="Times New Roman"/>
                <w:bCs/>
                <w:sz w:val="18"/>
                <w:szCs w:val="18"/>
                <w:lang w:eastAsia="zh-CN"/>
              </w:rPr>
              <w:t>排放量。</w:t>
            </w:r>
          </w:p>
          <w:p w14:paraId="0E0E2828">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A7.2-2】到2025年，生态环境持续改善，主要污染物排放总量持续下降，单位地区生产</w:t>
            </w:r>
            <w:r>
              <w:rPr>
                <w:rFonts w:hint="eastAsia" w:ascii="Times New Roman" w:hAnsi="Times New Roman"/>
                <w:bCs/>
                <w:sz w:val="18"/>
                <w:szCs w:val="18"/>
                <w:lang w:eastAsia="zh-CN"/>
              </w:rPr>
              <w:t>总值二氧化碳排放完成国家下达指标。</w:t>
            </w:r>
          </w:p>
          <w:p w14:paraId="502751FC">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A7.2-3】重污染天气明显减少。城市黑臭水体基本消除。城镇生活污水处理率达到97%</w:t>
            </w:r>
            <w:r>
              <w:rPr>
                <w:rFonts w:hint="eastAsia" w:ascii="Times New Roman" w:hAnsi="Times New Roman"/>
                <w:bCs/>
                <w:sz w:val="18"/>
                <w:szCs w:val="18"/>
                <w:lang w:eastAsia="zh-CN"/>
              </w:rPr>
              <w:t>以上、城镇生活垃圾无害化处理率保持在</w:t>
            </w:r>
            <w:r>
              <w:rPr>
                <w:rFonts w:ascii="Times New Roman" w:hAnsi="Times New Roman"/>
                <w:bCs/>
                <w:sz w:val="18"/>
                <w:szCs w:val="18"/>
                <w:lang w:eastAsia="zh-CN"/>
              </w:rPr>
              <w:t>98%以上，农村生活污水治理率达到 30%左右，土</w:t>
            </w:r>
            <w:r>
              <w:rPr>
                <w:rFonts w:hint="eastAsia" w:ascii="Times New Roman" w:hAnsi="Times New Roman"/>
                <w:bCs/>
                <w:sz w:val="18"/>
                <w:szCs w:val="18"/>
                <w:lang w:eastAsia="zh-CN"/>
              </w:rPr>
              <w:t>壤污染风险得到有效管控，固体废物和新污染物治理能力明显增强，生态系统质量和稳定性持续提升，生态环境治理体系更加完善，生态文明建设实现新进步。</w:t>
            </w:r>
          </w:p>
          <w:p w14:paraId="0F810704">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A7.2-4】到2035年，生态环境根本好转，广泛形成绿色生产生活方式，美丽新疆建设目</w:t>
            </w:r>
            <w:r>
              <w:rPr>
                <w:rFonts w:hint="eastAsia" w:ascii="Times New Roman" w:hAnsi="Times New Roman"/>
                <w:bCs/>
                <w:sz w:val="18"/>
                <w:szCs w:val="18"/>
                <w:lang w:eastAsia="zh-CN"/>
              </w:rPr>
              <w:t>标基本实现。</w:t>
            </w:r>
          </w:p>
        </w:tc>
        <w:tc>
          <w:tcPr>
            <w:tcW w:w="2099" w:type="pct"/>
            <w:vAlign w:val="center"/>
          </w:tcPr>
          <w:p w14:paraId="63F6EF74">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本项目为公路工程，</w:t>
            </w:r>
            <w:r>
              <w:rPr>
                <w:rFonts w:ascii="Times New Roman" w:hAnsi="Times New Roman" w:cs="Times New Roman"/>
                <w:sz w:val="18"/>
                <w:szCs w:val="18"/>
                <w:lang w:eastAsia="zh-CN"/>
              </w:rPr>
              <w:t>主要为噪声影响。</w:t>
            </w:r>
          </w:p>
        </w:tc>
      </w:tr>
      <w:tr w14:paraId="4C792E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33" w:type="pct"/>
            <w:vAlign w:val="center"/>
          </w:tcPr>
          <w:p w14:paraId="12FEAE6A">
            <w:pPr>
              <w:pStyle w:val="2265"/>
              <w:kinsoku w:val="0"/>
              <w:overflowPunct w:val="0"/>
              <w:spacing w:line="200" w:lineRule="exact"/>
              <w:jc w:val="both"/>
              <w:rPr>
                <w:rFonts w:ascii="Times New Roman" w:hAnsi="Times New Roman"/>
                <w:bCs/>
                <w:sz w:val="18"/>
                <w:szCs w:val="18"/>
              </w:rPr>
            </w:pPr>
            <w:r>
              <w:rPr>
                <w:rFonts w:hint="eastAsia" w:ascii="Times New Roman" w:hAnsi="Times New Roman"/>
                <w:bCs/>
                <w:sz w:val="18"/>
                <w:szCs w:val="18"/>
              </w:rPr>
              <w:t>环境风险防控</w:t>
            </w:r>
          </w:p>
        </w:tc>
        <w:tc>
          <w:tcPr>
            <w:tcW w:w="2668" w:type="pct"/>
            <w:tcBorders>
              <w:bottom w:val="single" w:color="auto" w:sz="2" w:space="0"/>
            </w:tcBorders>
            <w:vAlign w:val="center"/>
          </w:tcPr>
          <w:p w14:paraId="4F75C2EB">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A7.3-1</w:t>
            </w:r>
            <w:r>
              <w:rPr>
                <w:rFonts w:hint="eastAsia" w:ascii="Times New Roman" w:hAnsi="Times New Roman"/>
                <w:bCs/>
                <w:sz w:val="18"/>
                <w:szCs w:val="18"/>
                <w:lang w:eastAsia="zh-CN"/>
              </w:rPr>
              <w:t>】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p w14:paraId="73C383DD">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A7.3-2】统筹农村河湖管控与生态治理保护，深入开展河湖监督检查，强化河长湖长履</w:t>
            </w:r>
            <w:r>
              <w:rPr>
                <w:rFonts w:hint="eastAsia" w:ascii="Times New Roman" w:hAnsi="Times New Roman"/>
                <w:bCs/>
                <w:sz w:val="18"/>
                <w:szCs w:val="18"/>
                <w:lang w:eastAsia="zh-CN"/>
              </w:rPr>
              <w:t>职尽责，严厉打击河道乱占、乱采、乱堆、乱建等违法违规行为。建立健全促进水质改善的长效运行维护机制。</w:t>
            </w:r>
          </w:p>
        </w:tc>
        <w:tc>
          <w:tcPr>
            <w:tcW w:w="2099" w:type="pct"/>
            <w:vAlign w:val="center"/>
          </w:tcPr>
          <w:p w14:paraId="2EA6B4F7">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本项目施工生产废水经沉淀后循环使用或用于洒水降尘，禁止向河道内倾倒垃圾和排放污染物，</w:t>
            </w:r>
            <w:r>
              <w:rPr>
                <w:rFonts w:ascii="Times New Roman" w:hAnsi="Times New Roman"/>
                <w:bCs/>
                <w:sz w:val="18"/>
                <w:szCs w:val="18"/>
                <w:lang w:eastAsia="zh-CN"/>
              </w:rPr>
              <w:t xml:space="preserve"> </w:t>
            </w:r>
            <w:r>
              <w:rPr>
                <w:rFonts w:hint="eastAsia" w:ascii="Times New Roman" w:hAnsi="Times New Roman"/>
                <w:bCs/>
                <w:sz w:val="18"/>
                <w:szCs w:val="18"/>
                <w:lang w:eastAsia="zh-CN"/>
              </w:rPr>
              <w:t>不得造成水体污染，同时做好水土保持措施，综上，本项目符合环境风险管控要求。</w:t>
            </w:r>
          </w:p>
        </w:tc>
      </w:tr>
      <w:tr w14:paraId="4819F3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 w:hRule="atLeast"/>
          <w:jc w:val="center"/>
        </w:trPr>
        <w:tc>
          <w:tcPr>
            <w:tcW w:w="233" w:type="pct"/>
            <w:vAlign w:val="center"/>
          </w:tcPr>
          <w:p w14:paraId="600C6FC8">
            <w:pPr>
              <w:pStyle w:val="2265"/>
              <w:kinsoku w:val="0"/>
              <w:overflowPunct w:val="0"/>
              <w:spacing w:line="200" w:lineRule="exact"/>
              <w:jc w:val="both"/>
              <w:rPr>
                <w:rFonts w:ascii="Times New Roman" w:hAnsi="Times New Roman"/>
                <w:bCs/>
                <w:sz w:val="18"/>
                <w:szCs w:val="18"/>
              </w:rPr>
            </w:pPr>
            <w:r>
              <w:rPr>
                <w:rFonts w:hint="eastAsia" w:ascii="Times New Roman" w:hAnsi="Times New Roman"/>
                <w:bCs/>
                <w:sz w:val="18"/>
                <w:szCs w:val="18"/>
              </w:rPr>
              <w:t>资源利用效</w:t>
            </w:r>
          </w:p>
          <w:p w14:paraId="58293D9F">
            <w:pPr>
              <w:pStyle w:val="2265"/>
              <w:kinsoku w:val="0"/>
              <w:overflowPunct w:val="0"/>
              <w:spacing w:line="200" w:lineRule="exact"/>
              <w:rPr>
                <w:rFonts w:ascii="Times New Roman" w:hAnsi="Times New Roman"/>
                <w:bCs/>
                <w:sz w:val="18"/>
                <w:szCs w:val="18"/>
              </w:rPr>
            </w:pPr>
            <w:r>
              <w:rPr>
                <w:rFonts w:hint="eastAsia" w:ascii="Times New Roman" w:hAnsi="Times New Roman"/>
                <w:bCs/>
                <w:sz w:val="18"/>
                <w:szCs w:val="18"/>
              </w:rPr>
              <w:t>率</w:t>
            </w:r>
          </w:p>
        </w:tc>
        <w:tc>
          <w:tcPr>
            <w:tcW w:w="2668" w:type="pct"/>
            <w:tcBorders>
              <w:top w:val="single" w:color="auto" w:sz="2" w:space="0"/>
            </w:tcBorders>
            <w:vAlign w:val="center"/>
          </w:tcPr>
          <w:p w14:paraId="412DE12A">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A7.4-1</w:t>
            </w:r>
            <w:r>
              <w:rPr>
                <w:rFonts w:hint="eastAsia" w:ascii="Times New Roman" w:hAnsi="Times New Roman"/>
                <w:bCs/>
                <w:sz w:val="18"/>
                <w:szCs w:val="18"/>
                <w:lang w:eastAsia="zh-CN"/>
              </w:rPr>
              <w:t>】实行水资源消耗总量和强度双控，推进农业节水，提高农业用水效率。优化能源结构，加强能源清洁利用。</w:t>
            </w:r>
          </w:p>
          <w:p w14:paraId="1823F163">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A7.4-2】实施节水行动，强化农业节水增效、工业节水减排、城镇节水降损。推进污水</w:t>
            </w:r>
            <w:r>
              <w:rPr>
                <w:rFonts w:hint="eastAsia" w:ascii="Times New Roman" w:hAnsi="Times New Roman"/>
                <w:bCs/>
                <w:sz w:val="18"/>
                <w:szCs w:val="18"/>
                <w:lang w:eastAsia="zh-CN"/>
              </w:rPr>
              <w:t>资源化利用，到</w:t>
            </w:r>
            <w:r>
              <w:rPr>
                <w:rFonts w:ascii="Times New Roman" w:hAnsi="Times New Roman"/>
                <w:bCs/>
                <w:sz w:val="18"/>
                <w:szCs w:val="18"/>
                <w:lang w:eastAsia="zh-CN"/>
              </w:rPr>
              <w:t xml:space="preserve"> 2025 年全区城镇生活污水再生利用率力争达到 60%。</w:t>
            </w:r>
          </w:p>
          <w:p w14:paraId="35F0105F">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A7.4-3】壮大清洁能源产业，加快非化石能源发展，实施绿电替代，优化用能结构，到2025 年非化石能源消费比重提高到 18%左右。推进大型清洁能源基地建设，积极开发分布</w:t>
            </w:r>
            <w:r>
              <w:rPr>
                <w:rFonts w:hint="eastAsia" w:ascii="Times New Roman" w:hAnsi="Times New Roman"/>
                <w:bCs/>
                <w:sz w:val="18"/>
                <w:szCs w:val="18"/>
                <w:lang w:eastAsia="zh-CN"/>
              </w:rPr>
              <w:t>式太阳能发电和分散式风电。积极推动储能产业进步，推进抽水蓄能电站建设，加快新型</w:t>
            </w:r>
          </w:p>
          <w:p w14:paraId="55B0E932">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储能技术和模式示范推广应用。持续完善</w:t>
            </w:r>
            <w:r>
              <w:rPr>
                <w:rFonts w:ascii="Times New Roman" w:hAnsi="Times New Roman"/>
                <w:bCs/>
                <w:sz w:val="18"/>
                <w:szCs w:val="18"/>
                <w:lang w:eastAsia="zh-CN"/>
              </w:rPr>
              <w:t xml:space="preserve"> 750 千伏骨干电网及农村电网建设，积极发展可</w:t>
            </w:r>
            <w:r>
              <w:rPr>
                <w:rFonts w:hint="eastAsia" w:ascii="Times New Roman" w:hAnsi="Times New Roman"/>
                <w:bCs/>
                <w:sz w:val="18"/>
                <w:szCs w:val="18"/>
                <w:lang w:eastAsia="zh-CN"/>
              </w:rPr>
              <w:t>再生能源微电网、局域网，提高可再生能源的推广和消纳能力。</w:t>
            </w:r>
          </w:p>
          <w:p w14:paraId="7EEF1773">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w:t>
            </w:r>
            <w:r>
              <w:rPr>
                <w:rFonts w:ascii="Times New Roman" w:hAnsi="Times New Roman"/>
                <w:bCs/>
                <w:sz w:val="18"/>
                <w:szCs w:val="18"/>
                <w:lang w:eastAsia="zh-CN"/>
              </w:rPr>
              <w:t>A7.4-4】严格保护优先保护类农用地，确保其面积不减少、土壤环境质量不下降。加强</w:t>
            </w:r>
            <w:r>
              <w:rPr>
                <w:rFonts w:hint="eastAsia" w:ascii="Times New Roman" w:hAnsi="Times New Roman"/>
                <w:bCs/>
                <w:sz w:val="18"/>
                <w:szCs w:val="18"/>
                <w:lang w:eastAsia="zh-CN"/>
              </w:rPr>
              <w:t>耕地污染源源头控制，推进耕地周边涉镉等重金属行业企业排查整治。鼓励采取种植结构调整等措施，确保受污染耕地全部实现安全利用。动态调整耕地土壤环境质量类别。</w:t>
            </w:r>
          </w:p>
        </w:tc>
        <w:tc>
          <w:tcPr>
            <w:tcW w:w="2099" w:type="pct"/>
            <w:vAlign w:val="center"/>
          </w:tcPr>
          <w:p w14:paraId="35639362">
            <w:pPr>
              <w:pStyle w:val="2265"/>
              <w:kinsoku w:val="0"/>
              <w:overflowPunct w:val="0"/>
              <w:spacing w:line="200" w:lineRule="exact"/>
              <w:rPr>
                <w:rFonts w:ascii="Times New Roman" w:hAnsi="Times New Roman"/>
                <w:bCs/>
                <w:sz w:val="18"/>
                <w:szCs w:val="18"/>
                <w:lang w:eastAsia="zh-CN"/>
              </w:rPr>
            </w:pPr>
            <w:r>
              <w:rPr>
                <w:rFonts w:hint="eastAsia" w:ascii="Times New Roman" w:hAnsi="Times New Roman"/>
                <w:bCs/>
                <w:sz w:val="18"/>
                <w:szCs w:val="18"/>
                <w:lang w:eastAsia="zh-CN"/>
              </w:rPr>
              <w:t>本项目施工生产废水经沉淀后循环使用或用于洒水降尘；本项目不占用耕地符合资源开发利用率要求。</w:t>
            </w:r>
          </w:p>
        </w:tc>
      </w:tr>
    </w:tbl>
    <w:p w14:paraId="26916C12">
      <w:pPr>
        <w:pStyle w:val="312"/>
        <w:spacing w:line="360" w:lineRule="auto"/>
        <w:ind w:firstLine="480" w:firstLineChars="200"/>
        <w:jc w:val="both"/>
        <w:rPr>
          <w:rFonts w:ascii="Times New Roman" w:cs="Times New Roman"/>
          <w:color w:val="00B050"/>
        </w:rPr>
      </w:pPr>
      <w:r>
        <w:rPr>
          <w:rFonts w:hint="eastAsia"/>
          <w:color w:val="FF0000"/>
        </w:rPr>
        <w:t>本项目在新疆维吾尔自治区“三线一单”中的位置关系见图</w:t>
      </w:r>
      <w:r>
        <w:rPr>
          <w:color w:val="FF0000"/>
        </w:rPr>
        <w:t>1.4-1</w:t>
      </w:r>
      <w:r>
        <w:rPr>
          <w:rFonts w:hint="eastAsia"/>
          <w:color w:val="FF0000"/>
        </w:rPr>
        <w:t>。</w:t>
      </w:r>
    </w:p>
    <w:p w14:paraId="33EBA6A9">
      <w:pPr>
        <w:pStyle w:val="5"/>
        <w:snapToGrid w:val="0"/>
        <w:spacing w:before="156" w:after="156" w:line="240" w:lineRule="auto"/>
        <w:rPr>
          <w:rFonts w:ascii="Times New Roman" w:hAnsi="Times New Roman" w:cs="Times New Roman"/>
          <w:b w:val="0"/>
          <w:i w:val="0"/>
        </w:rPr>
      </w:pPr>
      <w:r>
        <w:rPr>
          <w:rFonts w:ascii="Times New Roman" w:hAnsi="Times New Roman" w:cs="Times New Roman"/>
          <w:b w:val="0"/>
          <w:i w:val="0"/>
        </w:rPr>
        <w:t>1.4.2.2</w:t>
      </w:r>
      <w:r>
        <w:rPr>
          <w:b w:val="0"/>
          <w:i w:val="0"/>
          <w:kern w:val="10"/>
        </w:rPr>
        <w:t>与《</w:t>
      </w:r>
      <w:r>
        <w:rPr>
          <w:rFonts w:hint="eastAsia"/>
          <w:b w:val="0"/>
          <w:i w:val="0"/>
          <w:kern w:val="10"/>
        </w:rPr>
        <w:t>新疆生产建设兵团“三线一单”</w:t>
      </w:r>
      <w:r>
        <w:rPr>
          <w:b w:val="0"/>
          <w:i w:val="0"/>
          <w:kern w:val="10"/>
        </w:rPr>
        <w:t>生态环境分区管控方案》</w:t>
      </w:r>
      <w:r>
        <w:rPr>
          <w:rFonts w:hint="eastAsia" w:ascii="Times New Roman" w:hAnsi="Times New Roman" w:cs="Times New Roman"/>
          <w:b w:val="0"/>
          <w:i w:val="0"/>
        </w:rPr>
        <w:t>符合性分析</w:t>
      </w:r>
    </w:p>
    <w:p w14:paraId="72657D1B">
      <w:pPr>
        <w:spacing w:line="360" w:lineRule="auto"/>
        <w:ind w:firstLine="480"/>
        <w:jc w:val="both"/>
      </w:pPr>
      <w:r>
        <w:t>2021年4月14日</w:t>
      </w:r>
      <w:r>
        <w:rPr>
          <w:rFonts w:hint="eastAsia"/>
        </w:rPr>
        <w:t>新疆生产建设兵团</w:t>
      </w:r>
      <w:r>
        <w:t>以</w:t>
      </w:r>
      <w:r>
        <w:rPr>
          <w:rFonts w:hint="eastAsia"/>
        </w:rPr>
        <w:t>“新兵发〔</w:t>
      </w:r>
      <w:r>
        <w:t>2021</w:t>
      </w:r>
      <w:r>
        <w:rPr>
          <w:rFonts w:hint="eastAsia"/>
        </w:rPr>
        <w:t>〕</w:t>
      </w:r>
      <w:r>
        <w:t>16</w:t>
      </w:r>
      <w:r>
        <w:rPr>
          <w:rFonts w:hint="eastAsia"/>
        </w:rPr>
        <w:t>号”</w:t>
      </w:r>
      <w:r>
        <w:t>印发了《</w:t>
      </w:r>
      <w:r>
        <w:rPr>
          <w:rFonts w:hint="eastAsia"/>
        </w:rPr>
        <w:t>新疆生产建设兵团“三线一单”</w:t>
      </w:r>
      <w:r>
        <w:t>生态环境分区管控方案》，以落实“生态保护红线、环境质量底线、资源利用上线和环境准入清单”约束，更好地发挥环评制度从源头防范环境污染和生态破坏的作用，加快推进改善环境质量。2024年12月16日新疆生产建设兵团生态环境局发布《新疆生产建设兵团2023年度生态环境分区管控动态更新成果》</w:t>
      </w:r>
      <w:r>
        <w:rPr>
          <w:rFonts w:hint="eastAsia"/>
        </w:rPr>
        <w:t xml:space="preserve">。 </w:t>
      </w:r>
    </w:p>
    <w:p w14:paraId="3A7D5B3C">
      <w:pPr>
        <w:spacing w:line="360" w:lineRule="auto"/>
        <w:ind w:firstLine="480" w:firstLineChars="200"/>
        <w:jc w:val="both"/>
      </w:pPr>
      <w:r>
        <w:t>新疆生产建设兵团“三线一单”生态环境分区管控方案提出：全兵团共划定862个环境管控单元，分为优先保护单元、重点管控单元、一般管控单元三大类。</w:t>
      </w:r>
    </w:p>
    <w:p w14:paraId="7621F252">
      <w:pPr>
        <w:spacing w:line="360" w:lineRule="auto"/>
        <w:ind w:firstLine="480" w:firstLineChars="200"/>
        <w:jc w:val="both"/>
      </w:pPr>
      <w:r>
        <w:t>优先保护单元306个，占兵团总面积的38.89%，主要包括生态保护红线、一般生态空间，水环境优先保护区，环境空气一类功能区等区域。重点管控单元411个，占兵团总面积的21.86%，主要包括兵团城市和团部区域、兵团级及以上开发区和开发强度大、污染物排放强度高及存在环境风险的区域。一般管控单元145个，占兵团总面积的39.25%，主要指优先保护单元和重点管控单元之外的区域。该区域以经济社会可持续发展为导向，生态环境保护与适度开发相结合，开发建设应落实现行生态环境保护基本要求。</w:t>
      </w:r>
    </w:p>
    <w:p w14:paraId="0F5A38B7">
      <w:pPr>
        <w:spacing w:line="360" w:lineRule="auto"/>
        <w:ind w:firstLine="480" w:firstLineChars="200"/>
        <w:jc w:val="both"/>
      </w:pPr>
      <w:r>
        <w:rPr>
          <w:rFonts w:hint="eastAsia"/>
        </w:rPr>
        <w:t>（1）生态保护红线</w:t>
      </w:r>
    </w:p>
    <w:p w14:paraId="133E80F3">
      <w:pPr>
        <w:spacing w:line="360" w:lineRule="auto"/>
        <w:ind w:firstLine="480" w:firstLineChars="200"/>
        <w:jc w:val="both"/>
      </w:pPr>
      <w:r>
        <w:rPr>
          <w:rFonts w:hint="eastAsia"/>
        </w:rPr>
        <w:t>衔接兵团生态环保红线评估调整初步成果，兵团生态保护红线总面积13023.23km</w:t>
      </w:r>
      <w:r>
        <w:rPr>
          <w:rFonts w:cs="Calibri"/>
        </w:rPr>
        <w:t>²</w:t>
      </w:r>
      <w:r>
        <w:rPr>
          <w:rFonts w:hint="eastAsia"/>
        </w:rPr>
        <w:t>，占兵团国土面积比例为18.75%。其中，第三师生态保护红线总面积</w:t>
      </w:r>
      <w:r>
        <w:t>1703.4</w:t>
      </w:r>
      <w:r>
        <w:rPr>
          <w:rFonts w:hint="eastAsia"/>
        </w:rPr>
        <w:t>km</w:t>
      </w:r>
      <w:r>
        <w:rPr>
          <w:rFonts w:cs="Calibri"/>
        </w:rPr>
        <w:t>²</w:t>
      </w:r>
      <w:r>
        <w:rPr>
          <w:rFonts w:hint="eastAsia"/>
        </w:rPr>
        <w:t>，占第三师面积比例为</w:t>
      </w:r>
      <w:r>
        <w:t>21.72</w:t>
      </w:r>
      <w:r>
        <w:rPr>
          <w:rFonts w:hint="eastAsia"/>
        </w:rPr>
        <w:t>%。主要分布在4</w:t>
      </w:r>
      <w:r>
        <w:t>4</w:t>
      </w:r>
      <w:r>
        <w:rPr>
          <w:rFonts w:hint="eastAsia"/>
        </w:rPr>
        <w:t>团、4</w:t>
      </w:r>
      <w:r>
        <w:t>5</w:t>
      </w:r>
      <w:r>
        <w:rPr>
          <w:rFonts w:hint="eastAsia"/>
        </w:rPr>
        <w:t>团、4</w:t>
      </w:r>
      <w:r>
        <w:t>8</w:t>
      </w:r>
      <w:r>
        <w:rPr>
          <w:rFonts w:hint="eastAsia"/>
        </w:rPr>
        <w:t>团、4</w:t>
      </w:r>
      <w:r>
        <w:t>9</w:t>
      </w:r>
      <w:r>
        <w:rPr>
          <w:rFonts w:hint="eastAsia"/>
        </w:rPr>
        <w:t>团、</w:t>
      </w:r>
      <w:r>
        <w:t>50</w:t>
      </w:r>
      <w:r>
        <w:rPr>
          <w:rFonts w:hint="eastAsia"/>
        </w:rPr>
        <w:t>团、</w:t>
      </w:r>
      <w:r>
        <w:t>5</w:t>
      </w:r>
      <w:r>
        <w:rPr>
          <w:rFonts w:hint="eastAsia"/>
        </w:rPr>
        <w:t>3团、伽师总场、红旗农场、图木舒克市、托云牧场、叶城二牧场。第三师生态保护红线主要包括喀什噶尔河-叶尔羌河流域防风固沙生态保护红线区生态保护红线、天山南脉水源涵养生态保护红线区生态保护红线、帕米尔-昆仑山水土流失防控生态保护红线区生态保护红线。</w:t>
      </w:r>
    </w:p>
    <w:p w14:paraId="5FE5B428">
      <w:pPr>
        <w:spacing w:line="360" w:lineRule="auto"/>
        <w:ind w:firstLine="480" w:firstLineChars="200"/>
        <w:jc w:val="both"/>
      </w:pPr>
      <w:r>
        <w:rPr>
          <w:rFonts w:hint="eastAsia"/>
        </w:rPr>
        <w:t>根据现状调查，本次评价区范围内无自然保护区、风景旅游区、文物保护区及珍稀动物保护区等敏感因素，本项目不涉及生态保护红线。</w:t>
      </w:r>
    </w:p>
    <w:p w14:paraId="0A3D401F">
      <w:pPr>
        <w:spacing w:line="360" w:lineRule="auto"/>
        <w:ind w:firstLine="480" w:firstLineChars="200"/>
        <w:jc w:val="both"/>
      </w:pPr>
      <w:r>
        <w:rPr>
          <w:rFonts w:hint="eastAsia"/>
        </w:rPr>
        <w:t>（2）环境质量底线</w:t>
      </w:r>
    </w:p>
    <w:p w14:paraId="6AD193B7">
      <w:pPr>
        <w:spacing w:line="360" w:lineRule="auto"/>
        <w:ind w:firstLine="480" w:firstLineChars="200"/>
        <w:jc w:val="both"/>
      </w:pPr>
      <w:r>
        <w:rPr>
          <w:rFonts w:hint="eastAsia"/>
        </w:rPr>
        <w:t>本项目污染物采取措施后可达标排放，对区域环境质量影响很小，能够符合环境质量底线要求。本项目的建设不会突破环境质量底线。</w:t>
      </w:r>
    </w:p>
    <w:p w14:paraId="051CC500">
      <w:pPr>
        <w:spacing w:line="360" w:lineRule="auto"/>
        <w:ind w:firstLine="480" w:firstLineChars="200"/>
        <w:jc w:val="both"/>
      </w:pPr>
      <w:r>
        <w:rPr>
          <w:rFonts w:hint="eastAsia"/>
        </w:rPr>
        <w:t>（3）资源利用上线</w:t>
      </w:r>
    </w:p>
    <w:p w14:paraId="3BBE4BAB">
      <w:pPr>
        <w:spacing w:line="360" w:lineRule="auto"/>
        <w:ind w:firstLine="480" w:firstLineChars="200"/>
        <w:jc w:val="both"/>
      </w:pPr>
      <w:r>
        <w:rPr>
          <w:rFonts w:hint="eastAsia"/>
        </w:rPr>
        <w:t>本项目运营期基本不消耗资源，不会突破区域资源利用上线；本项目不占用基本农田，土地资源消耗符合要求；项目总体上不会突破资源利用上线。</w:t>
      </w:r>
    </w:p>
    <w:p w14:paraId="0E69C195">
      <w:pPr>
        <w:spacing w:line="360" w:lineRule="auto"/>
        <w:ind w:firstLine="480" w:firstLineChars="200"/>
        <w:jc w:val="both"/>
      </w:pPr>
      <w:r>
        <w:rPr>
          <w:rFonts w:hint="eastAsia"/>
        </w:rPr>
        <w:t>（4）生态环境准入清单</w:t>
      </w:r>
    </w:p>
    <w:p w14:paraId="0A34182C">
      <w:pPr>
        <w:spacing w:line="360" w:lineRule="auto"/>
        <w:ind w:firstLine="480" w:firstLineChars="200"/>
        <w:jc w:val="both"/>
      </w:pPr>
      <w:r>
        <w:rPr>
          <w:rFonts w:hint="eastAsia"/>
        </w:rPr>
        <w:t>《新疆维吾尔自治区重点行业环境准入条件〔</w:t>
      </w:r>
      <w:r>
        <w:t>2024</w:t>
      </w:r>
      <w:r>
        <w:rPr>
          <w:rFonts w:hint="eastAsia"/>
        </w:rPr>
        <w:t>〕不涉及公路行业。。</w:t>
      </w:r>
    </w:p>
    <w:p w14:paraId="0B8FF574">
      <w:pPr>
        <w:spacing w:line="360" w:lineRule="auto"/>
        <w:ind w:firstLine="480" w:firstLineChars="200"/>
        <w:rPr>
          <w:rFonts w:ascii="Times New Roman" w:hAnsi="Times New Roman" w:cs="Times New Roman"/>
        </w:rPr>
      </w:pPr>
      <w:r>
        <w:rPr>
          <w:rFonts w:hint="eastAsia" w:ascii="Times New Roman" w:hAnsi="Times New Roman" w:cs="Times New Roman"/>
          <w:color w:val="FF0000"/>
        </w:rPr>
        <w:t>本项目在</w:t>
      </w:r>
      <w:r>
        <w:rPr>
          <w:rFonts w:ascii="Times New Roman" w:hAnsi="Times New Roman" w:cs="Times New Roman"/>
          <w:color w:val="FF0000"/>
        </w:rPr>
        <w:t>新疆生产建设兵团</w:t>
      </w:r>
      <w:r>
        <w:rPr>
          <w:rFonts w:hint="eastAsia" w:ascii="Times New Roman" w:hAnsi="Times New Roman" w:cs="Times New Roman"/>
          <w:color w:val="FF0000"/>
        </w:rPr>
        <w:t>“三线一单”中的位置关系见图</w:t>
      </w:r>
      <w:r>
        <w:rPr>
          <w:rFonts w:ascii="Times New Roman" w:hAnsi="Times New Roman" w:cs="Times New Roman"/>
          <w:color w:val="FF0000"/>
        </w:rPr>
        <w:t>1.4-2</w:t>
      </w:r>
      <w:r>
        <w:rPr>
          <w:rFonts w:hint="eastAsia" w:ascii="Times New Roman" w:hAnsi="Times New Roman" w:cs="Times New Roman"/>
          <w:color w:val="FF0000"/>
        </w:rPr>
        <w:t>。</w:t>
      </w:r>
    </w:p>
    <w:p w14:paraId="2CC80FB9">
      <w:pPr>
        <w:pStyle w:val="5"/>
        <w:snapToGrid w:val="0"/>
        <w:spacing w:before="156" w:after="156" w:line="240" w:lineRule="auto"/>
        <w:jc w:val="both"/>
        <w:rPr>
          <w:rFonts w:ascii="Times New Roman" w:hAnsi="Times New Roman" w:cs="Times New Roman"/>
          <w:i w:val="0"/>
        </w:rPr>
      </w:pPr>
      <w:r>
        <w:rPr>
          <w:rFonts w:ascii="Times New Roman" w:hAnsi="Times New Roman" w:cs="Times New Roman"/>
          <w:i w:val="0"/>
        </w:rPr>
        <w:t>1.4.2.3</w:t>
      </w:r>
      <w:r>
        <w:rPr>
          <w:rFonts w:hint="eastAsia" w:ascii="Times New Roman" w:hAnsi="Times New Roman" w:cs="Times New Roman"/>
          <w:i w:val="0"/>
        </w:rPr>
        <w:t>与《喀什地区“三线一单”生态环境分区管控方案》符合性分析</w:t>
      </w:r>
    </w:p>
    <w:p w14:paraId="121008F9">
      <w:pPr>
        <w:spacing w:line="360" w:lineRule="auto"/>
        <w:ind w:firstLine="480"/>
        <w:jc w:val="both"/>
      </w:pPr>
      <w:r>
        <w:rPr>
          <w:rFonts w:hint="eastAsia"/>
        </w:rPr>
        <w:t>喀什地区共划定</w:t>
      </w:r>
      <w:r>
        <w:t xml:space="preserve">125 </w:t>
      </w:r>
      <w:r>
        <w:rPr>
          <w:rFonts w:hint="eastAsia"/>
        </w:rPr>
        <w:t>个环境管控单元，分为优先保护单元、重点管控单元和一般管控单元三类，实施分类管控。</w:t>
      </w:r>
    </w:p>
    <w:p w14:paraId="0C34E6FE">
      <w:pPr>
        <w:spacing w:line="360" w:lineRule="auto"/>
        <w:ind w:firstLine="480"/>
        <w:jc w:val="both"/>
      </w:pPr>
      <w:r>
        <w:rPr>
          <w:rFonts w:hint="eastAsia"/>
        </w:rPr>
        <w:t>优先保护单元</w:t>
      </w:r>
      <w:r>
        <w:t xml:space="preserve">38 </w:t>
      </w:r>
      <w:r>
        <w:rPr>
          <w:rFonts w:hint="eastAsia"/>
        </w:rPr>
        <w:t>个，主要包括生态保护红线区和生态保护红线区以外的一般生态空间管控区（饮用水水源保护区、水源涵养区、防风固沙区、土地沙化防控区、水土流失防控区等）。生态保护红线区执行生态保护红线管理办法的有关要求；一般生态空间管控区应以生态环境保护优先为原则，开发建设活动应严格执行相关法律法规要求，严守生态环境质量底线，确保生态环境功能不降低。</w:t>
      </w:r>
    </w:p>
    <w:p w14:paraId="648E4A08">
      <w:pPr>
        <w:spacing w:line="360" w:lineRule="auto"/>
        <w:ind w:firstLine="480"/>
        <w:jc w:val="both"/>
      </w:pPr>
      <w:r>
        <w:rPr>
          <w:rFonts w:hint="eastAsia"/>
        </w:rPr>
        <w:t>重点管控单元</w:t>
      </w:r>
      <w:r>
        <w:t xml:space="preserve">75 </w:t>
      </w:r>
      <w:r>
        <w:rPr>
          <w:rFonts w:hint="eastAsia"/>
        </w:rPr>
        <w:t>个，主要包括城镇建成区、工业园区和开发强度大、污染物排放强度高的工业聚集区等。该区域要着力优化空间布局，不断提升资源利用效率，有针对性地加强污染物排放管控和环境风险防控，解决生态环境质量不达标、生态环境风险高等问题。</w:t>
      </w:r>
    </w:p>
    <w:p w14:paraId="41BAF1BE">
      <w:pPr>
        <w:spacing w:line="360" w:lineRule="auto"/>
        <w:ind w:firstLine="480" w:firstLineChars="200"/>
        <w:jc w:val="both"/>
      </w:pPr>
      <w:r>
        <w:rPr>
          <w:rFonts w:hint="eastAsia"/>
        </w:rPr>
        <w:t>一般管控单元</w:t>
      </w:r>
      <w:r>
        <w:t xml:space="preserve">12 </w:t>
      </w:r>
      <w:r>
        <w:rPr>
          <w:rFonts w:hint="eastAsia"/>
        </w:rPr>
        <w:t>个，指除优先保护单元和重点管控单元之外的其他区域，主要以经济社会可持续发展为导向，生态环境保护与适度开发相结合，开发建设应落实生态环境保护基本要求，促进区域环境质量持续改善。</w:t>
      </w:r>
    </w:p>
    <w:p w14:paraId="3BD8E1E3">
      <w:pPr>
        <w:spacing w:line="360" w:lineRule="auto"/>
        <w:ind w:firstLine="480"/>
        <w:jc w:val="both"/>
      </w:pPr>
      <w:r>
        <w:t>本项目</w:t>
      </w:r>
      <w:r>
        <w:rPr>
          <w:rFonts w:hint="eastAsia"/>
        </w:rPr>
        <w:t>部分</w:t>
      </w:r>
      <w:r>
        <w:t>所在地位于喀什地区</w:t>
      </w:r>
      <w:r>
        <w:rPr>
          <w:rFonts w:hint="eastAsia"/>
        </w:rPr>
        <w:t>疏附县</w:t>
      </w:r>
      <w:r>
        <w:t>一般管控单元（环境管控单元编码ZH 65312130001）。</w:t>
      </w:r>
    </w:p>
    <w:p w14:paraId="0A5E8F78">
      <w:pPr>
        <w:rPr>
          <w:rFonts w:eastAsia="黑体"/>
        </w:rPr>
      </w:pPr>
      <w:r>
        <w:rPr>
          <w:rFonts w:hint="eastAsia" w:eastAsia="黑体"/>
          <w:bCs/>
          <w:spacing w:val="-26"/>
        </w:rPr>
        <w:t>表</w:t>
      </w:r>
      <w:r>
        <w:rPr>
          <w:rFonts w:eastAsia="黑体"/>
          <w:bCs/>
        </w:rPr>
        <w:t>1.4-3</w:t>
      </w:r>
      <w:r>
        <w:rPr>
          <w:rFonts w:eastAsia="黑体"/>
          <w:bCs/>
          <w:spacing w:val="52"/>
        </w:rPr>
        <w:t xml:space="preserve">         </w:t>
      </w:r>
      <w:r>
        <w:rPr>
          <w:rFonts w:hint="eastAsia" w:eastAsia="黑体"/>
          <w:bCs/>
        </w:rPr>
        <w:t>喀什地区管控类别要求</w:t>
      </w:r>
    </w:p>
    <w:tbl>
      <w:tblPr>
        <w:tblStyle w:val="87"/>
        <w:tblW w:w="8427"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628"/>
        <w:gridCol w:w="426"/>
        <w:gridCol w:w="567"/>
        <w:gridCol w:w="425"/>
        <w:gridCol w:w="4394"/>
        <w:gridCol w:w="1987"/>
      </w:tblGrid>
      <w:tr w14:paraId="36F342F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628" w:type="dxa"/>
            <w:vAlign w:val="center"/>
          </w:tcPr>
          <w:p w14:paraId="68B2A570">
            <w:pPr>
              <w:spacing w:line="200" w:lineRule="exact"/>
              <w:jc w:val="center"/>
              <w:rPr>
                <w:sz w:val="18"/>
                <w:szCs w:val="18"/>
              </w:rPr>
            </w:pPr>
            <w:r>
              <w:rPr>
                <w:rFonts w:hint="eastAsia"/>
                <w:sz w:val="18"/>
                <w:szCs w:val="18"/>
              </w:rPr>
              <w:t>环境管控单元编码</w:t>
            </w:r>
          </w:p>
        </w:tc>
        <w:tc>
          <w:tcPr>
            <w:tcW w:w="426" w:type="dxa"/>
            <w:vAlign w:val="center"/>
          </w:tcPr>
          <w:p w14:paraId="2881B865">
            <w:pPr>
              <w:spacing w:line="200" w:lineRule="exact"/>
              <w:jc w:val="center"/>
              <w:rPr>
                <w:sz w:val="18"/>
                <w:szCs w:val="18"/>
              </w:rPr>
            </w:pPr>
            <w:r>
              <w:rPr>
                <w:rFonts w:hint="eastAsia"/>
                <w:sz w:val="18"/>
                <w:szCs w:val="18"/>
              </w:rPr>
              <w:t>环境管控单元名称</w:t>
            </w:r>
          </w:p>
        </w:tc>
        <w:tc>
          <w:tcPr>
            <w:tcW w:w="567" w:type="dxa"/>
            <w:vAlign w:val="center"/>
          </w:tcPr>
          <w:p w14:paraId="138BB417">
            <w:pPr>
              <w:spacing w:line="200" w:lineRule="exact"/>
              <w:jc w:val="center"/>
              <w:rPr>
                <w:sz w:val="18"/>
                <w:szCs w:val="18"/>
              </w:rPr>
            </w:pPr>
          </w:p>
          <w:p w14:paraId="71888F13">
            <w:pPr>
              <w:spacing w:line="200" w:lineRule="exact"/>
              <w:jc w:val="center"/>
              <w:rPr>
                <w:sz w:val="18"/>
                <w:szCs w:val="18"/>
              </w:rPr>
            </w:pPr>
            <w:r>
              <w:rPr>
                <w:rFonts w:hint="eastAsia"/>
                <w:sz w:val="18"/>
                <w:szCs w:val="18"/>
              </w:rPr>
              <w:t>管控单元类别</w:t>
            </w:r>
          </w:p>
        </w:tc>
        <w:tc>
          <w:tcPr>
            <w:tcW w:w="4819" w:type="dxa"/>
            <w:gridSpan w:val="2"/>
            <w:vAlign w:val="center"/>
          </w:tcPr>
          <w:p w14:paraId="1EE5B900">
            <w:pPr>
              <w:spacing w:line="200" w:lineRule="exact"/>
              <w:jc w:val="center"/>
              <w:rPr>
                <w:sz w:val="18"/>
                <w:szCs w:val="18"/>
              </w:rPr>
            </w:pPr>
            <w:r>
              <w:rPr>
                <w:rFonts w:hint="eastAsia"/>
                <w:sz w:val="18"/>
                <w:szCs w:val="18"/>
              </w:rPr>
              <w:t>管控要求</w:t>
            </w:r>
          </w:p>
        </w:tc>
        <w:tc>
          <w:tcPr>
            <w:tcW w:w="1987" w:type="dxa"/>
            <w:vAlign w:val="center"/>
          </w:tcPr>
          <w:p w14:paraId="6DF6FA75">
            <w:pPr>
              <w:spacing w:line="200" w:lineRule="exact"/>
              <w:jc w:val="center"/>
              <w:rPr>
                <w:sz w:val="18"/>
                <w:szCs w:val="18"/>
              </w:rPr>
            </w:pPr>
            <w:r>
              <w:rPr>
                <w:rFonts w:hint="eastAsia"/>
                <w:sz w:val="18"/>
                <w:szCs w:val="18"/>
              </w:rPr>
              <w:t>项目情况</w:t>
            </w:r>
          </w:p>
        </w:tc>
      </w:tr>
      <w:tr w14:paraId="3E37C51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319" w:hRule="atLeast"/>
          <w:jc w:val="center"/>
        </w:trPr>
        <w:tc>
          <w:tcPr>
            <w:tcW w:w="628" w:type="dxa"/>
            <w:vMerge w:val="restart"/>
            <w:vAlign w:val="center"/>
          </w:tcPr>
          <w:p w14:paraId="2D5C6C93">
            <w:pPr>
              <w:spacing w:line="200" w:lineRule="exact"/>
              <w:jc w:val="center"/>
              <w:rPr>
                <w:sz w:val="18"/>
                <w:szCs w:val="18"/>
              </w:rPr>
            </w:pPr>
            <w:r>
              <w:rPr>
                <w:sz w:val="18"/>
                <w:szCs w:val="18"/>
              </w:rPr>
              <w:t>ZH</w:t>
            </w:r>
          </w:p>
          <w:p w14:paraId="4DBE0663">
            <w:pPr>
              <w:spacing w:line="200" w:lineRule="exact"/>
              <w:jc w:val="center"/>
              <w:rPr>
                <w:sz w:val="18"/>
                <w:szCs w:val="18"/>
              </w:rPr>
            </w:pPr>
            <w:r>
              <w:rPr>
                <w:sz w:val="18"/>
                <w:szCs w:val="18"/>
              </w:rPr>
              <w:t>65</w:t>
            </w:r>
          </w:p>
          <w:p w14:paraId="0E07ECA5">
            <w:pPr>
              <w:spacing w:line="200" w:lineRule="exact"/>
              <w:jc w:val="center"/>
              <w:rPr>
                <w:sz w:val="18"/>
                <w:szCs w:val="18"/>
              </w:rPr>
            </w:pPr>
            <w:r>
              <w:rPr>
                <w:sz w:val="18"/>
                <w:szCs w:val="18"/>
              </w:rPr>
              <w:t>31</w:t>
            </w:r>
          </w:p>
          <w:p w14:paraId="610E1FE6">
            <w:pPr>
              <w:spacing w:line="200" w:lineRule="exact"/>
              <w:jc w:val="center"/>
              <w:rPr>
                <w:sz w:val="18"/>
                <w:szCs w:val="18"/>
              </w:rPr>
            </w:pPr>
            <w:r>
              <w:rPr>
                <w:sz w:val="18"/>
                <w:szCs w:val="18"/>
              </w:rPr>
              <w:t>21</w:t>
            </w:r>
          </w:p>
          <w:p w14:paraId="75EAAFF7">
            <w:pPr>
              <w:spacing w:line="200" w:lineRule="exact"/>
              <w:jc w:val="center"/>
              <w:rPr>
                <w:sz w:val="18"/>
                <w:szCs w:val="18"/>
              </w:rPr>
            </w:pPr>
            <w:r>
              <w:rPr>
                <w:sz w:val="18"/>
                <w:szCs w:val="18"/>
              </w:rPr>
              <w:t>30</w:t>
            </w:r>
          </w:p>
          <w:p w14:paraId="476D88C5">
            <w:pPr>
              <w:spacing w:line="200" w:lineRule="exact"/>
              <w:jc w:val="center"/>
              <w:rPr>
                <w:sz w:val="18"/>
                <w:szCs w:val="18"/>
              </w:rPr>
            </w:pPr>
            <w:r>
              <w:rPr>
                <w:sz w:val="18"/>
                <w:szCs w:val="18"/>
              </w:rPr>
              <w:t>00</w:t>
            </w:r>
          </w:p>
          <w:p w14:paraId="5024D916">
            <w:pPr>
              <w:spacing w:line="200" w:lineRule="exact"/>
              <w:jc w:val="center"/>
              <w:rPr>
                <w:sz w:val="18"/>
                <w:szCs w:val="18"/>
              </w:rPr>
            </w:pPr>
            <w:r>
              <w:rPr>
                <w:sz w:val="18"/>
                <w:szCs w:val="18"/>
              </w:rPr>
              <w:t>1</w:t>
            </w:r>
          </w:p>
        </w:tc>
        <w:tc>
          <w:tcPr>
            <w:tcW w:w="426" w:type="dxa"/>
            <w:vMerge w:val="restart"/>
            <w:vAlign w:val="center"/>
          </w:tcPr>
          <w:p w14:paraId="30A913EF">
            <w:pPr>
              <w:spacing w:line="200" w:lineRule="exact"/>
              <w:jc w:val="center"/>
              <w:rPr>
                <w:sz w:val="18"/>
                <w:szCs w:val="18"/>
              </w:rPr>
            </w:pPr>
            <w:r>
              <w:rPr>
                <w:rFonts w:hint="eastAsia"/>
                <w:sz w:val="18"/>
                <w:szCs w:val="18"/>
              </w:rPr>
              <w:t>疏附县一般管控单元</w:t>
            </w:r>
          </w:p>
        </w:tc>
        <w:tc>
          <w:tcPr>
            <w:tcW w:w="567" w:type="dxa"/>
            <w:vMerge w:val="restart"/>
            <w:vAlign w:val="center"/>
          </w:tcPr>
          <w:p w14:paraId="616E83BA">
            <w:pPr>
              <w:spacing w:line="200" w:lineRule="exact"/>
              <w:jc w:val="center"/>
              <w:rPr>
                <w:sz w:val="18"/>
                <w:szCs w:val="18"/>
              </w:rPr>
            </w:pPr>
            <w:r>
              <w:rPr>
                <w:rFonts w:hint="eastAsia"/>
                <w:sz w:val="18"/>
                <w:szCs w:val="18"/>
              </w:rPr>
              <w:t>一般管控单元</w:t>
            </w:r>
          </w:p>
        </w:tc>
        <w:tc>
          <w:tcPr>
            <w:tcW w:w="425" w:type="dxa"/>
            <w:vAlign w:val="center"/>
          </w:tcPr>
          <w:p w14:paraId="67C0507B">
            <w:pPr>
              <w:spacing w:line="200" w:lineRule="exact"/>
              <w:jc w:val="center"/>
              <w:rPr>
                <w:sz w:val="18"/>
                <w:szCs w:val="18"/>
              </w:rPr>
            </w:pPr>
            <w:r>
              <w:rPr>
                <w:rFonts w:hint="eastAsia"/>
                <w:sz w:val="18"/>
                <w:szCs w:val="18"/>
              </w:rPr>
              <w:t>空间布局约束</w:t>
            </w:r>
          </w:p>
        </w:tc>
        <w:tc>
          <w:tcPr>
            <w:tcW w:w="4394" w:type="dxa"/>
            <w:tcBorders>
              <w:bottom w:val="single" w:color="000000" w:sz="2" w:space="0"/>
            </w:tcBorders>
            <w:vAlign w:val="center"/>
          </w:tcPr>
          <w:p w14:paraId="57DC7DB0">
            <w:pPr>
              <w:spacing w:line="200" w:lineRule="exact"/>
              <w:rPr>
                <w:sz w:val="18"/>
                <w:szCs w:val="18"/>
              </w:rPr>
            </w:pPr>
            <w:r>
              <w:rPr>
                <w:rFonts w:hint="eastAsia"/>
                <w:sz w:val="18"/>
                <w:szCs w:val="18"/>
              </w:rPr>
              <w:t>执行喀什地区总体管控要求中“</w:t>
            </w:r>
            <w:r>
              <w:rPr>
                <w:sz w:val="18"/>
                <w:szCs w:val="18"/>
              </w:rPr>
              <w:t>A1.1-5、A1.1-6、A1.1-8、A1.3-1、A1.3-3、A1.3-6、A1.3-7、A1.4-1、A1.4-2、A1.4-3、A1.4-4、A1.4-6、A1.4-7”的相关要求。</w:t>
            </w:r>
          </w:p>
          <w:p w14:paraId="40CE9E35">
            <w:pPr>
              <w:spacing w:line="200" w:lineRule="exact"/>
              <w:rPr>
                <w:sz w:val="18"/>
                <w:szCs w:val="18"/>
              </w:rPr>
            </w:pPr>
            <w:r>
              <w:rPr>
                <w:sz w:val="18"/>
                <w:szCs w:val="18"/>
              </w:rPr>
              <w:t>2.执行喀什地区一般环境管控单元分类管控要求中“A7.1”的相关要求。</w:t>
            </w:r>
          </w:p>
          <w:p w14:paraId="519825DA">
            <w:pPr>
              <w:spacing w:line="200" w:lineRule="exact"/>
              <w:rPr>
                <w:sz w:val="18"/>
                <w:szCs w:val="18"/>
              </w:rPr>
            </w:pPr>
            <w:r>
              <w:rPr>
                <w:rFonts w:hint="eastAsia"/>
                <w:sz w:val="18"/>
                <w:szCs w:val="18"/>
              </w:rPr>
              <w:t>项目准入必须符合《新疆喀什噶尔河流域盖孜河河道岸线保护与利用规划》《新疆喀什噶尔河流域克孜河河道岸线保护与利用规划》相关要求，禁止在河道岸线保护范围建设可能影响防洪工程安全和重要水利工程安全与正常运行的项目。允许开展防洪工程建设，以及生态治理工程建设。因防洪安全、河势稳定、供水安全及经济社会发展需要必须建设的堤防护岸、河道治理、取水、公共管理、生态环境治理、国家重要基础设施等工程，须经科学论证，并严格按照法律法规要求履行相关审批程序。不得在保护范围内倾倒垃圾和排放污染物，不得造成水体污染。</w:t>
            </w:r>
          </w:p>
        </w:tc>
        <w:tc>
          <w:tcPr>
            <w:tcW w:w="1987" w:type="dxa"/>
            <w:vAlign w:val="center"/>
          </w:tcPr>
          <w:p w14:paraId="54F10ACA">
            <w:pPr>
              <w:spacing w:line="200" w:lineRule="exact"/>
              <w:rPr>
                <w:sz w:val="18"/>
                <w:szCs w:val="18"/>
              </w:rPr>
            </w:pPr>
            <w:r>
              <w:rPr>
                <w:rFonts w:hint="eastAsia"/>
                <w:sz w:val="18"/>
                <w:szCs w:val="18"/>
              </w:rPr>
              <w:t>本项目为公路工程，属于《产业结构调整指导目录》中鼓励类项目；项目的实施符合国家、自治区、兵团相关规划及要求；本项目施工期生产废水经处理后综合利用，不外排，施工期要求施工人员不得向河道内倾倒垃圾和排放污染物，不得造成水体污染；综上，本项目符合空间布局约束要求。</w:t>
            </w:r>
          </w:p>
        </w:tc>
      </w:tr>
      <w:tr w14:paraId="1997439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1681" w:hRule="atLeast"/>
          <w:jc w:val="center"/>
        </w:trPr>
        <w:tc>
          <w:tcPr>
            <w:tcW w:w="628" w:type="dxa"/>
            <w:vMerge w:val="continue"/>
            <w:vAlign w:val="center"/>
          </w:tcPr>
          <w:p w14:paraId="7C91F2A7">
            <w:pPr>
              <w:spacing w:line="200" w:lineRule="exact"/>
              <w:jc w:val="center"/>
              <w:rPr>
                <w:sz w:val="18"/>
                <w:szCs w:val="18"/>
              </w:rPr>
            </w:pPr>
          </w:p>
        </w:tc>
        <w:tc>
          <w:tcPr>
            <w:tcW w:w="426" w:type="dxa"/>
            <w:vMerge w:val="continue"/>
            <w:vAlign w:val="center"/>
          </w:tcPr>
          <w:p w14:paraId="0616D9F2">
            <w:pPr>
              <w:spacing w:line="200" w:lineRule="exact"/>
              <w:jc w:val="center"/>
              <w:rPr>
                <w:sz w:val="18"/>
                <w:szCs w:val="18"/>
              </w:rPr>
            </w:pPr>
          </w:p>
        </w:tc>
        <w:tc>
          <w:tcPr>
            <w:tcW w:w="567" w:type="dxa"/>
            <w:vMerge w:val="continue"/>
            <w:vAlign w:val="center"/>
          </w:tcPr>
          <w:p w14:paraId="35B3D455">
            <w:pPr>
              <w:spacing w:line="200" w:lineRule="exact"/>
              <w:jc w:val="center"/>
              <w:rPr>
                <w:sz w:val="18"/>
                <w:szCs w:val="18"/>
              </w:rPr>
            </w:pPr>
          </w:p>
        </w:tc>
        <w:tc>
          <w:tcPr>
            <w:tcW w:w="425" w:type="dxa"/>
            <w:vAlign w:val="center"/>
          </w:tcPr>
          <w:p w14:paraId="4EE59C4A">
            <w:pPr>
              <w:spacing w:line="200" w:lineRule="exact"/>
              <w:jc w:val="center"/>
              <w:rPr>
                <w:sz w:val="18"/>
                <w:szCs w:val="18"/>
              </w:rPr>
            </w:pPr>
          </w:p>
          <w:p w14:paraId="59A9B3CC">
            <w:pPr>
              <w:spacing w:line="200" w:lineRule="exact"/>
              <w:jc w:val="center"/>
              <w:rPr>
                <w:sz w:val="18"/>
                <w:szCs w:val="18"/>
              </w:rPr>
            </w:pPr>
          </w:p>
          <w:p w14:paraId="5E638F0C">
            <w:pPr>
              <w:spacing w:line="200" w:lineRule="exact"/>
              <w:jc w:val="center"/>
              <w:rPr>
                <w:sz w:val="18"/>
                <w:szCs w:val="18"/>
              </w:rPr>
            </w:pPr>
          </w:p>
          <w:p w14:paraId="2C739574">
            <w:pPr>
              <w:spacing w:line="200" w:lineRule="exact"/>
              <w:jc w:val="center"/>
              <w:rPr>
                <w:sz w:val="18"/>
                <w:szCs w:val="18"/>
              </w:rPr>
            </w:pPr>
          </w:p>
          <w:p w14:paraId="693951AA">
            <w:pPr>
              <w:spacing w:line="200" w:lineRule="exact"/>
              <w:jc w:val="center"/>
              <w:rPr>
                <w:sz w:val="18"/>
                <w:szCs w:val="18"/>
              </w:rPr>
            </w:pPr>
            <w:r>
              <w:rPr>
                <w:rFonts w:hint="eastAsia"/>
                <w:sz w:val="18"/>
                <w:szCs w:val="18"/>
              </w:rPr>
              <w:t>污染物排放管控</w:t>
            </w:r>
          </w:p>
        </w:tc>
        <w:tc>
          <w:tcPr>
            <w:tcW w:w="4394" w:type="dxa"/>
            <w:tcBorders>
              <w:top w:val="single" w:color="000000" w:sz="2" w:space="0"/>
              <w:bottom w:val="single" w:color="000000" w:sz="2" w:space="0"/>
            </w:tcBorders>
            <w:vAlign w:val="center"/>
          </w:tcPr>
          <w:p w14:paraId="56FECE62">
            <w:pPr>
              <w:spacing w:line="200" w:lineRule="exact"/>
              <w:rPr>
                <w:sz w:val="18"/>
                <w:szCs w:val="18"/>
              </w:rPr>
            </w:pPr>
            <w:r>
              <w:rPr>
                <w:sz w:val="18"/>
                <w:szCs w:val="18"/>
              </w:rPr>
              <w:t>1.执行喀什地区总体管控要求中“A2.3-3、A2.3-4、A2.3-5、A2.3-6、A2.3-7、A2.3-8”的相关要求。</w:t>
            </w:r>
          </w:p>
          <w:p w14:paraId="08406776">
            <w:pPr>
              <w:spacing w:line="200" w:lineRule="exact"/>
              <w:rPr>
                <w:sz w:val="18"/>
                <w:szCs w:val="18"/>
              </w:rPr>
            </w:pPr>
            <w:r>
              <w:rPr>
                <w:sz w:val="18"/>
                <w:szCs w:val="18"/>
              </w:rPr>
              <w:t>2.执行喀什地区一般环境管控单元分类管控要求中“A7.2”的相关要求。</w:t>
            </w:r>
          </w:p>
          <w:p w14:paraId="29CDD5E3">
            <w:pPr>
              <w:spacing w:line="200" w:lineRule="exact"/>
              <w:rPr>
                <w:sz w:val="18"/>
                <w:szCs w:val="18"/>
              </w:rPr>
            </w:pPr>
            <w:r>
              <w:rPr>
                <w:sz w:val="18"/>
                <w:szCs w:val="18"/>
              </w:rPr>
              <w:t>3.严格控制林地、草地、园地农药使用量，禁止使用高毒、高残留农药。</w:t>
            </w:r>
          </w:p>
          <w:p w14:paraId="58932BE5">
            <w:pPr>
              <w:spacing w:line="200" w:lineRule="exact"/>
              <w:rPr>
                <w:sz w:val="18"/>
                <w:szCs w:val="18"/>
              </w:rPr>
            </w:pPr>
            <w:r>
              <w:rPr>
                <w:sz w:val="18"/>
                <w:szCs w:val="18"/>
              </w:rPr>
              <w:t>4.加强防护林、生态林建设，提高绿化覆盖率。</w:t>
            </w:r>
          </w:p>
          <w:p w14:paraId="2107E681">
            <w:pPr>
              <w:spacing w:line="200" w:lineRule="exact"/>
              <w:rPr>
                <w:sz w:val="18"/>
                <w:szCs w:val="18"/>
              </w:rPr>
            </w:pPr>
            <w:r>
              <w:rPr>
                <w:rFonts w:hint="eastAsia"/>
                <w:sz w:val="18"/>
                <w:szCs w:val="18"/>
              </w:rPr>
              <w:t>加强秸秆禁烧管控，推进秸秆综合利用，鼓励秸秆资源化、饲料化、肥料化利用。</w:t>
            </w:r>
          </w:p>
        </w:tc>
        <w:tc>
          <w:tcPr>
            <w:tcW w:w="1987" w:type="dxa"/>
            <w:vAlign w:val="center"/>
          </w:tcPr>
          <w:p w14:paraId="4722B56F">
            <w:pPr>
              <w:spacing w:line="200" w:lineRule="exact"/>
              <w:jc w:val="center"/>
              <w:rPr>
                <w:sz w:val="18"/>
                <w:szCs w:val="18"/>
              </w:rPr>
            </w:pPr>
            <w:r>
              <w:rPr>
                <w:rFonts w:hint="eastAsia"/>
                <w:sz w:val="18"/>
                <w:szCs w:val="18"/>
              </w:rPr>
              <w:t>本项目施工期施工扬尘洒水降；车辆运输粉尘采取车辆限速、路面洒水及路面整洁、严格限制运输车辆超载、建筑材料运输篷盖取篷盖、密闭等措施减少车辆运输粉尘的产生；综上，本项目符合污染物排放管控要求。</w:t>
            </w:r>
          </w:p>
        </w:tc>
      </w:tr>
      <w:tr w14:paraId="660DAA7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628" w:type="dxa"/>
            <w:vMerge w:val="continue"/>
            <w:vAlign w:val="center"/>
          </w:tcPr>
          <w:p w14:paraId="5B097ACE">
            <w:pPr>
              <w:spacing w:line="200" w:lineRule="exact"/>
              <w:jc w:val="center"/>
              <w:rPr>
                <w:sz w:val="18"/>
                <w:szCs w:val="18"/>
              </w:rPr>
            </w:pPr>
          </w:p>
        </w:tc>
        <w:tc>
          <w:tcPr>
            <w:tcW w:w="426" w:type="dxa"/>
            <w:vMerge w:val="continue"/>
            <w:vAlign w:val="center"/>
          </w:tcPr>
          <w:p w14:paraId="15B92773">
            <w:pPr>
              <w:spacing w:line="200" w:lineRule="exact"/>
              <w:jc w:val="center"/>
              <w:rPr>
                <w:sz w:val="18"/>
                <w:szCs w:val="18"/>
              </w:rPr>
            </w:pPr>
          </w:p>
        </w:tc>
        <w:tc>
          <w:tcPr>
            <w:tcW w:w="567" w:type="dxa"/>
            <w:vMerge w:val="continue"/>
            <w:vAlign w:val="center"/>
          </w:tcPr>
          <w:p w14:paraId="7B2B2EDB">
            <w:pPr>
              <w:spacing w:line="200" w:lineRule="exact"/>
              <w:jc w:val="center"/>
              <w:rPr>
                <w:sz w:val="18"/>
                <w:szCs w:val="18"/>
              </w:rPr>
            </w:pPr>
          </w:p>
        </w:tc>
        <w:tc>
          <w:tcPr>
            <w:tcW w:w="425" w:type="dxa"/>
            <w:vAlign w:val="center"/>
          </w:tcPr>
          <w:p w14:paraId="42B17DB8">
            <w:pPr>
              <w:spacing w:line="200" w:lineRule="exact"/>
              <w:jc w:val="center"/>
              <w:rPr>
                <w:sz w:val="18"/>
                <w:szCs w:val="18"/>
              </w:rPr>
            </w:pPr>
            <w:r>
              <w:rPr>
                <w:rFonts w:hint="eastAsia"/>
                <w:sz w:val="18"/>
                <w:szCs w:val="18"/>
              </w:rPr>
              <w:t>环境风险防控</w:t>
            </w:r>
          </w:p>
        </w:tc>
        <w:tc>
          <w:tcPr>
            <w:tcW w:w="4394" w:type="dxa"/>
            <w:tcBorders>
              <w:top w:val="single" w:color="000000" w:sz="2" w:space="0"/>
              <w:bottom w:val="single" w:color="000000" w:sz="2" w:space="0"/>
            </w:tcBorders>
            <w:vAlign w:val="center"/>
          </w:tcPr>
          <w:p w14:paraId="2E30E6EB">
            <w:pPr>
              <w:spacing w:line="200" w:lineRule="exact"/>
              <w:rPr>
                <w:sz w:val="18"/>
                <w:szCs w:val="18"/>
              </w:rPr>
            </w:pPr>
            <w:r>
              <w:rPr>
                <w:sz w:val="18"/>
                <w:szCs w:val="18"/>
              </w:rPr>
              <w:t>1.执行喀什地区总体管控要求中“A3.1”的相关要求。</w:t>
            </w:r>
          </w:p>
          <w:p w14:paraId="25178E81">
            <w:pPr>
              <w:spacing w:line="200" w:lineRule="exact"/>
              <w:rPr>
                <w:sz w:val="18"/>
                <w:szCs w:val="18"/>
              </w:rPr>
            </w:pPr>
            <w:r>
              <w:rPr>
                <w:sz w:val="18"/>
                <w:szCs w:val="18"/>
              </w:rPr>
              <w:t>2.执行喀什地区一般环境管控单元分类管控要求中“A7.3”的相关要求。</w:t>
            </w:r>
          </w:p>
          <w:p w14:paraId="13C2A922">
            <w:pPr>
              <w:spacing w:line="200" w:lineRule="exact"/>
              <w:rPr>
                <w:sz w:val="18"/>
                <w:szCs w:val="18"/>
              </w:rPr>
            </w:pPr>
            <w:r>
              <w:rPr>
                <w:rFonts w:hint="eastAsia"/>
                <w:sz w:val="18"/>
                <w:szCs w:val="18"/>
              </w:rPr>
              <w:t>加强水质监测与管理。</w:t>
            </w:r>
          </w:p>
        </w:tc>
        <w:tc>
          <w:tcPr>
            <w:tcW w:w="1987" w:type="dxa"/>
            <w:vAlign w:val="center"/>
          </w:tcPr>
          <w:p w14:paraId="2DDF2EA8">
            <w:pPr>
              <w:spacing w:line="200" w:lineRule="exact"/>
              <w:jc w:val="center"/>
              <w:rPr>
                <w:sz w:val="18"/>
                <w:szCs w:val="18"/>
              </w:rPr>
            </w:pPr>
            <w:r>
              <w:rPr>
                <w:rFonts w:hint="eastAsia"/>
                <w:sz w:val="18"/>
                <w:szCs w:val="18"/>
              </w:rPr>
              <w:t>本项目施工期禁止向河道内倾倒垃圾和排放污染物，不得造成水体污染，运营期做好对盖孜河的水质监测和管理，综上，本项目符合环境风险管控要求。</w:t>
            </w:r>
          </w:p>
        </w:tc>
      </w:tr>
      <w:tr w14:paraId="24A0C7B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0" w:hRule="atLeast"/>
          <w:jc w:val="center"/>
        </w:trPr>
        <w:tc>
          <w:tcPr>
            <w:tcW w:w="628" w:type="dxa"/>
            <w:vMerge w:val="continue"/>
            <w:vAlign w:val="center"/>
          </w:tcPr>
          <w:p w14:paraId="35506880">
            <w:pPr>
              <w:spacing w:line="200" w:lineRule="exact"/>
              <w:jc w:val="center"/>
              <w:rPr>
                <w:sz w:val="18"/>
                <w:szCs w:val="18"/>
              </w:rPr>
            </w:pPr>
          </w:p>
        </w:tc>
        <w:tc>
          <w:tcPr>
            <w:tcW w:w="426" w:type="dxa"/>
            <w:vMerge w:val="continue"/>
            <w:vAlign w:val="center"/>
          </w:tcPr>
          <w:p w14:paraId="68C5B9DC">
            <w:pPr>
              <w:spacing w:line="200" w:lineRule="exact"/>
              <w:jc w:val="center"/>
              <w:rPr>
                <w:sz w:val="18"/>
                <w:szCs w:val="18"/>
              </w:rPr>
            </w:pPr>
          </w:p>
        </w:tc>
        <w:tc>
          <w:tcPr>
            <w:tcW w:w="567" w:type="dxa"/>
            <w:vMerge w:val="continue"/>
            <w:vAlign w:val="center"/>
          </w:tcPr>
          <w:p w14:paraId="04781214">
            <w:pPr>
              <w:spacing w:line="200" w:lineRule="exact"/>
              <w:jc w:val="center"/>
              <w:rPr>
                <w:sz w:val="18"/>
                <w:szCs w:val="18"/>
              </w:rPr>
            </w:pPr>
          </w:p>
        </w:tc>
        <w:tc>
          <w:tcPr>
            <w:tcW w:w="425" w:type="dxa"/>
            <w:vAlign w:val="center"/>
          </w:tcPr>
          <w:p w14:paraId="0D5A44FD">
            <w:pPr>
              <w:spacing w:line="200" w:lineRule="exact"/>
              <w:jc w:val="center"/>
              <w:rPr>
                <w:sz w:val="18"/>
                <w:szCs w:val="18"/>
              </w:rPr>
            </w:pPr>
            <w:r>
              <w:rPr>
                <w:sz w:val="18"/>
                <w:szCs w:val="18"/>
              </w:rPr>
              <w:t>资源 开发 利用 效率</w:t>
            </w:r>
          </w:p>
        </w:tc>
        <w:tc>
          <w:tcPr>
            <w:tcW w:w="4394" w:type="dxa"/>
            <w:tcBorders>
              <w:top w:val="single" w:color="000000" w:sz="2" w:space="0"/>
              <w:bottom w:val="single" w:color="000000" w:sz="2" w:space="0"/>
            </w:tcBorders>
            <w:vAlign w:val="center"/>
          </w:tcPr>
          <w:p w14:paraId="5B154878">
            <w:pPr>
              <w:spacing w:line="200" w:lineRule="exact"/>
              <w:rPr>
                <w:sz w:val="18"/>
                <w:szCs w:val="18"/>
              </w:rPr>
            </w:pPr>
            <w:r>
              <w:rPr>
                <w:rFonts w:hint="eastAsia"/>
                <w:sz w:val="18"/>
                <w:szCs w:val="18"/>
              </w:rPr>
              <w:t>执行喀什地区总体管控要求中“</w:t>
            </w:r>
            <w:r>
              <w:rPr>
                <w:sz w:val="18"/>
                <w:szCs w:val="18"/>
              </w:rPr>
              <w:t>A4.1、A4.2”的相关要求</w:t>
            </w:r>
            <w:r>
              <w:rPr>
                <w:rFonts w:hint="eastAsia"/>
                <w:sz w:val="18"/>
                <w:szCs w:val="18"/>
              </w:rPr>
              <w:t>；执行喀什地区一般环境管控单元分类管控要求中“</w:t>
            </w:r>
            <w:r>
              <w:rPr>
                <w:sz w:val="18"/>
                <w:szCs w:val="18"/>
              </w:rPr>
              <w:t>A7.4”的相关要求。</w:t>
            </w:r>
          </w:p>
          <w:p w14:paraId="5A8A0406">
            <w:pPr>
              <w:spacing w:line="200" w:lineRule="exact"/>
              <w:rPr>
                <w:sz w:val="18"/>
                <w:szCs w:val="18"/>
              </w:rPr>
            </w:pPr>
            <w:r>
              <w:rPr>
                <w:sz w:val="18"/>
                <w:szCs w:val="18"/>
              </w:rPr>
              <w:t xml:space="preserve">A4.1-2 </w:t>
            </w:r>
            <w:r>
              <w:rPr>
                <w:rFonts w:hint="eastAsia"/>
                <w:sz w:val="18"/>
                <w:szCs w:val="18"/>
              </w:rPr>
              <w:t>实施最严格水资源管理，健全取用水总量控制指标体系制定并落实地区用水总量控制方案，合理分配农业、工业、生态和生活用水量，严格实施取水许可制度。加强工业水循环利用，促进再生水利用，加强城镇节水，大力发展农业节水。</w:t>
            </w:r>
          </w:p>
          <w:p w14:paraId="7BC9519D">
            <w:pPr>
              <w:spacing w:line="200" w:lineRule="exact"/>
              <w:rPr>
                <w:sz w:val="18"/>
                <w:szCs w:val="18"/>
              </w:rPr>
            </w:pPr>
            <w:r>
              <w:rPr>
                <w:sz w:val="18"/>
                <w:szCs w:val="18"/>
              </w:rPr>
              <w:t xml:space="preserve">A4.2-1 </w:t>
            </w:r>
            <w:r>
              <w:rPr>
                <w:rFonts w:hint="eastAsia"/>
                <w:sz w:val="18"/>
                <w:szCs w:val="18"/>
              </w:rPr>
              <w:t>耕地保护和集约节约利用，切实加强耕地保护工作，实现地区耕地总量不减少，</w:t>
            </w:r>
            <w:r>
              <w:rPr>
                <w:sz w:val="18"/>
                <w:szCs w:val="18"/>
              </w:rPr>
              <w:t xml:space="preserve"> </w:t>
            </w:r>
            <w:r>
              <w:rPr>
                <w:rFonts w:hint="eastAsia"/>
                <w:sz w:val="18"/>
                <w:szCs w:val="18"/>
              </w:rPr>
              <w:t>质量有提高。执行喀什地区一般环境管控单元分类管控要求中“</w:t>
            </w:r>
            <w:r>
              <w:rPr>
                <w:sz w:val="18"/>
                <w:szCs w:val="18"/>
              </w:rPr>
              <w:t>A7.4</w:t>
            </w:r>
            <w:r>
              <w:rPr>
                <w:rFonts w:hint="eastAsia"/>
                <w:sz w:val="18"/>
                <w:szCs w:val="18"/>
              </w:rPr>
              <w:t>”的相关要求。调整优化能源结构，构建清洁低碳高效能源体系，提高能源利用效率，加快清洁能源替代利用。</w:t>
            </w:r>
          </w:p>
          <w:p w14:paraId="754CE267">
            <w:pPr>
              <w:spacing w:line="200" w:lineRule="exact"/>
              <w:rPr>
                <w:sz w:val="18"/>
                <w:szCs w:val="18"/>
              </w:rPr>
            </w:pPr>
            <w:r>
              <w:rPr>
                <w:sz w:val="18"/>
                <w:szCs w:val="18"/>
              </w:rPr>
              <w:t>A7.4-1 调整优化能源结构，构建清洁低碳高效能源体系，</w:t>
            </w:r>
            <w:r>
              <w:rPr>
                <w:rFonts w:hint="eastAsia"/>
                <w:sz w:val="18"/>
                <w:szCs w:val="18"/>
              </w:rPr>
              <w:t>提高能源利用效率，加快清洁能源替代利用。</w:t>
            </w:r>
          </w:p>
        </w:tc>
        <w:tc>
          <w:tcPr>
            <w:tcW w:w="1987" w:type="dxa"/>
            <w:vAlign w:val="center"/>
          </w:tcPr>
          <w:p w14:paraId="219678B0">
            <w:pPr>
              <w:spacing w:line="200" w:lineRule="exact"/>
              <w:jc w:val="center"/>
              <w:rPr>
                <w:sz w:val="18"/>
                <w:szCs w:val="18"/>
              </w:rPr>
            </w:pPr>
            <w:r>
              <w:rPr>
                <w:rFonts w:hint="eastAsia"/>
                <w:sz w:val="18"/>
                <w:szCs w:val="18"/>
              </w:rPr>
              <w:t>本项目施工废水经沉淀后循环利用；本项目未占用耕地，综上，本项目符合资源开发利用效率要求。</w:t>
            </w:r>
          </w:p>
        </w:tc>
      </w:tr>
    </w:tbl>
    <w:p w14:paraId="471B624B">
      <w:pPr>
        <w:spacing w:line="360" w:lineRule="auto"/>
        <w:ind w:firstLine="480" w:firstLineChars="200"/>
        <w:rPr>
          <w:rFonts w:ascii="Times New Roman" w:hAnsi="Times New Roman" w:cs="Times New Roman"/>
        </w:rPr>
      </w:pPr>
      <w:r>
        <w:rPr>
          <w:rFonts w:hint="eastAsia" w:ascii="Times New Roman" w:hAnsi="Times New Roman" w:cs="Times New Roman"/>
          <w:color w:val="FF0000"/>
        </w:rPr>
        <w:t>本项目在</w:t>
      </w:r>
      <w:r>
        <w:rPr>
          <w:rFonts w:ascii="Times New Roman" w:hAnsi="Times New Roman" w:cs="Times New Roman"/>
          <w:color w:val="FF0000"/>
        </w:rPr>
        <w:t>喀什地区</w:t>
      </w:r>
      <w:r>
        <w:rPr>
          <w:rFonts w:hint="eastAsia" w:ascii="Times New Roman" w:hAnsi="Times New Roman" w:cs="Times New Roman"/>
          <w:color w:val="FF0000"/>
        </w:rPr>
        <w:t>“三线一单”中的位置关系见图</w:t>
      </w:r>
      <w:r>
        <w:rPr>
          <w:rFonts w:ascii="Times New Roman" w:hAnsi="Times New Roman" w:cs="Times New Roman"/>
          <w:color w:val="FF0000"/>
        </w:rPr>
        <w:t>1.4-3</w:t>
      </w:r>
      <w:r>
        <w:rPr>
          <w:rFonts w:hint="eastAsia" w:ascii="Times New Roman" w:hAnsi="Times New Roman" w:cs="Times New Roman"/>
          <w:color w:val="FF0000"/>
        </w:rPr>
        <w:t>。</w:t>
      </w:r>
    </w:p>
    <w:p w14:paraId="0096BFC6">
      <w:pPr>
        <w:pStyle w:val="5"/>
        <w:snapToGrid w:val="0"/>
        <w:spacing w:before="156" w:after="156" w:line="240" w:lineRule="auto"/>
        <w:jc w:val="both"/>
        <w:rPr>
          <w:rFonts w:ascii="Times New Roman" w:hAnsi="Times New Roman" w:cs="Times New Roman"/>
          <w:i w:val="0"/>
        </w:rPr>
      </w:pPr>
      <w:r>
        <w:rPr>
          <w:rFonts w:ascii="Times New Roman" w:hAnsi="Times New Roman" w:cs="Times New Roman"/>
          <w:i w:val="0"/>
        </w:rPr>
        <w:t>1.4.2.4</w:t>
      </w:r>
      <w:r>
        <w:rPr>
          <w:rFonts w:hint="eastAsia" w:ascii="Times New Roman" w:hAnsi="Times New Roman" w:cs="Times New Roman"/>
          <w:i w:val="0"/>
        </w:rPr>
        <w:t>与《第三师图木舒克市“三线一单”生态环境分区管控方案》符合性分析</w:t>
      </w:r>
    </w:p>
    <w:p w14:paraId="3247D151">
      <w:pPr>
        <w:spacing w:line="360" w:lineRule="auto"/>
        <w:ind w:firstLine="480"/>
        <w:jc w:val="both"/>
        <w:rPr>
          <w:color w:val="00B050"/>
        </w:rPr>
      </w:pPr>
      <w:r>
        <w:t>2021年7月1日</w:t>
      </w:r>
      <w:r>
        <w:rPr>
          <w:rFonts w:hint="eastAsia"/>
        </w:rPr>
        <w:t>第三师</w:t>
      </w:r>
      <w:r>
        <w:t>以</w:t>
      </w:r>
      <w:r>
        <w:rPr>
          <w:rFonts w:hint="eastAsia"/>
        </w:rPr>
        <w:t>师发〔</w:t>
      </w:r>
      <w:r>
        <w:t>2021</w:t>
      </w:r>
      <w:r>
        <w:rPr>
          <w:rFonts w:hint="eastAsia"/>
        </w:rPr>
        <w:t>〕</w:t>
      </w:r>
      <w:r>
        <w:t>44</w:t>
      </w:r>
      <w:r>
        <w:rPr>
          <w:rFonts w:hint="eastAsia"/>
        </w:rPr>
        <w:t>号</w:t>
      </w:r>
      <w:r>
        <w:t>印发了《</w:t>
      </w:r>
      <w:r>
        <w:rPr>
          <w:rFonts w:hint="eastAsia"/>
        </w:rPr>
        <w:t>第三师图木舒克市“三线一单”生态环境分区管控方案</w:t>
      </w:r>
      <w:r>
        <w:t>》，以落实“生态保护红线、环境质量底线、资源利用上线和环境准入清单”约束，更好地发挥环评制度从源头防范环境污染和生态破坏的作用，加快推进改善环境质量。</w:t>
      </w:r>
      <w:r>
        <w:rPr>
          <w:color w:val="FF0000"/>
        </w:rPr>
        <w:t>项目区与三师图木舒克三线一单位置关系图见图</w:t>
      </w:r>
      <w:r>
        <w:rPr>
          <w:rFonts w:hint="eastAsia"/>
          <w:color w:val="FF0000"/>
        </w:rPr>
        <w:t>1</w:t>
      </w:r>
      <w:r>
        <w:rPr>
          <w:color w:val="FF0000"/>
        </w:rPr>
        <w:t>.4-4。</w:t>
      </w:r>
    </w:p>
    <w:p w14:paraId="0835E7B9">
      <w:pPr>
        <w:spacing w:line="360" w:lineRule="auto"/>
        <w:ind w:firstLine="480"/>
        <w:jc w:val="both"/>
      </w:pPr>
      <w:r>
        <w:rPr>
          <w:rFonts w:hint="eastAsia"/>
        </w:rPr>
        <w:t>（1）</w:t>
      </w:r>
      <w:r>
        <w:t>生态保护红线符合性</w:t>
      </w:r>
    </w:p>
    <w:p w14:paraId="17075447">
      <w:pPr>
        <w:autoSpaceDE w:val="0"/>
        <w:autoSpaceDN w:val="0"/>
        <w:adjustRightInd w:val="0"/>
        <w:snapToGrid w:val="0"/>
        <w:spacing w:line="360" w:lineRule="auto"/>
        <w:ind w:firstLine="480"/>
        <w:jc w:val="both"/>
      </w:pPr>
      <w:r>
        <w:t>本工程</w:t>
      </w:r>
      <w:r>
        <w:rPr>
          <w:rFonts w:hint="eastAsia"/>
        </w:rPr>
        <w:t>为公路工程，</w:t>
      </w:r>
      <w:r>
        <w:t>经核实，本项目占地区不</w:t>
      </w:r>
      <w:r>
        <w:rPr>
          <w:rFonts w:hint="eastAsia"/>
        </w:rPr>
        <w:t>涉及</w:t>
      </w:r>
      <w:r>
        <w:t>自然保护区、世界文化和自然遗产地等特殊生态敏感区，亦无风景名胜区、森林公园、地质公园、重要湿地、原始天然林、珍稀濒危野生动植物天然集中分布区、重要水生生物的自然产卵场及索饵场、越冬场和洄游通道、天然渔场等重要生态敏感区</w:t>
      </w:r>
      <w:r>
        <w:rPr>
          <w:rFonts w:hint="eastAsia"/>
        </w:rPr>
        <w:t>。经与生态保护红线划定成果核实，本项目不涉及生态保护红线，因此，本工程的建设</w:t>
      </w:r>
      <w:r>
        <w:t>符合生态保护红线要求</w:t>
      </w:r>
      <w:r>
        <w:rPr>
          <w:rFonts w:hint="eastAsia"/>
        </w:rPr>
        <w:t>。</w:t>
      </w:r>
      <w:r>
        <w:rPr>
          <w:color w:val="FF0000"/>
        </w:rPr>
        <w:t>项目区与生态保护红线位置关系图见图</w:t>
      </w:r>
      <w:r>
        <w:rPr>
          <w:rFonts w:hint="eastAsia"/>
          <w:color w:val="FF0000"/>
        </w:rPr>
        <w:t>1</w:t>
      </w:r>
      <w:r>
        <w:rPr>
          <w:color w:val="FF0000"/>
        </w:rPr>
        <w:t>.4-5。</w:t>
      </w:r>
    </w:p>
    <w:p w14:paraId="0F38DC22">
      <w:pPr>
        <w:spacing w:line="360" w:lineRule="auto"/>
        <w:ind w:firstLine="480"/>
        <w:jc w:val="both"/>
      </w:pPr>
      <w:r>
        <w:t>（</w:t>
      </w:r>
      <w:r>
        <w:rPr>
          <w:rFonts w:hint="eastAsia"/>
        </w:rPr>
        <w:t>2</w:t>
      </w:r>
      <w:r>
        <w:t>）环境质量底线</w:t>
      </w:r>
    </w:p>
    <w:p w14:paraId="1361C641">
      <w:pPr>
        <w:spacing w:line="360" w:lineRule="auto"/>
        <w:ind w:firstLine="480"/>
        <w:jc w:val="both"/>
      </w:pPr>
      <w:r>
        <w:t>本工程所在区域为大气环境质量</w:t>
      </w:r>
      <w:r>
        <w:rPr>
          <w:rFonts w:hint="eastAsia"/>
        </w:rPr>
        <w:t>不</w:t>
      </w:r>
      <w:r>
        <w:t>达标区</w:t>
      </w:r>
      <w:r>
        <w:rPr>
          <w:rFonts w:hint="eastAsia"/>
        </w:rPr>
        <w:t>，</w:t>
      </w:r>
      <w:r>
        <w:t>根据</w:t>
      </w:r>
      <w:r>
        <w:rPr>
          <w:rFonts w:hint="eastAsia"/>
        </w:rPr>
        <w:t>“</w:t>
      </w:r>
      <w:r>
        <w:t>关于在南疆四地州深度贫困地区实施《环境影响评价技术导则 大气环境（HJ2.2-2018）差别化政策有关事宜的复函》</w:t>
      </w:r>
      <w:r>
        <w:rPr>
          <w:rFonts w:hint="eastAsia"/>
        </w:rPr>
        <w:t>”</w:t>
      </w:r>
      <w:r>
        <w:t>，本项目所在区域属于差别化政策地区。</w:t>
      </w:r>
      <w:r>
        <w:rPr>
          <w:rFonts w:hint="eastAsia"/>
        </w:rPr>
        <w:t>本项目为公路工程</w:t>
      </w:r>
      <w:r>
        <w:t>，根据工程本身特点，项目的建设不会突破项目区域环境质量底线。</w:t>
      </w:r>
    </w:p>
    <w:p w14:paraId="28FF68CB">
      <w:pPr>
        <w:autoSpaceDE w:val="0"/>
        <w:autoSpaceDN w:val="0"/>
        <w:adjustRightInd w:val="0"/>
        <w:snapToGrid w:val="0"/>
        <w:spacing w:line="360" w:lineRule="auto"/>
        <w:ind w:firstLine="480"/>
        <w:jc w:val="both"/>
      </w:pPr>
      <w:r>
        <w:t>（</w:t>
      </w:r>
      <w:r>
        <w:rPr>
          <w:rFonts w:hint="eastAsia"/>
        </w:rPr>
        <w:t>3</w:t>
      </w:r>
      <w:r>
        <w:t>）资源利用上限</w:t>
      </w:r>
    </w:p>
    <w:p w14:paraId="69640647">
      <w:pPr>
        <w:autoSpaceDE w:val="0"/>
        <w:autoSpaceDN w:val="0"/>
        <w:adjustRightInd w:val="0"/>
        <w:snapToGrid w:val="0"/>
        <w:spacing w:line="360" w:lineRule="auto"/>
        <w:ind w:firstLine="480"/>
        <w:jc w:val="both"/>
      </w:pPr>
      <w:r>
        <w:rPr>
          <w:rFonts w:hint="eastAsia"/>
        </w:rPr>
        <w:t>本</w:t>
      </w:r>
      <w:r>
        <w:t>工程</w:t>
      </w:r>
      <w:r>
        <w:rPr>
          <w:rFonts w:hint="eastAsia"/>
        </w:rPr>
        <w:t>为公路工程，不涉及能源利用和消耗，不会对区域资源利用产生影响。</w:t>
      </w:r>
    </w:p>
    <w:p w14:paraId="3D51C1C6">
      <w:pPr>
        <w:spacing w:line="360" w:lineRule="auto"/>
        <w:ind w:firstLine="480"/>
        <w:jc w:val="both"/>
      </w:pPr>
      <w:r>
        <w:rPr>
          <w:rFonts w:hint="eastAsia"/>
        </w:rPr>
        <w:t>（4）生态环境准入清单</w:t>
      </w:r>
    </w:p>
    <w:p w14:paraId="0483A159">
      <w:pPr>
        <w:spacing w:line="360" w:lineRule="auto"/>
        <w:ind w:firstLine="480"/>
        <w:jc w:val="both"/>
      </w:pPr>
      <w:r>
        <w:t>指基于环境管控单元，统筹考虑生态保护红线、环境质量底线、资源利用上线的管控要求，提出的空间布局、污染物排放、环境风险、资源开发利用等方面禁止和限制的环境准入要求。</w:t>
      </w:r>
      <w:r>
        <w:rPr>
          <w:rFonts w:hint="eastAsia"/>
        </w:rPr>
        <w:t>根据《第三师图木舒克市“三线一单”生态环境分区管控方案的通知》（师发〔</w:t>
      </w:r>
      <w:r>
        <w:t>2021</w:t>
      </w:r>
      <w:r>
        <w:rPr>
          <w:rFonts w:hint="eastAsia"/>
        </w:rPr>
        <w:t>〕</w:t>
      </w:r>
      <w:r>
        <w:t>44</w:t>
      </w:r>
      <w:r>
        <w:rPr>
          <w:rFonts w:hint="eastAsia"/>
        </w:rPr>
        <w:t>号）及</w:t>
      </w:r>
      <w:r>
        <w:t>2023年更新成果</w:t>
      </w:r>
      <w:r>
        <w:rPr>
          <w:rFonts w:hint="eastAsia"/>
        </w:rPr>
        <w:t xml:space="preserve"> </w:t>
      </w:r>
      <w:r>
        <w:t>，本项目</w:t>
      </w:r>
      <w:r>
        <w:rPr>
          <w:rFonts w:hint="eastAsia"/>
        </w:rPr>
        <w:t>涉及图木舒克市四十一团一般管控单元（</w:t>
      </w:r>
      <w:r>
        <w:t>ZH65900330006</w:t>
      </w:r>
      <w:r>
        <w:rPr>
          <w:rFonts w:hint="eastAsia"/>
        </w:rPr>
        <w:t>），</w:t>
      </w:r>
      <w:r>
        <w:t>所涉及的环境管控单元基本信息及管控要求见表1.4.4。</w:t>
      </w:r>
    </w:p>
    <w:p w14:paraId="48D193B2">
      <w:pPr>
        <w:rPr>
          <w:rFonts w:eastAsia="黑体"/>
        </w:rPr>
      </w:pPr>
      <w:r>
        <w:rPr>
          <w:rFonts w:hint="eastAsia"/>
        </w:rPr>
        <w:t xml:space="preserve"> </w:t>
      </w:r>
      <w:r>
        <w:rPr>
          <w:rFonts w:hint="eastAsia" w:eastAsia="黑体"/>
          <w:bCs/>
          <w:spacing w:val="-26"/>
        </w:rPr>
        <w:t>表</w:t>
      </w:r>
      <w:r>
        <w:rPr>
          <w:rFonts w:eastAsia="黑体"/>
          <w:bCs/>
        </w:rPr>
        <w:t>1.4-4</w:t>
      </w:r>
      <w:r>
        <w:rPr>
          <w:rFonts w:eastAsia="黑体"/>
          <w:bCs/>
          <w:spacing w:val="52"/>
        </w:rPr>
        <w:t xml:space="preserve">      </w:t>
      </w:r>
      <w:r>
        <w:rPr>
          <w:rFonts w:hint="eastAsia" w:eastAsia="黑体"/>
          <w:bCs/>
          <w:spacing w:val="52"/>
        </w:rPr>
        <w:t>项目所涉环境管控单元管控要求</w:t>
      </w:r>
    </w:p>
    <w:tbl>
      <w:tblPr>
        <w:tblStyle w:val="87"/>
        <w:tblW w:w="8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8"/>
        <w:gridCol w:w="633"/>
        <w:gridCol w:w="851"/>
        <w:gridCol w:w="4328"/>
        <w:gridCol w:w="1987"/>
      </w:tblGrid>
      <w:tr w14:paraId="3550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28" w:type="dxa"/>
            <w:vAlign w:val="center"/>
          </w:tcPr>
          <w:p w14:paraId="2B1BEEA1">
            <w:pPr>
              <w:spacing w:line="200" w:lineRule="exact"/>
              <w:jc w:val="center"/>
              <w:rPr>
                <w:sz w:val="18"/>
                <w:szCs w:val="18"/>
              </w:rPr>
            </w:pPr>
            <w:r>
              <w:rPr>
                <w:rFonts w:hint="eastAsia"/>
                <w:sz w:val="18"/>
                <w:szCs w:val="18"/>
              </w:rPr>
              <w:t>环境管控单元编码</w:t>
            </w:r>
          </w:p>
        </w:tc>
        <w:tc>
          <w:tcPr>
            <w:tcW w:w="633" w:type="dxa"/>
            <w:vAlign w:val="center"/>
          </w:tcPr>
          <w:p w14:paraId="699E5D98">
            <w:pPr>
              <w:spacing w:line="200" w:lineRule="exact"/>
              <w:jc w:val="center"/>
              <w:rPr>
                <w:sz w:val="18"/>
                <w:szCs w:val="18"/>
              </w:rPr>
            </w:pPr>
            <w:r>
              <w:rPr>
                <w:rFonts w:hint="eastAsia"/>
                <w:sz w:val="18"/>
                <w:szCs w:val="18"/>
              </w:rPr>
              <w:t>环境管控单元名称</w:t>
            </w:r>
          </w:p>
        </w:tc>
        <w:tc>
          <w:tcPr>
            <w:tcW w:w="851" w:type="dxa"/>
            <w:vAlign w:val="center"/>
          </w:tcPr>
          <w:p w14:paraId="7B797884">
            <w:pPr>
              <w:spacing w:line="200" w:lineRule="exact"/>
              <w:jc w:val="center"/>
              <w:rPr>
                <w:sz w:val="18"/>
                <w:szCs w:val="18"/>
              </w:rPr>
            </w:pPr>
            <w:r>
              <w:rPr>
                <w:rFonts w:hint="eastAsia"/>
                <w:sz w:val="18"/>
                <w:szCs w:val="18"/>
              </w:rPr>
              <w:t>管控单元类别</w:t>
            </w:r>
          </w:p>
        </w:tc>
        <w:tc>
          <w:tcPr>
            <w:tcW w:w="4328" w:type="dxa"/>
            <w:vAlign w:val="center"/>
          </w:tcPr>
          <w:p w14:paraId="7E115A28">
            <w:pPr>
              <w:spacing w:line="200" w:lineRule="exact"/>
              <w:jc w:val="center"/>
              <w:rPr>
                <w:sz w:val="18"/>
                <w:szCs w:val="18"/>
              </w:rPr>
            </w:pPr>
            <w:r>
              <w:rPr>
                <w:rFonts w:hint="eastAsia"/>
                <w:sz w:val="18"/>
                <w:szCs w:val="18"/>
              </w:rPr>
              <w:t>管控要求</w:t>
            </w:r>
          </w:p>
        </w:tc>
        <w:tc>
          <w:tcPr>
            <w:tcW w:w="1987" w:type="dxa"/>
            <w:vAlign w:val="center"/>
          </w:tcPr>
          <w:p w14:paraId="7ABCBA9F">
            <w:pPr>
              <w:spacing w:line="200" w:lineRule="exact"/>
              <w:jc w:val="center"/>
              <w:rPr>
                <w:sz w:val="18"/>
                <w:szCs w:val="18"/>
              </w:rPr>
            </w:pPr>
            <w:r>
              <w:rPr>
                <w:rFonts w:hint="eastAsia"/>
                <w:sz w:val="18"/>
                <w:szCs w:val="18"/>
              </w:rPr>
              <w:t>项目情况</w:t>
            </w:r>
          </w:p>
        </w:tc>
      </w:tr>
      <w:tr w14:paraId="6AD8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3" w:hRule="atLeast"/>
          <w:jc w:val="center"/>
        </w:trPr>
        <w:tc>
          <w:tcPr>
            <w:tcW w:w="628" w:type="dxa"/>
            <w:vAlign w:val="center"/>
          </w:tcPr>
          <w:p w14:paraId="670B95FF">
            <w:pPr>
              <w:spacing w:line="200" w:lineRule="exact"/>
              <w:jc w:val="center"/>
              <w:rPr>
                <w:sz w:val="18"/>
                <w:szCs w:val="18"/>
              </w:rPr>
            </w:pPr>
            <w:r>
              <w:rPr>
                <w:sz w:val="18"/>
                <w:szCs w:val="18"/>
              </w:rPr>
              <w:t>ZH65900330006</w:t>
            </w:r>
          </w:p>
        </w:tc>
        <w:tc>
          <w:tcPr>
            <w:tcW w:w="633" w:type="dxa"/>
            <w:vAlign w:val="center"/>
          </w:tcPr>
          <w:p w14:paraId="428633CC">
            <w:pPr>
              <w:spacing w:line="200" w:lineRule="exact"/>
              <w:jc w:val="center"/>
              <w:rPr>
                <w:sz w:val="18"/>
                <w:szCs w:val="18"/>
              </w:rPr>
            </w:pPr>
            <w:r>
              <w:rPr>
                <w:rFonts w:hint="eastAsia"/>
                <w:sz w:val="18"/>
                <w:szCs w:val="18"/>
              </w:rPr>
              <w:t>图木舒克市四十一团一般管控单元</w:t>
            </w:r>
          </w:p>
        </w:tc>
        <w:tc>
          <w:tcPr>
            <w:tcW w:w="851" w:type="dxa"/>
            <w:vAlign w:val="center"/>
          </w:tcPr>
          <w:p w14:paraId="317E02FC">
            <w:pPr>
              <w:spacing w:line="200" w:lineRule="exact"/>
              <w:jc w:val="center"/>
              <w:rPr>
                <w:sz w:val="18"/>
                <w:szCs w:val="18"/>
              </w:rPr>
            </w:pPr>
            <w:r>
              <w:rPr>
                <w:rFonts w:hint="eastAsia"/>
                <w:sz w:val="18"/>
                <w:szCs w:val="18"/>
              </w:rPr>
              <w:t>一般管控单元</w:t>
            </w:r>
          </w:p>
        </w:tc>
        <w:tc>
          <w:tcPr>
            <w:tcW w:w="4328" w:type="dxa"/>
            <w:vAlign w:val="center"/>
          </w:tcPr>
          <w:p w14:paraId="4A454A46">
            <w:pPr>
              <w:spacing w:line="200" w:lineRule="exact"/>
              <w:rPr>
                <w:sz w:val="18"/>
                <w:szCs w:val="18"/>
              </w:rPr>
            </w:pPr>
            <w:r>
              <w:rPr>
                <w:sz w:val="18"/>
                <w:szCs w:val="18"/>
              </w:rPr>
              <w:t>1.空间布局约束:（1）执行师级空间布局约束要求。</w:t>
            </w:r>
          </w:p>
          <w:p w14:paraId="5F3F3944">
            <w:pPr>
              <w:spacing w:line="200" w:lineRule="exact"/>
              <w:rPr>
                <w:sz w:val="18"/>
                <w:szCs w:val="18"/>
              </w:rPr>
            </w:pPr>
            <w:r>
              <w:rPr>
                <w:sz w:val="18"/>
                <w:szCs w:val="18"/>
              </w:rPr>
              <w:t>2.污染物排放管控:（1）严格控制农药使用，逐步削减农业面源污染物排放量。（2）推动秸秆还田与离田收集，禁止焚烧秸秆。</w:t>
            </w:r>
          </w:p>
          <w:p w14:paraId="1784DDBE">
            <w:pPr>
              <w:spacing w:line="200" w:lineRule="exact"/>
              <w:rPr>
                <w:sz w:val="18"/>
                <w:szCs w:val="18"/>
              </w:rPr>
            </w:pPr>
            <w:r>
              <w:rPr>
                <w:sz w:val="18"/>
                <w:szCs w:val="18"/>
              </w:rPr>
              <w:t>3.环境风险防控:（1）防范草湖经济开发区相关环境风险。做好农田环境之间防护工作。</w:t>
            </w:r>
          </w:p>
          <w:p w14:paraId="5F3B750C">
            <w:pPr>
              <w:spacing w:line="200" w:lineRule="exact"/>
              <w:rPr>
                <w:sz w:val="18"/>
                <w:szCs w:val="18"/>
              </w:rPr>
            </w:pPr>
            <w:r>
              <w:rPr>
                <w:sz w:val="18"/>
                <w:szCs w:val="18"/>
              </w:rPr>
              <w:t>4.资源开发效率要求:（1）加大土地整理、复垦力度，改造中低田，治理土壤次生盐渍化。推进规模化高效节水灌溉，推广农作物节水抗旱技术。提高土地集约利用程度，切实加强耕地和基本农田保护，严格非农建设用地占用基本农田。（2）完善高标准农田建设、土地开发整理等标准规范，明确环保要求。推广渠道防渗、管道输水、喷灌、微灌等节水灌溉技术，完善灌溉用水计量设施。大力推进规模化高效节水灌溉，推广农作物节水抗旱技术。</w:t>
            </w:r>
          </w:p>
        </w:tc>
        <w:tc>
          <w:tcPr>
            <w:tcW w:w="1987" w:type="dxa"/>
            <w:vAlign w:val="center"/>
          </w:tcPr>
          <w:p w14:paraId="161CD308">
            <w:pPr>
              <w:spacing w:line="200" w:lineRule="exact"/>
              <w:rPr>
                <w:sz w:val="18"/>
                <w:szCs w:val="18"/>
              </w:rPr>
            </w:pPr>
            <w:r>
              <w:rPr>
                <w:rFonts w:hint="eastAsia"/>
                <w:sz w:val="18"/>
                <w:szCs w:val="18"/>
              </w:rPr>
              <w:t xml:space="preserve"> 本项目为公路工程，属于《产业结构调整指导目录》中鼓励类项目；项目的实施符合国家、自治区、兵团相关规划及要求；本项目施工期生产废水经处理后综合利用，不外排，施工期要求施工人员不得向河道内倾倒垃圾和排放污染物，不得造成水体污染；项目不占用耕地。综上，本项目与管控要求相符。</w:t>
            </w:r>
          </w:p>
        </w:tc>
      </w:tr>
    </w:tbl>
    <w:p w14:paraId="1460AFFD">
      <w:pPr>
        <w:pStyle w:val="725"/>
        <w:ind w:firstLine="0" w:firstLineChars="0"/>
        <w:jc w:val="center"/>
        <w:rPr>
          <w:rFonts w:cs="Times New Roman"/>
        </w:rPr>
      </w:pPr>
    </w:p>
    <w:bookmarkEnd w:id="39"/>
    <w:bookmarkEnd w:id="40"/>
    <w:p w14:paraId="5C4C2B24">
      <w:pPr>
        <w:pStyle w:val="3"/>
        <w:adjustRightInd w:val="0"/>
        <w:snapToGrid w:val="0"/>
        <w:spacing w:before="156" w:after="156" w:line="240" w:lineRule="auto"/>
        <w:rPr>
          <w:rFonts w:ascii="Times New Roman" w:hAnsi="Times New Roman" w:cs="Times New Roman"/>
        </w:rPr>
      </w:pPr>
      <w:bookmarkStart w:id="52" w:name="_Toc187675405"/>
      <w:r>
        <w:rPr>
          <w:rFonts w:ascii="Times New Roman" w:hAnsi="Times New Roman" w:cs="Times New Roman"/>
        </w:rPr>
        <w:t>1.5关注的主要环境问题</w:t>
      </w:r>
      <w:bookmarkEnd w:id="41"/>
      <w:bookmarkEnd w:id="42"/>
      <w:bookmarkEnd w:id="52"/>
    </w:p>
    <w:p w14:paraId="711FE0B0">
      <w:pPr>
        <w:pStyle w:val="220"/>
        <w:adjustRightInd w:val="0"/>
        <w:snapToGrid w:val="0"/>
        <w:ind w:firstLine="480" w:firstLineChars="200"/>
        <w:jc w:val="both"/>
        <w:rPr>
          <w:rFonts w:ascii="Times New Roman" w:hAnsi="Times New Roman" w:cs="Times New Roman"/>
          <w:szCs w:val="20"/>
        </w:rPr>
      </w:pPr>
      <w:r>
        <w:rPr>
          <w:rFonts w:ascii="Times New Roman" w:hAnsi="Times New Roman" w:cs="Times New Roman"/>
          <w:szCs w:val="20"/>
        </w:rPr>
        <w:t>拟建项目为公路建设项目，施工期进行路基、桥梁建设，沿线将设置施工综合场站、施工便道等因此将占用一定面积土地，加大水土流失强度</w:t>
      </w:r>
      <w:r>
        <w:rPr>
          <w:rFonts w:hint="eastAsia" w:ascii="Times New Roman" w:hAnsi="Times New Roman" w:cs="Times New Roman"/>
          <w:szCs w:val="20"/>
        </w:rPr>
        <w:t>；路线跨越盖孜河等水体。项目对生态环境、水环境的影响为</w:t>
      </w:r>
      <w:r>
        <w:rPr>
          <w:rFonts w:ascii="Times New Roman" w:hAnsi="Times New Roman" w:cs="Times New Roman"/>
          <w:szCs w:val="20"/>
        </w:rPr>
        <w:t>施工期主要环境因素。</w:t>
      </w:r>
    </w:p>
    <w:p w14:paraId="6EFBAD41">
      <w:pPr>
        <w:pStyle w:val="220"/>
        <w:adjustRightInd w:val="0"/>
        <w:snapToGrid w:val="0"/>
        <w:ind w:firstLine="480" w:firstLineChars="200"/>
        <w:jc w:val="both"/>
        <w:rPr>
          <w:rFonts w:ascii="Times New Roman" w:hAnsi="Times New Roman" w:cs="Times New Roman"/>
          <w:szCs w:val="20"/>
        </w:rPr>
      </w:pPr>
      <w:r>
        <w:rPr>
          <w:rFonts w:ascii="Times New Roman" w:hAnsi="Times New Roman" w:cs="Times New Roman"/>
          <w:szCs w:val="20"/>
        </w:rPr>
        <w:t>公路建成通车后，临时用地平整恢复，公路边坡已经得到良好的防护，因此，交通噪声将成为营运期最主要的环境影响因素。</w:t>
      </w:r>
    </w:p>
    <w:bookmarkEnd w:id="2"/>
    <w:bookmarkEnd w:id="3"/>
    <w:bookmarkEnd w:id="4"/>
    <w:p w14:paraId="0846460D">
      <w:pPr>
        <w:pStyle w:val="3"/>
        <w:adjustRightInd w:val="0"/>
        <w:snapToGrid w:val="0"/>
        <w:spacing w:before="156" w:after="156" w:line="240" w:lineRule="auto"/>
        <w:jc w:val="both"/>
        <w:rPr>
          <w:rFonts w:ascii="Times New Roman" w:hAnsi="Times New Roman" w:cs="Times New Roman"/>
        </w:rPr>
      </w:pPr>
      <w:bookmarkStart w:id="53" w:name="_Toc98413475"/>
      <w:bookmarkStart w:id="54" w:name="_Toc367887818"/>
      <w:bookmarkStart w:id="55" w:name="_Toc371417625"/>
      <w:bookmarkStart w:id="56" w:name="_Toc381605946"/>
      <w:bookmarkStart w:id="57" w:name="_Toc4507836"/>
      <w:bookmarkStart w:id="58" w:name="_Toc187675406"/>
      <w:bookmarkStart w:id="59" w:name="_Toc187675407"/>
      <w:bookmarkStart w:id="60" w:name="_Toc316561595"/>
      <w:bookmarkStart w:id="61" w:name="_Toc381605948"/>
      <w:bookmarkStart w:id="62" w:name="_Toc4507838"/>
      <w:bookmarkStart w:id="63" w:name="_Toc165446123"/>
      <w:bookmarkStart w:id="64" w:name="_Toc236793626"/>
      <w:bookmarkStart w:id="65" w:name="_Toc183676460"/>
      <w:bookmarkStart w:id="66" w:name="_Toc316510995"/>
      <w:bookmarkStart w:id="67" w:name="_Toc98413477"/>
      <w:r>
        <w:rPr>
          <w:rFonts w:ascii="Times New Roman" w:hAnsi="Times New Roman" w:cs="Times New Roman"/>
        </w:rPr>
        <w:t>1.6环境影响评价的主要结论</w:t>
      </w:r>
      <w:bookmarkEnd w:id="53"/>
      <w:bookmarkEnd w:id="54"/>
      <w:bookmarkEnd w:id="55"/>
      <w:bookmarkEnd w:id="56"/>
      <w:bookmarkEnd w:id="57"/>
      <w:bookmarkEnd w:id="58"/>
    </w:p>
    <w:p w14:paraId="0AFA0511">
      <w:pPr>
        <w:pStyle w:val="220"/>
        <w:adjustRightInd w:val="0"/>
        <w:snapToGrid w:val="0"/>
        <w:ind w:firstLine="480" w:firstLineChars="200"/>
        <w:jc w:val="both"/>
        <w:rPr>
          <w:rFonts w:ascii="Times New Roman" w:hAnsi="Times New Roman" w:cs="Times New Roman"/>
        </w:rPr>
      </w:pPr>
      <w:r>
        <w:rPr>
          <w:rFonts w:hint="eastAsia" w:ascii="Times New Roman" w:hAnsi="Times New Roman" w:cs="Times New Roman"/>
        </w:rPr>
        <w:t>本项目符合《新疆维吾尔自治区公路网发展规划》及规划环评、《新疆生产建设兵团“十四五”交通运输发展规划》及规划环评、《新疆生产建设兵团省道网规划（</w:t>
      </w:r>
      <w:r>
        <w:rPr>
          <w:rFonts w:ascii="Times New Roman" w:hAnsi="Times New Roman" w:cs="Times New Roman"/>
        </w:rPr>
        <w:t>2023-2035年）》《41团草湖镇城镇总体规划》。项目实施后，将完善兵团南疆区域交通路网建设，具有一定的经济效益和社会效益。</w:t>
      </w:r>
    </w:p>
    <w:p w14:paraId="34A11453">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本项目建设和营运期间，会对沿线一定区域的环境空气、声环境产生不同程度的影响，同时项目占地还将对沿线的生态环境和社会环境产生一定影响。根据项目污染物排放情况及影响预测分析，本项目施工和营运期对环境影响较小，通过在施工和营运期落实报告书提出的各项环保措施，按照国家相关</w:t>
      </w:r>
      <w:r>
        <w:rPr>
          <w:rFonts w:hint="eastAsia" w:ascii="Times New Roman" w:hAnsi="Times New Roman" w:cs="Times New Roman"/>
        </w:rPr>
        <w:t>法律法规</w:t>
      </w:r>
      <w:r>
        <w:rPr>
          <w:rFonts w:ascii="Times New Roman" w:hAnsi="Times New Roman" w:cs="Times New Roman"/>
        </w:rPr>
        <w:t>要求办理征地</w:t>
      </w:r>
      <w:r>
        <w:rPr>
          <w:rFonts w:hint="eastAsia" w:ascii="Times New Roman" w:hAnsi="Times New Roman" w:cs="Times New Roman"/>
        </w:rPr>
        <w:t>、</w:t>
      </w:r>
      <w:r>
        <w:rPr>
          <w:rFonts w:ascii="Times New Roman" w:hAnsi="Times New Roman" w:cs="Times New Roman"/>
        </w:rPr>
        <w:t>补偿等手续后，在征得国土部门、林业部门等相关管理部门同意的情况下，工程对环境的不利影响可以得到有效控制和缓解，因此，从环保角度来说该项目建设是可行的。</w:t>
      </w:r>
    </w:p>
    <w:p w14:paraId="22958201">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在本项目环境影响报告书编制过程中，评价单位得到了新疆生产建设兵团第三师交通运输事业发展中心、</w:t>
      </w:r>
      <w:r>
        <w:rPr>
          <w:rFonts w:hint="eastAsia" w:ascii="Times New Roman" w:hAnsi="Times New Roman" w:cs="Times New Roman"/>
        </w:rPr>
        <w:t>4</w:t>
      </w:r>
      <w:r>
        <w:rPr>
          <w:rFonts w:ascii="Times New Roman" w:hAnsi="Times New Roman" w:cs="Times New Roman"/>
        </w:rPr>
        <w:t>1团草湖镇城镇管理中心等相关部门的大力支持与帮助，在此一并致以衷心感谢！</w:t>
      </w:r>
      <w:bookmarkStart w:id="68" w:name="_Toc316561594"/>
      <w:bookmarkStart w:id="69" w:name="_Toc98413476"/>
      <w:bookmarkStart w:id="70" w:name="_Toc316510994"/>
      <w:bookmarkStart w:id="71" w:name="_Toc4507837"/>
      <w:bookmarkStart w:id="72" w:name="_Toc381605947"/>
    </w:p>
    <w:p w14:paraId="5CA92FA3">
      <w:pPr>
        <w:rPr>
          <w:rFonts w:ascii="Times New Roman" w:hAnsi="Times New Roman" w:eastAsia="隶书" w:cs="Times New Roman"/>
          <w:sz w:val="30"/>
          <w:szCs w:val="30"/>
        </w:rPr>
      </w:pPr>
    </w:p>
    <w:p w14:paraId="1C4A1B3A">
      <w:pPr>
        <w:ind w:firstLine="643" w:firstLineChars="200"/>
        <w:rPr>
          <w:rFonts w:ascii="Times New Roman" w:hAnsi="Times New Roman" w:cs="Times New Roman"/>
          <w:b/>
          <w:bCs/>
          <w:sz w:val="32"/>
        </w:rPr>
        <w:sectPr>
          <w:pgSz w:w="11906" w:h="16838"/>
          <w:pgMar w:top="1440" w:right="1797" w:bottom="1440" w:left="1797" w:header="794" w:footer="850" w:gutter="0"/>
          <w:cols w:space="720" w:num="1"/>
          <w:docGrid w:type="lines" w:linePitch="312" w:charSpace="0"/>
        </w:sectPr>
      </w:pPr>
    </w:p>
    <w:bookmarkEnd w:id="68"/>
    <w:bookmarkEnd w:id="69"/>
    <w:bookmarkEnd w:id="70"/>
    <w:bookmarkEnd w:id="71"/>
    <w:bookmarkEnd w:id="72"/>
    <w:p w14:paraId="493540B0">
      <w:pPr>
        <w:pStyle w:val="2"/>
        <w:adjustRightInd w:val="0"/>
        <w:snapToGrid w:val="0"/>
        <w:spacing w:before="312" w:after="156" w:line="240" w:lineRule="auto"/>
        <w:rPr>
          <w:rFonts w:ascii="Times New Roman" w:hAnsi="Times New Roman" w:cs="Times New Roman"/>
        </w:rPr>
      </w:pPr>
      <w:r>
        <w:rPr>
          <w:rFonts w:ascii="Times New Roman" w:hAnsi="Times New Roman" w:cs="Times New Roman"/>
        </w:rPr>
        <w:t>2总则</w:t>
      </w:r>
      <w:bookmarkEnd w:id="59"/>
    </w:p>
    <w:p w14:paraId="1AFF834C">
      <w:pPr>
        <w:pStyle w:val="3"/>
        <w:adjustRightInd w:val="0"/>
        <w:snapToGrid w:val="0"/>
        <w:spacing w:before="156" w:after="156" w:line="240" w:lineRule="auto"/>
        <w:rPr>
          <w:rFonts w:ascii="Times New Roman" w:hAnsi="Times New Roman" w:cs="Times New Roman"/>
        </w:rPr>
      </w:pPr>
      <w:bookmarkStart w:id="73" w:name="_Toc187675408"/>
      <w:r>
        <w:rPr>
          <w:rFonts w:ascii="Times New Roman" w:hAnsi="Times New Roman" w:cs="Times New Roman"/>
        </w:rPr>
        <w:t>2.1编制依据</w:t>
      </w:r>
      <w:bookmarkEnd w:id="60"/>
      <w:bookmarkEnd w:id="61"/>
      <w:bookmarkEnd w:id="62"/>
      <w:bookmarkEnd w:id="63"/>
      <w:bookmarkEnd w:id="64"/>
      <w:bookmarkEnd w:id="65"/>
      <w:bookmarkEnd w:id="66"/>
      <w:bookmarkEnd w:id="67"/>
      <w:bookmarkEnd w:id="73"/>
    </w:p>
    <w:p w14:paraId="575CA88A">
      <w:pPr>
        <w:pStyle w:val="4"/>
        <w:adjustRightInd w:val="0"/>
        <w:snapToGrid w:val="0"/>
        <w:spacing w:before="156" w:after="156" w:line="240" w:lineRule="auto"/>
        <w:rPr>
          <w:rFonts w:ascii="Times New Roman" w:hAnsi="Times New Roman" w:cs="Times New Roman"/>
          <w:sz w:val="30"/>
        </w:rPr>
      </w:pPr>
      <w:bookmarkStart w:id="74" w:name="_Toc381605949"/>
      <w:bookmarkStart w:id="75" w:name="_Toc343441079"/>
      <w:bookmarkStart w:id="76" w:name="_Toc34989524"/>
      <w:bookmarkStart w:id="77" w:name="_Toc98414160"/>
      <w:bookmarkStart w:id="78" w:name="_Toc57826690"/>
      <w:bookmarkStart w:id="79" w:name="_Toc98413478"/>
      <w:bookmarkStart w:id="80" w:name="_Toc97464583"/>
      <w:r>
        <w:rPr>
          <w:rFonts w:ascii="Times New Roman" w:hAnsi="Times New Roman" w:cs="Times New Roman"/>
          <w:sz w:val="30"/>
        </w:rPr>
        <w:t>2.1.1</w:t>
      </w:r>
      <w:bookmarkEnd w:id="74"/>
      <w:bookmarkEnd w:id="75"/>
      <w:r>
        <w:rPr>
          <w:rFonts w:ascii="Times New Roman" w:hAnsi="Times New Roman" w:cs="Times New Roman"/>
          <w:sz w:val="30"/>
        </w:rPr>
        <w:t>国家法律</w:t>
      </w:r>
      <w:bookmarkEnd w:id="76"/>
      <w:bookmarkEnd w:id="77"/>
      <w:bookmarkEnd w:id="78"/>
      <w:bookmarkEnd w:id="79"/>
      <w:bookmarkEnd w:id="80"/>
    </w:p>
    <w:p w14:paraId="18BA9D3D">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1.《中华人民共和国环境保护法》（2014年修正，2015.1.1施行）；</w:t>
      </w:r>
    </w:p>
    <w:p w14:paraId="4A2EDE3D">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2.《中华人民共和国环境影响评价法》（2018年修正，2018.12.29施行）；</w:t>
      </w:r>
    </w:p>
    <w:p w14:paraId="0310A307">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3.《中华人民共和国大气污染防治法》（2018年修正，2018.10.26施行）；</w:t>
      </w:r>
    </w:p>
    <w:p w14:paraId="304B075B">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4.《中华人民共和国水污染防治法》（2017年修正，2018.1.1施行）；</w:t>
      </w:r>
    </w:p>
    <w:p w14:paraId="4965F04C">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5.《中华人民共和国噪声污染防治法》（2022年，2022.6.5施行）；</w:t>
      </w:r>
    </w:p>
    <w:p w14:paraId="66C073F7">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6.《中华人民共和国固体废物污染环境防治法》（2020年修订，2020.9.1施行）；</w:t>
      </w:r>
    </w:p>
    <w:p w14:paraId="002DBB34">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7.《中华人民共和国土地管理法》（2019年修订，2020.1.1施行）；</w:t>
      </w:r>
    </w:p>
    <w:p w14:paraId="75735FA7">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8.《中华人民共和国水土保持法》（2010年修订，2011.3.1施行）；</w:t>
      </w:r>
    </w:p>
    <w:p w14:paraId="6629787D">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9.《中华人民共和国公路法》，</w:t>
      </w:r>
      <w:r>
        <w:rPr>
          <w:rFonts w:hint="eastAsia" w:ascii="Times New Roman" w:hAnsi="Times New Roman" w:cs="Times New Roman"/>
        </w:rPr>
        <w:t>（</w:t>
      </w:r>
      <w:r>
        <w:rPr>
          <w:rFonts w:ascii="Times New Roman" w:hAnsi="Times New Roman" w:cs="Times New Roman"/>
        </w:rPr>
        <w:t>2017.11.4修订</w:t>
      </w:r>
      <w:r>
        <w:rPr>
          <w:rFonts w:hint="eastAsia" w:ascii="Times New Roman" w:hAnsi="Times New Roman" w:cs="Times New Roman"/>
        </w:rPr>
        <w:t>）</w:t>
      </w:r>
      <w:r>
        <w:rPr>
          <w:rFonts w:ascii="Times New Roman" w:hAnsi="Times New Roman" w:cs="Times New Roman"/>
        </w:rPr>
        <w:t>；</w:t>
      </w:r>
    </w:p>
    <w:p w14:paraId="60002E26">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10.《中华人民共和国野生动物保护法》（2023.5.1施行）；</w:t>
      </w:r>
    </w:p>
    <w:p w14:paraId="01F74060">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11.《中华人民共和国道路交通安全法》，</w:t>
      </w:r>
      <w:r>
        <w:rPr>
          <w:rFonts w:hint="eastAsia" w:ascii="Times New Roman" w:hAnsi="Times New Roman" w:cs="Times New Roman"/>
        </w:rPr>
        <w:t>（</w:t>
      </w:r>
      <w:r>
        <w:rPr>
          <w:rFonts w:ascii="Times New Roman" w:hAnsi="Times New Roman" w:cs="Times New Roman"/>
        </w:rPr>
        <w:t>2011.4.22修订</w:t>
      </w:r>
      <w:r>
        <w:rPr>
          <w:rFonts w:hint="eastAsia" w:ascii="Times New Roman" w:hAnsi="Times New Roman" w:cs="Times New Roman"/>
        </w:rPr>
        <w:t>）</w:t>
      </w:r>
      <w:r>
        <w:rPr>
          <w:rFonts w:ascii="Times New Roman" w:hAnsi="Times New Roman" w:cs="Times New Roman"/>
        </w:rPr>
        <w:t>；</w:t>
      </w:r>
    </w:p>
    <w:p w14:paraId="056D4AD1">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12.《中华人民共和国突发事件应对法》，</w:t>
      </w:r>
      <w:r>
        <w:rPr>
          <w:rFonts w:hint="eastAsia" w:ascii="Times New Roman" w:hAnsi="Times New Roman" w:cs="Times New Roman"/>
        </w:rPr>
        <w:t>（</w:t>
      </w:r>
      <w:r>
        <w:rPr>
          <w:rFonts w:ascii="Times New Roman" w:hAnsi="Times New Roman" w:cs="Times New Roman"/>
        </w:rPr>
        <w:t>2024.6.28</w:t>
      </w:r>
      <w:r>
        <w:rPr>
          <w:rFonts w:hint="eastAsia" w:ascii="Times New Roman" w:hAnsi="Times New Roman" w:cs="Times New Roman"/>
        </w:rPr>
        <w:t>发布，</w:t>
      </w:r>
      <w:r>
        <w:rPr>
          <w:rFonts w:ascii="Times New Roman" w:hAnsi="Times New Roman" w:cs="Times New Roman"/>
        </w:rPr>
        <w:t>2024.11.01</w:t>
      </w:r>
      <w:r>
        <w:rPr>
          <w:rFonts w:hint="eastAsia" w:ascii="Times New Roman" w:hAnsi="Times New Roman" w:cs="Times New Roman"/>
        </w:rPr>
        <w:t>实施）</w:t>
      </w:r>
      <w:r>
        <w:rPr>
          <w:rFonts w:ascii="Times New Roman" w:hAnsi="Times New Roman" w:cs="Times New Roman"/>
        </w:rPr>
        <w:t>；</w:t>
      </w:r>
    </w:p>
    <w:p w14:paraId="4CDBE049">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13.《中华人民共和国土壤污染防治法》（2018.8.31公布，2019.1.1施行）；</w:t>
      </w:r>
    </w:p>
    <w:p w14:paraId="2A382F5F">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14.《中华人民共和国防沙治沙法》（2018年修正，2018.10.26施行）</w:t>
      </w:r>
      <w:r>
        <w:rPr>
          <w:rFonts w:hint="eastAsia" w:ascii="Times New Roman" w:hAnsi="Times New Roman" w:cs="Times New Roman"/>
        </w:rPr>
        <w:t>。</w:t>
      </w:r>
    </w:p>
    <w:p w14:paraId="487E186B">
      <w:pPr>
        <w:pStyle w:val="4"/>
        <w:adjustRightInd w:val="0"/>
        <w:snapToGrid w:val="0"/>
        <w:spacing w:before="156" w:after="156" w:line="240" w:lineRule="auto"/>
        <w:rPr>
          <w:rFonts w:ascii="Times New Roman" w:hAnsi="Times New Roman" w:cs="Times New Roman"/>
          <w:sz w:val="30"/>
        </w:rPr>
      </w:pPr>
      <w:bookmarkStart w:id="81" w:name="_Toc57826691"/>
      <w:bookmarkStart w:id="82" w:name="_Toc98413479"/>
      <w:bookmarkStart w:id="83" w:name="_Toc34989525"/>
      <w:bookmarkStart w:id="84" w:name="_Toc98414161"/>
      <w:r>
        <w:rPr>
          <w:rFonts w:ascii="Times New Roman" w:hAnsi="Times New Roman" w:cs="Times New Roman"/>
          <w:sz w:val="30"/>
        </w:rPr>
        <w:t>2.1.2行政法规</w:t>
      </w:r>
      <w:bookmarkEnd w:id="81"/>
      <w:bookmarkEnd w:id="82"/>
      <w:bookmarkEnd w:id="83"/>
      <w:bookmarkEnd w:id="84"/>
    </w:p>
    <w:p w14:paraId="287B9099">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1.《中华人民共和国土地管理法实施条例》（2021年修订，2021.9.1施行）；</w:t>
      </w:r>
    </w:p>
    <w:p w14:paraId="2766FB40">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2.《建设项目环境保护管理条例》（2017年修正，2017.10.1施行）；</w:t>
      </w:r>
    </w:p>
    <w:p w14:paraId="34C18C89">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3.《中华人民共和国水土保持法实施条例》（2011年修订，2011.1.8施行）；</w:t>
      </w:r>
    </w:p>
    <w:p w14:paraId="003925C9">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4.《中华人民共和国陆生野生动物保护实施条例》（2016年修正，2016.2.6施行）；</w:t>
      </w:r>
    </w:p>
    <w:p w14:paraId="2B6B4479">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5.《中华人民共和国野生植物保护条例》(2017修正，2017.10.7施行)；</w:t>
      </w:r>
    </w:p>
    <w:p w14:paraId="4D2E8F21">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6.《危险化学品安全管理条例》（2013年修正，2013.12.7施行）；</w:t>
      </w:r>
    </w:p>
    <w:p w14:paraId="0E35BD8F">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7.《关于划定并严守生态保护红线的若干意见》，2017.1.7；</w:t>
      </w:r>
    </w:p>
    <w:p w14:paraId="3EB5BEE3">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8.《环境影响评价公众参与办法》（2019.1.1施行）。</w:t>
      </w:r>
    </w:p>
    <w:p w14:paraId="5D68DD2F">
      <w:pPr>
        <w:pStyle w:val="4"/>
        <w:adjustRightInd w:val="0"/>
        <w:snapToGrid w:val="0"/>
        <w:spacing w:before="156" w:after="156" w:line="240" w:lineRule="auto"/>
        <w:rPr>
          <w:rFonts w:ascii="Times New Roman" w:hAnsi="Times New Roman" w:cs="Times New Roman"/>
          <w:sz w:val="30"/>
        </w:rPr>
      </w:pPr>
      <w:bookmarkStart w:id="85" w:name="_Toc98414162"/>
      <w:bookmarkStart w:id="86" w:name="_Toc57826692"/>
      <w:bookmarkStart w:id="87" w:name="_Toc34989526"/>
      <w:bookmarkStart w:id="88" w:name="_Toc98413480"/>
      <w:r>
        <w:rPr>
          <w:rFonts w:ascii="Times New Roman" w:hAnsi="Times New Roman" w:cs="Times New Roman"/>
          <w:sz w:val="30"/>
        </w:rPr>
        <w:t>2.1.3部门规章及规范性文件</w:t>
      </w:r>
      <w:bookmarkEnd w:id="85"/>
      <w:bookmarkEnd w:id="86"/>
      <w:bookmarkEnd w:id="87"/>
      <w:bookmarkEnd w:id="88"/>
    </w:p>
    <w:p w14:paraId="1AFA424C">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1.《建设项目环境影响评价分类管理名录（2021年版）》，2021.1.1；</w:t>
      </w:r>
    </w:p>
    <w:p w14:paraId="0DCE1882">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2《交通建设项目环境保护管理办法》，</w:t>
      </w:r>
      <w:r>
        <w:rPr>
          <w:rFonts w:hint="eastAsia" w:ascii="Times New Roman" w:hAnsi="Times New Roman" w:cs="Times New Roman"/>
        </w:rPr>
        <w:t>（</w:t>
      </w:r>
      <w:r>
        <w:rPr>
          <w:rFonts w:ascii="Times New Roman" w:hAnsi="Times New Roman" w:cs="Times New Roman"/>
        </w:rPr>
        <w:t>交通部令2003年第5号</w:t>
      </w:r>
      <w:r>
        <w:rPr>
          <w:rFonts w:hint="eastAsia" w:ascii="Times New Roman" w:hAnsi="Times New Roman" w:cs="Times New Roman"/>
        </w:rPr>
        <w:t>）</w:t>
      </w:r>
      <w:r>
        <w:rPr>
          <w:rFonts w:ascii="Times New Roman" w:hAnsi="Times New Roman" w:cs="Times New Roman"/>
        </w:rPr>
        <w:t>，2003.6.1；</w:t>
      </w:r>
    </w:p>
    <w:p w14:paraId="368EDDDD">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3.《产业结构调整指导目录(2024年本)》，2024.2.1；</w:t>
      </w:r>
    </w:p>
    <w:p w14:paraId="21E22853">
      <w:pPr>
        <w:pStyle w:val="220"/>
        <w:snapToGrid w:val="0"/>
        <w:ind w:firstLine="480" w:firstLineChars="200"/>
        <w:jc w:val="both"/>
        <w:rPr>
          <w:rFonts w:ascii="Times New Roman" w:hAnsi="Times New Roman" w:cs="Times New Roman"/>
        </w:rPr>
      </w:pPr>
      <w:r>
        <w:rPr>
          <w:rFonts w:ascii="Times New Roman" w:hAnsi="Times New Roman" w:cs="Times New Roman"/>
        </w:rPr>
        <w:t>4.《国家重点保护野生植物名录》</w:t>
      </w:r>
      <w:r>
        <w:rPr>
          <w:rFonts w:hint="eastAsia" w:ascii="Times New Roman" w:hAnsi="Times New Roman" w:cs="Times New Roman"/>
        </w:rPr>
        <w:t>，（</w:t>
      </w:r>
      <w:r>
        <w:rPr>
          <w:rFonts w:ascii="Times New Roman" w:hAnsi="Times New Roman" w:cs="Times New Roman"/>
        </w:rPr>
        <w:t>国家林业和草原局农业农村部公告2021年第15号</w:t>
      </w:r>
      <w:r>
        <w:rPr>
          <w:rFonts w:hint="eastAsia" w:ascii="Times New Roman" w:hAnsi="Times New Roman" w:cs="Times New Roman"/>
        </w:rPr>
        <w:t>）</w:t>
      </w:r>
      <w:r>
        <w:rPr>
          <w:rFonts w:ascii="Times New Roman" w:hAnsi="Times New Roman" w:cs="Times New Roman"/>
        </w:rPr>
        <w:t>，2021.9.7；</w:t>
      </w:r>
    </w:p>
    <w:p w14:paraId="7C31C51A">
      <w:pPr>
        <w:pStyle w:val="220"/>
        <w:snapToGrid w:val="0"/>
        <w:ind w:firstLine="480" w:firstLineChars="200"/>
        <w:jc w:val="both"/>
        <w:rPr>
          <w:rFonts w:ascii="Times New Roman" w:hAnsi="Times New Roman" w:cs="Times New Roman"/>
        </w:rPr>
      </w:pPr>
      <w:r>
        <w:rPr>
          <w:rFonts w:ascii="Times New Roman" w:hAnsi="Times New Roman" w:cs="Times New Roman"/>
        </w:rPr>
        <w:t>5.《国家重点保护野生动物名录》</w:t>
      </w:r>
      <w:r>
        <w:rPr>
          <w:rFonts w:hint="eastAsia" w:ascii="Times New Roman" w:hAnsi="Times New Roman" w:cs="Times New Roman"/>
        </w:rPr>
        <w:t>，（</w:t>
      </w:r>
      <w:r>
        <w:rPr>
          <w:rFonts w:ascii="Times New Roman" w:hAnsi="Times New Roman" w:cs="Times New Roman"/>
        </w:rPr>
        <w:t>国家林业和草原局农业农村部公告2021年第3号</w:t>
      </w:r>
      <w:r>
        <w:rPr>
          <w:rFonts w:hint="eastAsia" w:ascii="Times New Roman" w:hAnsi="Times New Roman" w:cs="Times New Roman"/>
        </w:rPr>
        <w:t>），</w:t>
      </w:r>
      <w:r>
        <w:rPr>
          <w:rFonts w:ascii="Times New Roman" w:hAnsi="Times New Roman" w:cs="Times New Roman"/>
        </w:rPr>
        <w:t>2021</w:t>
      </w:r>
      <w:r>
        <w:rPr>
          <w:rFonts w:hint="eastAsia" w:ascii="Times New Roman" w:hAnsi="Times New Roman" w:cs="Times New Roman"/>
        </w:rPr>
        <w:t>.</w:t>
      </w:r>
      <w:r>
        <w:rPr>
          <w:rFonts w:ascii="Times New Roman" w:hAnsi="Times New Roman" w:cs="Times New Roman"/>
        </w:rPr>
        <w:t>2.1；</w:t>
      </w:r>
    </w:p>
    <w:p w14:paraId="1C636531">
      <w:pPr>
        <w:pStyle w:val="220"/>
        <w:snapToGrid w:val="0"/>
        <w:ind w:firstLine="480" w:firstLineChars="200"/>
        <w:jc w:val="both"/>
        <w:rPr>
          <w:rFonts w:ascii="Times New Roman" w:hAnsi="Times New Roman" w:cs="Times New Roman"/>
        </w:rPr>
      </w:pPr>
      <w:r>
        <w:rPr>
          <w:rFonts w:ascii="Times New Roman" w:hAnsi="Times New Roman" w:cs="Times New Roman"/>
        </w:rPr>
        <w:t>6.《国务院办公厅关于加强环境监管执法的通知》（国办发[2014]56号），2014.11.12；</w:t>
      </w:r>
    </w:p>
    <w:p w14:paraId="2C2DCE43">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7.《关于生态环境领域进一步深化</w:t>
      </w:r>
      <w:r>
        <w:rPr>
          <w:rFonts w:hint="eastAsia" w:ascii="Times New Roman" w:hAnsi="Times New Roman" w:cs="Times New Roman"/>
        </w:rPr>
        <w:t>“</w:t>
      </w:r>
      <w:r>
        <w:rPr>
          <w:rFonts w:ascii="Times New Roman" w:hAnsi="Times New Roman" w:cs="Times New Roman"/>
        </w:rPr>
        <w:t>放管服</w:t>
      </w:r>
      <w:r>
        <w:rPr>
          <w:rFonts w:hint="eastAsia" w:ascii="Times New Roman" w:hAnsi="Times New Roman" w:cs="Times New Roman"/>
        </w:rPr>
        <w:t>”</w:t>
      </w:r>
      <w:r>
        <w:rPr>
          <w:rFonts w:ascii="Times New Roman" w:hAnsi="Times New Roman" w:cs="Times New Roman"/>
        </w:rPr>
        <w:t>改革，推动经济高质量发展的指导意见》，</w:t>
      </w:r>
      <w:r>
        <w:rPr>
          <w:rFonts w:hint="eastAsia" w:ascii="Times New Roman" w:hAnsi="Times New Roman" w:cs="Times New Roman"/>
        </w:rPr>
        <w:t>（</w:t>
      </w:r>
      <w:r>
        <w:rPr>
          <w:rFonts w:ascii="Times New Roman" w:hAnsi="Times New Roman" w:cs="Times New Roman"/>
        </w:rPr>
        <w:t>生态环境部环规财[2018]86号</w:t>
      </w:r>
      <w:r>
        <w:rPr>
          <w:rFonts w:hint="eastAsia" w:ascii="Times New Roman" w:hAnsi="Times New Roman" w:cs="Times New Roman"/>
        </w:rPr>
        <w:t>）</w:t>
      </w:r>
      <w:r>
        <w:rPr>
          <w:rFonts w:ascii="Times New Roman" w:hAnsi="Times New Roman" w:cs="Times New Roman"/>
        </w:rPr>
        <w:t>，2018.8.30</w:t>
      </w:r>
      <w:r>
        <w:rPr>
          <w:rFonts w:hint="eastAsia" w:ascii="Times New Roman" w:hAnsi="Times New Roman" w:cs="Times New Roman"/>
        </w:rPr>
        <w:t>；</w:t>
      </w:r>
    </w:p>
    <w:p w14:paraId="744EA26C">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8.《关于加强资源环境生态红线管控的指导意见》（发改环资[2016]1162号），2016.5.30；</w:t>
      </w:r>
    </w:p>
    <w:p w14:paraId="07BA1162">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9.《关于贯彻实施国家主体功能区环境政策的若干意见》（环发［2015］92号），2015.7.23；</w:t>
      </w:r>
    </w:p>
    <w:p w14:paraId="083991BB">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10.《建设项目使用林地审核审批管理办法》，</w:t>
      </w:r>
      <w:r>
        <w:rPr>
          <w:rFonts w:hint="eastAsia" w:ascii="Times New Roman" w:hAnsi="Times New Roman" w:cs="Times New Roman"/>
        </w:rPr>
        <w:t>（</w:t>
      </w:r>
      <w:r>
        <w:rPr>
          <w:rFonts w:ascii="Times New Roman" w:hAnsi="Times New Roman" w:cs="Times New Roman"/>
        </w:rPr>
        <w:t>国家林业局令第35号</w:t>
      </w:r>
      <w:r>
        <w:rPr>
          <w:rFonts w:hint="eastAsia" w:ascii="Times New Roman" w:hAnsi="Times New Roman" w:cs="Times New Roman"/>
        </w:rPr>
        <w:t>）</w:t>
      </w:r>
      <w:r>
        <w:rPr>
          <w:rFonts w:ascii="Times New Roman" w:hAnsi="Times New Roman" w:cs="Times New Roman"/>
        </w:rPr>
        <w:t>，2015.3.31。</w:t>
      </w:r>
    </w:p>
    <w:p w14:paraId="23985E18">
      <w:pPr>
        <w:pStyle w:val="4"/>
        <w:adjustRightInd w:val="0"/>
        <w:snapToGrid w:val="0"/>
        <w:spacing w:before="156" w:after="156" w:line="240" w:lineRule="auto"/>
        <w:rPr>
          <w:rFonts w:ascii="Times New Roman" w:hAnsi="Times New Roman" w:cs="Times New Roman"/>
          <w:sz w:val="30"/>
        </w:rPr>
      </w:pPr>
      <w:bookmarkStart w:id="89" w:name="_Toc98413481"/>
      <w:bookmarkStart w:id="90" w:name="_Toc98414163"/>
      <w:bookmarkStart w:id="91" w:name="_Toc34989527"/>
      <w:bookmarkStart w:id="92" w:name="_Toc57826693"/>
      <w:r>
        <w:rPr>
          <w:rFonts w:ascii="Times New Roman" w:hAnsi="Times New Roman" w:cs="Times New Roman"/>
          <w:sz w:val="30"/>
        </w:rPr>
        <w:t>2.1.4地方部门规章及规范性文件</w:t>
      </w:r>
      <w:bookmarkEnd w:id="89"/>
      <w:bookmarkEnd w:id="90"/>
      <w:bookmarkEnd w:id="91"/>
      <w:bookmarkEnd w:id="92"/>
    </w:p>
    <w:p w14:paraId="275E8A2C">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1.《新疆维吾尔自治区环境保护条例》</w:t>
      </w:r>
      <w:r>
        <w:rPr>
          <w:rFonts w:hint="eastAsia" w:ascii="Times New Roman" w:hAnsi="Times New Roman" w:cs="Times New Roman"/>
        </w:rPr>
        <w:t>，</w:t>
      </w:r>
      <w:r>
        <w:rPr>
          <w:rFonts w:ascii="Times New Roman" w:hAnsi="Times New Roman" w:cs="Times New Roman"/>
        </w:rPr>
        <w:t>2018</w:t>
      </w:r>
      <w:r>
        <w:rPr>
          <w:rFonts w:hint="eastAsia" w:ascii="Times New Roman" w:hAnsi="Times New Roman" w:cs="Times New Roman"/>
        </w:rPr>
        <w:t>.</w:t>
      </w:r>
      <w:r>
        <w:rPr>
          <w:rFonts w:ascii="Times New Roman" w:hAnsi="Times New Roman" w:cs="Times New Roman"/>
        </w:rPr>
        <w:t>9</w:t>
      </w:r>
      <w:r>
        <w:rPr>
          <w:rFonts w:hint="eastAsia" w:ascii="Times New Roman" w:hAnsi="Times New Roman" w:cs="Times New Roman"/>
        </w:rPr>
        <w:t>.</w:t>
      </w:r>
      <w:r>
        <w:rPr>
          <w:rFonts w:ascii="Times New Roman" w:hAnsi="Times New Roman" w:cs="Times New Roman"/>
        </w:rPr>
        <w:t>21；</w:t>
      </w:r>
    </w:p>
    <w:p w14:paraId="70E79073">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2. 《新疆维吾尔自治区大气污染防治条例》（新疆十三届人民代表大会常务委员会第七次会议通过），2019.1.1；</w:t>
      </w:r>
    </w:p>
    <w:p w14:paraId="7E9D7D24">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3.《关于印发新疆维吾尔自治区水污染防治工作方案的通知》（新政发[2016]21号）；</w:t>
      </w:r>
    </w:p>
    <w:p w14:paraId="7AD6C789">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4.《关于印发新疆维吾尔自治区土壤污染防治工作方案的通知》（新政发[2017]25号）；</w:t>
      </w:r>
    </w:p>
    <w:p w14:paraId="1CB1BD8B">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5.《新疆维吾尔自治区野生植物保护条例》，2018.9.21；</w:t>
      </w:r>
    </w:p>
    <w:p w14:paraId="69C15130">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6.</w:t>
      </w:r>
      <w:r>
        <w:rPr>
          <w:rFonts w:ascii="Times New Roman" w:hAnsi="Times New Roman" w:cs="Times New Roman"/>
          <w:spacing w:val="-4"/>
        </w:rPr>
        <w:t>《新疆维吾尔自治区实施</w:t>
      </w:r>
      <w:r>
        <w:rPr>
          <w:rFonts w:ascii="Times New Roman" w:hAnsi="Times New Roman" w:eastAsia="等线" w:cs="Times New Roman"/>
          <w:spacing w:val="-4"/>
        </w:rPr>
        <w:t>〈</w:t>
      </w:r>
      <w:r>
        <w:rPr>
          <w:rFonts w:ascii="Times New Roman" w:hAnsi="Times New Roman" w:cs="Times New Roman"/>
          <w:spacing w:val="-4"/>
        </w:rPr>
        <w:t>中华人民共和国森林法〉办法》</w:t>
      </w:r>
      <w:r>
        <w:rPr>
          <w:rFonts w:hint="eastAsia" w:ascii="Times New Roman" w:hAnsi="Times New Roman" w:cs="Times New Roman"/>
        </w:rPr>
        <w:t>，</w:t>
      </w:r>
      <w:r>
        <w:rPr>
          <w:rFonts w:ascii="Times New Roman" w:hAnsi="Times New Roman" w:cs="Times New Roman"/>
        </w:rPr>
        <w:t>2018.9.21；</w:t>
      </w:r>
    </w:p>
    <w:p w14:paraId="38549A85">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7.《新疆生态功能区划》，新疆维吾尔自治区环境保护厅，2005.7.14；</w:t>
      </w:r>
    </w:p>
    <w:p w14:paraId="20B8B25D">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8.《新疆水环境功能区划》，新疆维吾尔自治区环境保护厅，2003.10；</w:t>
      </w:r>
    </w:p>
    <w:p w14:paraId="689F6FA7">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9.《关于印发新疆自治区级水土流失重点预防区和重点治理区复核划分成果的通知》（新水水保〔2019〕4号）；</w:t>
      </w:r>
    </w:p>
    <w:p w14:paraId="478B39A7">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10.</w:t>
      </w:r>
      <w:r>
        <w:rPr>
          <w:rFonts w:hint="eastAsia"/>
        </w:rPr>
        <w:t xml:space="preserve"> </w:t>
      </w:r>
      <w:r>
        <w:rPr>
          <w:rFonts w:hint="eastAsia" w:ascii="Times New Roman" w:hAnsi="Times New Roman" w:cs="Times New Roman"/>
        </w:rPr>
        <w:t>兵团党委兵团印发《关于全面加强生态环境保护坚决打好污染防治攻坚战实施方案》的通知，</w:t>
      </w:r>
      <w:r>
        <w:rPr>
          <w:rFonts w:ascii="Times New Roman" w:hAnsi="Times New Roman" w:cs="Times New Roman"/>
        </w:rPr>
        <w:t>2018.10.25；</w:t>
      </w:r>
    </w:p>
    <w:p w14:paraId="432F894B">
      <w:pPr>
        <w:pStyle w:val="220"/>
        <w:jc w:val="both"/>
        <w:rPr>
          <w:rFonts w:ascii="Times New Roman" w:hAnsi="Times New Roman" w:cs="Times New Roman"/>
        </w:rPr>
      </w:pPr>
      <w:r>
        <w:rPr>
          <w:rFonts w:ascii="Times New Roman" w:hAnsi="Times New Roman" w:cs="Times New Roman"/>
        </w:rPr>
        <w:t>11.《新疆生产建设兵团关于进一步加强大气污染防治工作的实施意见》（新兵发〔2017〕8号）；</w:t>
      </w:r>
    </w:p>
    <w:p w14:paraId="11B2E2FB">
      <w:pPr>
        <w:pStyle w:val="220"/>
        <w:jc w:val="both"/>
        <w:rPr>
          <w:rFonts w:ascii="Times New Roman" w:hAnsi="Times New Roman" w:cs="Times New Roman"/>
        </w:rPr>
      </w:pPr>
      <w:r>
        <w:rPr>
          <w:rFonts w:ascii="Times New Roman" w:hAnsi="Times New Roman" w:cs="Times New Roman"/>
        </w:rPr>
        <w:t>12.《</w:t>
      </w:r>
      <w:r>
        <w:rPr>
          <w:rFonts w:hint="eastAsia" w:ascii="Times New Roman" w:hAnsi="Times New Roman" w:cs="Times New Roman"/>
        </w:rPr>
        <w:t>关于</w:t>
      </w:r>
      <w:r>
        <w:rPr>
          <w:rFonts w:ascii="Times New Roman" w:hAnsi="Times New Roman" w:cs="Times New Roman"/>
        </w:rPr>
        <w:t>印发</w:t>
      </w:r>
      <w:r>
        <w:rPr>
          <w:rFonts w:ascii="Times New Roman" w:hAnsi="Times New Roman" w:eastAsia="等线" w:cs="Times New Roman"/>
        </w:rPr>
        <w:t>〈</w:t>
      </w:r>
      <w:r>
        <w:rPr>
          <w:rFonts w:ascii="Times New Roman" w:hAnsi="Times New Roman" w:cs="Times New Roman"/>
        </w:rPr>
        <w:t>新疆生产建设兵团水污染防治工作方案</w:t>
      </w:r>
      <w:r>
        <w:rPr>
          <w:rFonts w:ascii="Times New Roman" w:hAnsi="Times New Roman" w:eastAsia="等线" w:cs="Times New Roman"/>
        </w:rPr>
        <w:t>〉</w:t>
      </w:r>
      <w:r>
        <w:rPr>
          <w:rFonts w:ascii="Times New Roman" w:hAnsi="Times New Roman" w:cs="Times New Roman"/>
        </w:rPr>
        <w:t>的通知》（新兵发〔2016〕39号），2016.8.3；</w:t>
      </w:r>
    </w:p>
    <w:p w14:paraId="16BA7DC5">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13.</w:t>
      </w:r>
      <w:r>
        <w:rPr>
          <w:rFonts w:ascii="Times New Roman" w:hAnsi="Times New Roman" w:cs="Times New Roman"/>
          <w:szCs w:val="22"/>
        </w:rPr>
        <w:t>《</w:t>
      </w:r>
      <w:r>
        <w:rPr>
          <w:rFonts w:ascii="Times New Roman" w:hAnsi="Times New Roman" w:cs="Times New Roman"/>
        </w:rPr>
        <w:t>关于印发</w:t>
      </w:r>
      <w:r>
        <w:rPr>
          <w:rFonts w:ascii="Times New Roman" w:hAnsi="Times New Roman" w:eastAsia="等线" w:cs="Times New Roman"/>
        </w:rPr>
        <w:t>〈</w:t>
      </w:r>
      <w:r>
        <w:rPr>
          <w:rFonts w:ascii="Times New Roman" w:hAnsi="Times New Roman" w:cs="Times New Roman"/>
        </w:rPr>
        <w:t>新疆生产建设兵团土壤污染防治工作方案</w:t>
      </w:r>
      <w:r>
        <w:rPr>
          <w:rFonts w:ascii="Times New Roman" w:hAnsi="Times New Roman" w:eastAsia="等线" w:cs="Times New Roman"/>
        </w:rPr>
        <w:t>〉</w:t>
      </w:r>
      <w:r>
        <w:rPr>
          <w:rFonts w:ascii="Times New Roman" w:hAnsi="Times New Roman" w:cs="Times New Roman"/>
        </w:rPr>
        <w:t>的通知》（新兵发〔2017〕9号）；</w:t>
      </w:r>
    </w:p>
    <w:p w14:paraId="0B77A618">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14.《新疆维吾尔自治区</w:t>
      </w:r>
      <w:r>
        <w:rPr>
          <w:rFonts w:hint="eastAsia" w:ascii="Times New Roman" w:hAnsi="Times New Roman" w:cs="Times New Roman"/>
        </w:rPr>
        <w:t>“</w:t>
      </w:r>
      <w:r>
        <w:rPr>
          <w:rFonts w:ascii="Times New Roman" w:hAnsi="Times New Roman" w:cs="Times New Roman"/>
        </w:rPr>
        <w:t>三线一单</w:t>
      </w:r>
      <w:r>
        <w:rPr>
          <w:rFonts w:hint="eastAsia" w:ascii="Times New Roman" w:hAnsi="Times New Roman" w:cs="Times New Roman"/>
        </w:rPr>
        <w:t>”</w:t>
      </w:r>
      <w:r>
        <w:rPr>
          <w:rFonts w:ascii="Times New Roman" w:hAnsi="Times New Roman" w:cs="Times New Roman"/>
        </w:rPr>
        <w:t>生态环境分区管控方案》（新政发[2021]18号），2021.2.21；</w:t>
      </w:r>
    </w:p>
    <w:p w14:paraId="082B8AB0">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15.《新疆生产建设兵团</w:t>
      </w:r>
      <w:r>
        <w:rPr>
          <w:rFonts w:hint="eastAsia" w:ascii="Times New Roman" w:hAnsi="Times New Roman" w:cs="Times New Roman"/>
        </w:rPr>
        <w:t>“</w:t>
      </w:r>
      <w:r>
        <w:rPr>
          <w:rFonts w:ascii="Times New Roman" w:hAnsi="Times New Roman" w:cs="Times New Roman"/>
        </w:rPr>
        <w:t>三线一单</w:t>
      </w:r>
      <w:r>
        <w:rPr>
          <w:rFonts w:hint="eastAsia" w:ascii="Times New Roman" w:hAnsi="Times New Roman" w:cs="Times New Roman"/>
        </w:rPr>
        <w:t>”</w:t>
      </w:r>
      <w:r>
        <w:rPr>
          <w:rFonts w:ascii="Times New Roman" w:hAnsi="Times New Roman" w:cs="Times New Roman"/>
        </w:rPr>
        <w:t>生态环境分区管控方案》（新兵发[2021]16号），2021.4.44；</w:t>
      </w:r>
    </w:p>
    <w:p w14:paraId="09743C9C">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16.</w:t>
      </w:r>
      <w:r>
        <w:rPr>
          <w:rFonts w:hint="eastAsia"/>
        </w:rPr>
        <w:t xml:space="preserve"> </w:t>
      </w:r>
      <w:r>
        <w:rPr>
          <w:rFonts w:hint="eastAsia" w:ascii="Times New Roman" w:hAnsi="Times New Roman" w:cs="Times New Roman"/>
        </w:rPr>
        <w:t>《关于印发</w:t>
      </w:r>
      <w:r>
        <w:rPr>
          <w:rFonts w:ascii="Times New Roman" w:hAnsi="Times New Roman" w:cs="Times New Roman"/>
        </w:rPr>
        <w:t>&lt;第三师图木舒克市“三线一单”生态环境分区管控方案&gt;的通知》（师发[2021]44号）；</w:t>
      </w:r>
    </w:p>
    <w:p w14:paraId="4B45E8C4">
      <w:pPr>
        <w:tabs>
          <w:tab w:val="left" w:pos="1134"/>
        </w:tabs>
        <w:autoSpaceDE w:val="0"/>
        <w:autoSpaceDN w:val="0"/>
        <w:spacing w:line="360" w:lineRule="auto"/>
        <w:ind w:firstLine="464" w:firstLineChars="200"/>
        <w:jc w:val="both"/>
        <w:rPr>
          <w:rFonts w:ascii="Times New Roman" w:hAnsi="Times New Roman" w:cs="Times New Roman"/>
          <w:spacing w:val="-4"/>
          <w:szCs w:val="28"/>
        </w:rPr>
      </w:pPr>
      <w:r>
        <w:rPr>
          <w:rFonts w:ascii="Times New Roman" w:hAnsi="Times New Roman" w:cs="Times New Roman"/>
          <w:spacing w:val="-4"/>
          <w:szCs w:val="28"/>
        </w:rPr>
        <w:t>17.《关于发布新疆维吾尔自治区重点保护野生植物名录的通知》(新政发[2023]63号)；</w:t>
      </w:r>
    </w:p>
    <w:p w14:paraId="53FF749A">
      <w:pPr>
        <w:tabs>
          <w:tab w:val="left" w:pos="1134"/>
        </w:tabs>
        <w:autoSpaceDE w:val="0"/>
        <w:autoSpaceDN w:val="0"/>
        <w:spacing w:line="360" w:lineRule="auto"/>
        <w:ind w:firstLine="480" w:firstLineChars="200"/>
        <w:jc w:val="both"/>
        <w:rPr>
          <w:rFonts w:ascii="Times New Roman" w:hAnsi="Times New Roman" w:cs="Times New Roman"/>
        </w:rPr>
      </w:pPr>
      <w:r>
        <w:rPr>
          <w:rFonts w:ascii="Times New Roman" w:hAnsi="Times New Roman" w:cs="Times New Roman"/>
        </w:rPr>
        <w:t>18.《关于发布新疆维吾尔自治区重点保护野生动物名录（修订）的通知》（新政发〔2022〕75号）。</w:t>
      </w:r>
    </w:p>
    <w:p w14:paraId="0A292A24">
      <w:pPr>
        <w:pStyle w:val="4"/>
        <w:adjustRightInd w:val="0"/>
        <w:snapToGrid w:val="0"/>
        <w:spacing w:before="156" w:after="156" w:line="240" w:lineRule="auto"/>
        <w:rPr>
          <w:rFonts w:ascii="Times New Roman" w:hAnsi="Times New Roman" w:cs="Times New Roman"/>
        </w:rPr>
      </w:pPr>
      <w:bookmarkStart w:id="93" w:name="_Toc34989528"/>
      <w:bookmarkStart w:id="94" w:name="_Toc98414164"/>
      <w:bookmarkStart w:id="95" w:name="_Toc97464587"/>
      <w:bookmarkStart w:id="96" w:name="_Toc98413482"/>
      <w:bookmarkStart w:id="97" w:name="_Toc57826694"/>
      <w:r>
        <w:rPr>
          <w:rFonts w:ascii="Times New Roman" w:hAnsi="Times New Roman" w:cs="Times New Roman"/>
        </w:rPr>
        <w:t>2.1.5技术导则及规范</w:t>
      </w:r>
      <w:bookmarkEnd w:id="93"/>
      <w:bookmarkEnd w:id="94"/>
      <w:bookmarkEnd w:id="95"/>
      <w:bookmarkEnd w:id="96"/>
      <w:bookmarkEnd w:id="97"/>
    </w:p>
    <w:p w14:paraId="684253A9">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1.《建设项目环境影响评价技术导则</w:t>
      </w:r>
      <w:r>
        <w:rPr>
          <w:rFonts w:hint="eastAsia" w:ascii="Times New Roman" w:hAnsi="Times New Roman" w:cs="Times New Roman"/>
        </w:rPr>
        <w:t xml:space="preserve"> </w:t>
      </w:r>
      <w:r>
        <w:rPr>
          <w:rFonts w:ascii="Times New Roman" w:hAnsi="Times New Roman" w:cs="Times New Roman"/>
        </w:rPr>
        <w:t>总纲》</w:t>
      </w:r>
      <w:r>
        <w:rPr>
          <w:rFonts w:hint="eastAsia" w:ascii="Times New Roman" w:hAnsi="Times New Roman" w:cs="Times New Roman"/>
        </w:rPr>
        <w:t>（</w:t>
      </w:r>
      <w:r>
        <w:rPr>
          <w:rFonts w:ascii="Times New Roman" w:hAnsi="Times New Roman" w:cs="Times New Roman"/>
        </w:rPr>
        <w:t>HJ2.1-2016</w:t>
      </w:r>
      <w:r>
        <w:rPr>
          <w:rFonts w:hint="eastAsia" w:ascii="Times New Roman" w:hAnsi="Times New Roman" w:cs="Times New Roman"/>
        </w:rPr>
        <w:t>）</w:t>
      </w:r>
      <w:r>
        <w:rPr>
          <w:rFonts w:ascii="Times New Roman" w:hAnsi="Times New Roman" w:cs="Times New Roman"/>
        </w:rPr>
        <w:t>；</w:t>
      </w:r>
    </w:p>
    <w:p w14:paraId="53905728">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2.《环境影响评价技术导则</w:t>
      </w:r>
      <w:r>
        <w:rPr>
          <w:rFonts w:hint="eastAsia" w:ascii="Times New Roman" w:hAnsi="Times New Roman" w:cs="Times New Roman"/>
        </w:rPr>
        <w:t xml:space="preserve"> </w:t>
      </w:r>
      <w:r>
        <w:rPr>
          <w:rFonts w:ascii="Times New Roman" w:hAnsi="Times New Roman" w:cs="Times New Roman"/>
        </w:rPr>
        <w:t>大气环境》</w:t>
      </w:r>
      <w:r>
        <w:rPr>
          <w:rFonts w:hint="eastAsia" w:ascii="Times New Roman" w:hAnsi="Times New Roman" w:cs="Times New Roman"/>
        </w:rPr>
        <w:t>（</w:t>
      </w:r>
      <w:r>
        <w:rPr>
          <w:rFonts w:ascii="Times New Roman" w:hAnsi="Times New Roman" w:cs="Times New Roman"/>
        </w:rPr>
        <w:t>HJ2.2-2018</w:t>
      </w:r>
      <w:r>
        <w:rPr>
          <w:rFonts w:hint="eastAsia" w:ascii="Times New Roman" w:hAnsi="Times New Roman" w:cs="Times New Roman"/>
        </w:rPr>
        <w:t>）</w:t>
      </w:r>
      <w:r>
        <w:rPr>
          <w:rFonts w:ascii="Times New Roman" w:hAnsi="Times New Roman" w:cs="Times New Roman"/>
        </w:rPr>
        <w:t>；</w:t>
      </w:r>
    </w:p>
    <w:p w14:paraId="636C6E6C">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3.《环境影响评价技术导则</w:t>
      </w:r>
      <w:r>
        <w:rPr>
          <w:rFonts w:hint="eastAsia" w:ascii="Times New Roman" w:hAnsi="Times New Roman" w:cs="Times New Roman"/>
        </w:rPr>
        <w:t xml:space="preserve"> </w:t>
      </w:r>
      <w:r>
        <w:rPr>
          <w:rFonts w:ascii="Times New Roman" w:hAnsi="Times New Roman" w:cs="Times New Roman"/>
        </w:rPr>
        <w:t>地表水环境》</w:t>
      </w:r>
      <w:r>
        <w:rPr>
          <w:rFonts w:hint="eastAsia" w:ascii="Times New Roman" w:hAnsi="Times New Roman" w:cs="Times New Roman"/>
        </w:rPr>
        <w:t>（</w:t>
      </w:r>
      <w:r>
        <w:rPr>
          <w:rFonts w:ascii="Times New Roman" w:hAnsi="Times New Roman" w:cs="Times New Roman"/>
        </w:rPr>
        <w:t>HJ2.3-2018</w:t>
      </w:r>
      <w:r>
        <w:rPr>
          <w:rFonts w:hint="eastAsia" w:ascii="Times New Roman" w:hAnsi="Times New Roman" w:cs="Times New Roman"/>
        </w:rPr>
        <w:t>）</w:t>
      </w:r>
      <w:r>
        <w:rPr>
          <w:rFonts w:ascii="Times New Roman" w:hAnsi="Times New Roman" w:cs="Times New Roman"/>
        </w:rPr>
        <w:t>；</w:t>
      </w:r>
    </w:p>
    <w:p w14:paraId="51D51DB8">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4.《环境影响评价技术导则</w:t>
      </w:r>
      <w:r>
        <w:rPr>
          <w:rFonts w:hint="eastAsia" w:ascii="Times New Roman" w:hAnsi="Times New Roman" w:cs="Times New Roman"/>
        </w:rPr>
        <w:t xml:space="preserve"> </w:t>
      </w:r>
      <w:r>
        <w:rPr>
          <w:rFonts w:ascii="Times New Roman" w:hAnsi="Times New Roman" w:cs="Times New Roman"/>
        </w:rPr>
        <w:t>地下水环境》</w:t>
      </w:r>
      <w:r>
        <w:rPr>
          <w:rFonts w:hint="eastAsia" w:ascii="Times New Roman" w:hAnsi="Times New Roman" w:cs="Times New Roman"/>
        </w:rPr>
        <w:t>（</w:t>
      </w:r>
      <w:r>
        <w:rPr>
          <w:rFonts w:ascii="Times New Roman" w:hAnsi="Times New Roman" w:cs="Times New Roman"/>
        </w:rPr>
        <w:t>HJ610-2016</w:t>
      </w:r>
      <w:r>
        <w:rPr>
          <w:rFonts w:hint="eastAsia" w:ascii="Times New Roman" w:hAnsi="Times New Roman" w:cs="Times New Roman"/>
        </w:rPr>
        <w:t>）</w:t>
      </w:r>
      <w:r>
        <w:rPr>
          <w:rFonts w:ascii="Times New Roman" w:hAnsi="Times New Roman" w:cs="Times New Roman"/>
        </w:rPr>
        <w:t>；</w:t>
      </w:r>
    </w:p>
    <w:p w14:paraId="77E1F8AD">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5.《环境影响评价技术导则</w:t>
      </w:r>
      <w:r>
        <w:rPr>
          <w:rFonts w:hint="eastAsia" w:ascii="Times New Roman" w:hAnsi="Times New Roman" w:cs="Times New Roman"/>
        </w:rPr>
        <w:t xml:space="preserve"> </w:t>
      </w:r>
      <w:r>
        <w:rPr>
          <w:rFonts w:ascii="Times New Roman" w:hAnsi="Times New Roman" w:cs="Times New Roman"/>
        </w:rPr>
        <w:t>声环境》</w:t>
      </w:r>
      <w:r>
        <w:rPr>
          <w:rFonts w:hint="eastAsia" w:ascii="Times New Roman" w:hAnsi="Times New Roman" w:cs="Times New Roman"/>
        </w:rPr>
        <w:t>（</w:t>
      </w:r>
      <w:r>
        <w:rPr>
          <w:rFonts w:ascii="Times New Roman" w:hAnsi="Times New Roman" w:cs="Times New Roman"/>
        </w:rPr>
        <w:t>HJ2.5-2021</w:t>
      </w:r>
      <w:r>
        <w:rPr>
          <w:rFonts w:hint="eastAsia" w:ascii="Times New Roman" w:hAnsi="Times New Roman" w:cs="Times New Roman"/>
        </w:rPr>
        <w:t>）</w:t>
      </w:r>
      <w:r>
        <w:rPr>
          <w:rFonts w:ascii="Times New Roman" w:hAnsi="Times New Roman" w:cs="Times New Roman"/>
        </w:rPr>
        <w:t>；</w:t>
      </w:r>
    </w:p>
    <w:p w14:paraId="330E0713">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6.《环境影响评价技术导则</w:t>
      </w:r>
      <w:r>
        <w:rPr>
          <w:rFonts w:hint="eastAsia" w:ascii="Times New Roman" w:hAnsi="Times New Roman" w:cs="Times New Roman"/>
        </w:rPr>
        <w:t xml:space="preserve"> </w:t>
      </w:r>
      <w:r>
        <w:rPr>
          <w:rFonts w:ascii="Times New Roman" w:hAnsi="Times New Roman" w:cs="Times New Roman"/>
        </w:rPr>
        <w:t>生态影响》</w:t>
      </w:r>
      <w:r>
        <w:rPr>
          <w:rFonts w:hint="eastAsia" w:ascii="Times New Roman" w:hAnsi="Times New Roman" w:cs="Times New Roman"/>
        </w:rPr>
        <w:t>（</w:t>
      </w:r>
      <w:r>
        <w:rPr>
          <w:rFonts w:ascii="Times New Roman" w:hAnsi="Times New Roman" w:cs="Times New Roman"/>
        </w:rPr>
        <w:t>HJ19-2022</w:t>
      </w:r>
      <w:r>
        <w:rPr>
          <w:rFonts w:hint="eastAsia" w:ascii="Times New Roman" w:hAnsi="Times New Roman" w:cs="Times New Roman"/>
        </w:rPr>
        <w:t>）</w:t>
      </w:r>
      <w:r>
        <w:rPr>
          <w:rFonts w:ascii="Times New Roman" w:hAnsi="Times New Roman" w:cs="Times New Roman"/>
        </w:rPr>
        <w:t>；</w:t>
      </w:r>
    </w:p>
    <w:p w14:paraId="3C32320E">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7.《建设项目环境风险评价技术导则》</w:t>
      </w:r>
      <w:r>
        <w:rPr>
          <w:rFonts w:hint="eastAsia" w:ascii="Times New Roman" w:hAnsi="Times New Roman" w:cs="Times New Roman"/>
        </w:rPr>
        <w:t>（</w:t>
      </w:r>
      <w:r>
        <w:rPr>
          <w:rFonts w:ascii="Times New Roman" w:hAnsi="Times New Roman" w:cs="Times New Roman"/>
        </w:rPr>
        <w:t>HJ169-2018</w:t>
      </w:r>
      <w:r>
        <w:rPr>
          <w:rFonts w:hint="eastAsia" w:ascii="Times New Roman" w:hAnsi="Times New Roman" w:cs="Times New Roman"/>
        </w:rPr>
        <w:t>）</w:t>
      </w:r>
      <w:r>
        <w:rPr>
          <w:rFonts w:ascii="Times New Roman" w:hAnsi="Times New Roman" w:cs="Times New Roman"/>
        </w:rPr>
        <w:t>；</w:t>
      </w:r>
    </w:p>
    <w:p w14:paraId="6CB707DE">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8.《环境影响评价技术导则</w:t>
      </w:r>
      <w:r>
        <w:rPr>
          <w:rFonts w:hint="eastAsia" w:ascii="Times New Roman" w:hAnsi="Times New Roman" w:cs="Times New Roman"/>
        </w:rPr>
        <w:t xml:space="preserve"> </w:t>
      </w:r>
      <w:r>
        <w:rPr>
          <w:rFonts w:ascii="Times New Roman" w:hAnsi="Times New Roman" w:cs="Times New Roman"/>
        </w:rPr>
        <w:t>土壤环境（试行）》</w:t>
      </w:r>
      <w:r>
        <w:rPr>
          <w:rFonts w:hint="eastAsia" w:ascii="Times New Roman" w:hAnsi="Times New Roman" w:cs="Times New Roman"/>
        </w:rPr>
        <w:t>（</w:t>
      </w:r>
      <w:r>
        <w:rPr>
          <w:rFonts w:ascii="Times New Roman" w:hAnsi="Times New Roman" w:cs="Times New Roman"/>
        </w:rPr>
        <w:t>HJ964-2018</w:t>
      </w:r>
      <w:r>
        <w:rPr>
          <w:rFonts w:hint="eastAsia" w:ascii="Times New Roman" w:hAnsi="Times New Roman" w:cs="Times New Roman"/>
        </w:rPr>
        <w:t>）</w:t>
      </w:r>
      <w:r>
        <w:rPr>
          <w:rFonts w:ascii="Times New Roman" w:hAnsi="Times New Roman" w:cs="Times New Roman"/>
        </w:rPr>
        <w:t>；</w:t>
      </w:r>
    </w:p>
    <w:p w14:paraId="44B5C61C">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9.《环境影响评价技术导则</w:t>
      </w:r>
      <w:r>
        <w:rPr>
          <w:rFonts w:hint="eastAsia" w:ascii="Times New Roman" w:hAnsi="Times New Roman" w:cs="Times New Roman"/>
        </w:rPr>
        <w:t xml:space="preserve"> </w:t>
      </w:r>
      <w:r>
        <w:rPr>
          <w:rFonts w:ascii="Times New Roman" w:hAnsi="Times New Roman" w:cs="Times New Roman"/>
        </w:rPr>
        <w:t>公路建设项目》</w:t>
      </w:r>
      <w:r>
        <w:rPr>
          <w:rFonts w:hint="eastAsia" w:ascii="Times New Roman" w:hAnsi="Times New Roman" w:cs="Times New Roman"/>
        </w:rPr>
        <w:t>（</w:t>
      </w:r>
      <w:r>
        <w:rPr>
          <w:rFonts w:ascii="Times New Roman" w:hAnsi="Times New Roman" w:cs="Times New Roman"/>
        </w:rPr>
        <w:t>HJ1358-2024</w:t>
      </w:r>
      <w:r>
        <w:rPr>
          <w:rFonts w:hint="eastAsia" w:ascii="Times New Roman" w:hAnsi="Times New Roman" w:cs="Times New Roman"/>
        </w:rPr>
        <w:t>）</w:t>
      </w:r>
      <w:r>
        <w:rPr>
          <w:rFonts w:ascii="Times New Roman" w:hAnsi="Times New Roman" w:cs="Times New Roman"/>
        </w:rPr>
        <w:t>；</w:t>
      </w:r>
    </w:p>
    <w:p w14:paraId="0C7E00C2">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10.《生产建设项目水土保持技术标准》</w:t>
      </w:r>
      <w:r>
        <w:rPr>
          <w:rFonts w:hint="eastAsia" w:ascii="Times New Roman" w:hAnsi="Times New Roman" w:cs="Times New Roman"/>
        </w:rPr>
        <w:t>（</w:t>
      </w:r>
      <w:r>
        <w:rPr>
          <w:rFonts w:ascii="Times New Roman" w:hAnsi="Times New Roman" w:cs="Times New Roman"/>
        </w:rPr>
        <w:t>GB50433-2018</w:t>
      </w:r>
      <w:r>
        <w:rPr>
          <w:rFonts w:hint="eastAsia" w:ascii="Times New Roman" w:hAnsi="Times New Roman" w:cs="Times New Roman"/>
        </w:rPr>
        <w:t>）;</w:t>
      </w:r>
    </w:p>
    <w:p w14:paraId="58EFCB1F">
      <w:pPr>
        <w:pStyle w:val="446"/>
        <w:spacing w:line="360" w:lineRule="auto"/>
        <w:jc w:val="both"/>
        <w:rPr>
          <w:rFonts w:ascii="Times New Roman" w:hAnsi="Times New Roman" w:cs="Times New Roman"/>
        </w:rPr>
      </w:pPr>
      <w:r>
        <w:rPr>
          <w:rFonts w:ascii="Times New Roman" w:hAnsi="Times New Roman" w:cs="Times New Roman"/>
        </w:rPr>
        <w:t>11.《建设项目竣工环境保护验收技术规范 公路》</w:t>
      </w:r>
      <w:r>
        <w:rPr>
          <w:rFonts w:hint="eastAsia" w:ascii="Times New Roman" w:hAnsi="Times New Roman" w:cs="Times New Roman"/>
        </w:rPr>
        <w:t>（</w:t>
      </w:r>
      <w:r>
        <w:rPr>
          <w:rFonts w:ascii="Times New Roman" w:hAnsi="Times New Roman" w:cs="Times New Roman"/>
        </w:rPr>
        <w:t>HJ552-2010</w:t>
      </w:r>
      <w:r>
        <w:rPr>
          <w:rFonts w:hint="eastAsia" w:ascii="Times New Roman" w:hAnsi="Times New Roman" w:cs="Times New Roman"/>
        </w:rPr>
        <w:t>）</w:t>
      </w:r>
      <w:r>
        <w:rPr>
          <w:rFonts w:ascii="Times New Roman" w:hAnsi="Times New Roman" w:cs="Times New Roman"/>
        </w:rPr>
        <w:t>。</w:t>
      </w:r>
    </w:p>
    <w:p w14:paraId="02504A65">
      <w:pPr>
        <w:pStyle w:val="4"/>
        <w:adjustRightInd w:val="0"/>
        <w:snapToGrid w:val="0"/>
        <w:spacing w:before="156" w:after="156" w:line="240" w:lineRule="auto"/>
        <w:jc w:val="both"/>
        <w:rPr>
          <w:rFonts w:ascii="Times New Roman" w:hAnsi="Times New Roman" w:cs="Times New Roman"/>
          <w:sz w:val="30"/>
        </w:rPr>
      </w:pPr>
      <w:bookmarkStart w:id="98" w:name="_Toc97464596"/>
      <w:bookmarkStart w:id="99" w:name="_Toc98413491"/>
      <w:bookmarkStart w:id="100" w:name="_Toc98414173"/>
      <w:bookmarkStart w:id="101" w:name="_Toc34989537"/>
      <w:bookmarkStart w:id="102" w:name="_Toc57826703"/>
      <w:bookmarkStart w:id="103" w:name="_Toc34989529"/>
      <w:bookmarkStart w:id="104" w:name="_Toc57826695"/>
      <w:bookmarkStart w:id="105" w:name="_Toc98414165"/>
      <w:bookmarkStart w:id="106" w:name="_Toc98413483"/>
      <w:bookmarkStart w:id="107" w:name="_Toc97464588"/>
      <w:r>
        <w:rPr>
          <w:rFonts w:ascii="Times New Roman" w:hAnsi="Times New Roman" w:cs="Times New Roman"/>
          <w:sz w:val="30"/>
        </w:rPr>
        <w:t>2.1.6相关规划</w:t>
      </w:r>
      <w:bookmarkEnd w:id="98"/>
      <w:bookmarkEnd w:id="99"/>
      <w:bookmarkEnd w:id="100"/>
      <w:bookmarkEnd w:id="101"/>
      <w:bookmarkEnd w:id="102"/>
    </w:p>
    <w:p w14:paraId="5D42A7E8">
      <w:pPr>
        <w:spacing w:line="360" w:lineRule="auto"/>
        <w:ind w:firstLine="480"/>
        <w:jc w:val="both"/>
        <w:rPr>
          <w:rFonts w:ascii="Times New Roman" w:hAnsi="Times New Roman" w:cs="Times New Roman"/>
        </w:rPr>
      </w:pPr>
      <w:r>
        <w:rPr>
          <w:rFonts w:ascii="Times New Roman" w:hAnsi="Times New Roman" w:cs="Times New Roman"/>
        </w:rPr>
        <w:t>1、《新疆维吾尔自治区公路网规划（2021-2050年）》</w:t>
      </w:r>
      <w:r>
        <w:rPr>
          <w:rFonts w:hint="eastAsia" w:ascii="Times New Roman" w:hAnsi="Times New Roman" w:cs="Times New Roman"/>
        </w:rPr>
        <w:t>;</w:t>
      </w:r>
    </w:p>
    <w:p w14:paraId="6130575B">
      <w:pPr>
        <w:spacing w:line="360" w:lineRule="auto"/>
        <w:ind w:firstLine="480"/>
        <w:jc w:val="both"/>
        <w:rPr>
          <w:rFonts w:ascii="Times New Roman" w:hAnsi="Times New Roman" w:cs="Times New Roman"/>
        </w:rPr>
      </w:pPr>
      <w:r>
        <w:rPr>
          <w:rFonts w:ascii="Times New Roman" w:hAnsi="Times New Roman" w:cs="Times New Roman"/>
        </w:rPr>
        <w:t>2、《新疆生产建设兵团省道网规划（2023-2035年）》；</w:t>
      </w:r>
    </w:p>
    <w:p w14:paraId="16943A5E">
      <w:pPr>
        <w:spacing w:line="360" w:lineRule="auto"/>
        <w:ind w:firstLine="480"/>
        <w:jc w:val="both"/>
        <w:rPr>
          <w:rFonts w:ascii="Times New Roman" w:hAnsi="Times New Roman" w:cs="Times New Roman"/>
        </w:rPr>
      </w:pPr>
      <w:r>
        <w:rPr>
          <w:rFonts w:ascii="Times New Roman" w:hAnsi="Times New Roman" w:cs="Times New Roman"/>
        </w:rPr>
        <w:t>3、《新疆生产建设兵团</w:t>
      </w:r>
      <w:r>
        <w:rPr>
          <w:rFonts w:hint="eastAsia" w:ascii="Times New Roman" w:hAnsi="Times New Roman" w:cs="Times New Roman"/>
        </w:rPr>
        <w:t>“</w:t>
      </w:r>
      <w:r>
        <w:rPr>
          <w:rFonts w:ascii="Times New Roman" w:hAnsi="Times New Roman" w:cs="Times New Roman"/>
        </w:rPr>
        <w:t>十四五</w:t>
      </w:r>
      <w:r>
        <w:rPr>
          <w:rFonts w:hint="eastAsia" w:ascii="Times New Roman" w:hAnsi="Times New Roman" w:cs="Times New Roman"/>
        </w:rPr>
        <w:t>”</w:t>
      </w:r>
      <w:r>
        <w:rPr>
          <w:rFonts w:ascii="Times New Roman" w:hAnsi="Times New Roman" w:cs="Times New Roman"/>
        </w:rPr>
        <w:t>公路建设规划》</w:t>
      </w:r>
      <w:r>
        <w:rPr>
          <w:rFonts w:hint="eastAsia" w:ascii="Times New Roman" w:hAnsi="Times New Roman" w:cs="Times New Roman"/>
        </w:rPr>
        <w:t>。</w:t>
      </w:r>
    </w:p>
    <w:p w14:paraId="4F8FE8BC">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2.1.7项目相关技术资料及文件</w:t>
      </w:r>
      <w:bookmarkEnd w:id="103"/>
      <w:bookmarkEnd w:id="104"/>
      <w:bookmarkEnd w:id="105"/>
      <w:bookmarkEnd w:id="106"/>
      <w:bookmarkEnd w:id="107"/>
    </w:p>
    <w:p w14:paraId="5EE0642A">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1.</w:t>
      </w:r>
      <w:r>
        <w:rPr>
          <w:rFonts w:hint="eastAsia"/>
        </w:rPr>
        <w:t xml:space="preserve"> </w:t>
      </w:r>
      <w:r>
        <w:rPr>
          <w:rFonts w:hint="eastAsia" w:ascii="Times New Roman" w:hAnsi="Times New Roman" w:cs="Times New Roman"/>
        </w:rPr>
        <w:t>《</w:t>
      </w:r>
      <w:r>
        <w:rPr>
          <w:rFonts w:ascii="Times New Roman" w:hAnsi="Times New Roman" w:cs="Times New Roman"/>
        </w:rPr>
        <w:t>G3012-草湖-G314 公路（草湖-G314 段）环评委托书；</w:t>
      </w:r>
    </w:p>
    <w:p w14:paraId="616F805D">
      <w:pPr>
        <w:pStyle w:val="220"/>
        <w:adjustRightInd w:val="0"/>
        <w:snapToGrid w:val="0"/>
        <w:ind w:firstLine="480" w:firstLineChars="200"/>
        <w:jc w:val="both"/>
        <w:rPr>
          <w:rFonts w:ascii="Times New Roman" w:hAnsi="Times New Roman" w:cs="Times New Roman"/>
        </w:rPr>
      </w:pPr>
      <w:r>
        <w:rPr>
          <w:rFonts w:ascii="Times New Roman" w:hAnsi="Times New Roman" w:cs="Times New Roman"/>
        </w:rPr>
        <w:t>2.《G3012-草湖-G314 公路（草湖-G314 段）可行性研究报告》及其批复；</w:t>
      </w:r>
    </w:p>
    <w:p w14:paraId="0D9C5936">
      <w:pPr>
        <w:pStyle w:val="220"/>
        <w:adjustRightInd w:val="0"/>
        <w:snapToGrid w:val="0"/>
        <w:ind w:firstLine="480" w:firstLineChars="200"/>
        <w:jc w:val="both"/>
        <w:rPr>
          <w:rFonts w:ascii="Times New Roman" w:hAnsi="Times New Roman" w:cs="Times New Roman"/>
        </w:rPr>
      </w:pPr>
      <w:bookmarkStart w:id="108" w:name="_Toc4507839"/>
      <w:bookmarkStart w:id="109" w:name="_Toc316511001"/>
      <w:bookmarkStart w:id="110" w:name="_Toc98413484"/>
      <w:bookmarkStart w:id="111" w:name="_Toc381605955"/>
      <w:bookmarkStart w:id="112" w:name="_Toc316561601"/>
      <w:r>
        <w:rPr>
          <w:rFonts w:ascii="Times New Roman" w:hAnsi="Times New Roman" w:cs="Times New Roman"/>
        </w:rPr>
        <w:t>3.《G3012-草湖-G314 公路（草湖-G314 段）初步设计报告》</w:t>
      </w:r>
      <w:r>
        <w:rPr>
          <w:rFonts w:hint="eastAsia" w:ascii="Times New Roman" w:hAnsi="Times New Roman" w:cs="Times New Roman"/>
        </w:rPr>
        <w:t>。</w:t>
      </w:r>
    </w:p>
    <w:p w14:paraId="421735E6">
      <w:pPr>
        <w:pStyle w:val="3"/>
        <w:adjustRightInd w:val="0"/>
        <w:snapToGrid w:val="0"/>
        <w:spacing w:before="156" w:after="156" w:line="240" w:lineRule="auto"/>
        <w:rPr>
          <w:rFonts w:ascii="Times New Roman" w:hAnsi="Times New Roman" w:cs="Times New Roman"/>
        </w:rPr>
      </w:pPr>
      <w:bookmarkStart w:id="113" w:name="_Toc187675409"/>
      <w:r>
        <w:rPr>
          <w:rFonts w:ascii="Times New Roman" w:hAnsi="Times New Roman" w:cs="Times New Roman"/>
        </w:rPr>
        <w:t>2.2环境影响因素识别和评价因子</w:t>
      </w:r>
      <w:bookmarkEnd w:id="108"/>
      <w:bookmarkEnd w:id="109"/>
      <w:bookmarkEnd w:id="110"/>
      <w:bookmarkEnd w:id="111"/>
      <w:bookmarkEnd w:id="112"/>
      <w:r>
        <w:rPr>
          <w:rFonts w:ascii="Times New Roman" w:hAnsi="Times New Roman" w:cs="Times New Roman"/>
        </w:rPr>
        <w:t>筛选</w:t>
      </w:r>
      <w:bookmarkEnd w:id="113"/>
    </w:p>
    <w:p w14:paraId="0F7B84C3">
      <w:pPr>
        <w:pStyle w:val="4"/>
        <w:adjustRightInd w:val="0"/>
        <w:snapToGrid w:val="0"/>
        <w:spacing w:before="156" w:after="156" w:line="240" w:lineRule="auto"/>
        <w:rPr>
          <w:rFonts w:ascii="Times New Roman" w:hAnsi="Times New Roman" w:cs="Times New Roman"/>
        </w:rPr>
      </w:pPr>
      <w:bookmarkStart w:id="114" w:name="_Hlk172286166"/>
      <w:bookmarkStart w:id="115" w:name="_Toc98414167"/>
      <w:bookmarkStart w:id="116" w:name="_Toc97464590"/>
      <w:bookmarkStart w:id="117" w:name="_Toc316511002"/>
      <w:bookmarkStart w:id="118" w:name="_Toc57826697"/>
      <w:bookmarkStart w:id="119" w:name="_Toc98413485"/>
      <w:bookmarkStart w:id="120" w:name="_Toc316561602"/>
      <w:bookmarkStart w:id="121" w:name="_Toc34989531"/>
      <w:bookmarkStart w:id="122" w:name="_Toc381605956"/>
      <w:r>
        <w:rPr>
          <w:rFonts w:ascii="Times New Roman" w:hAnsi="Times New Roman" w:cs="Times New Roman"/>
        </w:rPr>
        <w:t>2.2.1环境影响因素识别</w:t>
      </w:r>
    </w:p>
    <w:p w14:paraId="10A0D5E7">
      <w:pPr>
        <w:pStyle w:val="6"/>
        <w:spacing w:before="215" w:line="364" w:lineRule="auto"/>
        <w:ind w:right="352" w:firstLine="480"/>
        <w:jc w:val="both"/>
        <w:rPr>
          <w:rFonts w:ascii="Times New Roman" w:hAnsi="Times New Roman" w:cs="Times New Roman"/>
        </w:rPr>
      </w:pPr>
      <w:r>
        <w:rPr>
          <w:rFonts w:ascii="Times New Roman" w:hAnsi="Times New Roman" w:cs="Times New Roman"/>
          <w:spacing w:val="-2"/>
        </w:rPr>
        <w:t>根据工程初步分析，本项目施工期和营运期主要是对大气环境、公路沿线生态环境、声环境</w:t>
      </w:r>
      <w:r>
        <w:rPr>
          <w:rFonts w:hint="eastAsia" w:ascii="Times New Roman" w:hAnsi="Times New Roman" w:cs="Times New Roman"/>
          <w:spacing w:val="-2"/>
        </w:rPr>
        <w:t>和桥梁跨越处的水环境</w:t>
      </w:r>
      <w:r>
        <w:rPr>
          <w:rFonts w:ascii="Times New Roman" w:hAnsi="Times New Roman" w:cs="Times New Roman"/>
          <w:spacing w:val="-2"/>
        </w:rPr>
        <w:t xml:space="preserve">等产生不利影响，环境影响分析见表 </w:t>
      </w:r>
      <w:r>
        <w:rPr>
          <w:rFonts w:ascii="Times New Roman" w:hAnsi="Times New Roman" w:eastAsia="Times New Roman" w:cs="Times New Roman"/>
        </w:rPr>
        <w:t>2.2-1</w:t>
      </w:r>
      <w:r>
        <w:rPr>
          <w:rFonts w:ascii="Times New Roman" w:hAnsi="Times New Roman" w:cs="Times New Roman"/>
        </w:rPr>
        <w:t>。</w:t>
      </w:r>
    </w:p>
    <w:p w14:paraId="053AC714">
      <w:pPr>
        <w:jc w:val="center"/>
        <w:rPr>
          <w:rFonts w:ascii="黑体" w:hAnsi="黑体" w:eastAsia="黑体" w:cs="Times New Roman"/>
          <w:b/>
        </w:rPr>
      </w:pPr>
      <w:r>
        <w:rPr>
          <w:rFonts w:ascii="黑体" w:hAnsi="黑体" w:eastAsia="黑体" w:cs="Times New Roman"/>
        </w:rPr>
        <w:t>表2.2-1</w:t>
      </w:r>
      <w:r>
        <w:rPr>
          <w:rFonts w:ascii="黑体" w:hAnsi="黑体" w:eastAsia="黑体" w:cs="Times New Roman"/>
        </w:rPr>
        <w:tab/>
      </w:r>
      <w:r>
        <w:rPr>
          <w:rFonts w:ascii="黑体" w:hAnsi="黑体" w:eastAsia="黑体" w:cs="Times New Roman"/>
        </w:rPr>
        <w:t xml:space="preserve">  环境影响矩阵分析</w:t>
      </w:r>
    </w:p>
    <w:tbl>
      <w:tblPr>
        <w:tblStyle w:val="226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3"/>
        <w:gridCol w:w="638"/>
        <w:gridCol w:w="706"/>
        <w:gridCol w:w="627"/>
        <w:gridCol w:w="591"/>
        <w:gridCol w:w="616"/>
        <w:gridCol w:w="707"/>
        <w:gridCol w:w="598"/>
        <w:gridCol w:w="694"/>
        <w:gridCol w:w="694"/>
        <w:gridCol w:w="657"/>
        <w:gridCol w:w="733"/>
      </w:tblGrid>
      <w:tr w14:paraId="439B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35" w:type="dxa"/>
            <w:vMerge w:val="restart"/>
            <w:vAlign w:val="center"/>
          </w:tcPr>
          <w:p w14:paraId="3AF3FAAC">
            <w:pPr>
              <w:pStyle w:val="2265"/>
              <w:widowControl w:val="0"/>
              <w:jc w:val="center"/>
              <w:rPr>
                <w:rFonts w:ascii="Times New Roman" w:hAnsi="Times New Roman" w:cs="Times New Roman"/>
                <w:sz w:val="21"/>
                <w:szCs w:val="21"/>
              </w:rPr>
            </w:pPr>
            <w:r>
              <w:rPr>
                <w:rFonts w:ascii="Times New Roman" w:hAnsi="Times New Roman" w:cs="Times New Roman"/>
                <w:spacing w:val="-4"/>
                <w:sz w:val="21"/>
                <w:szCs w:val="21"/>
              </w:rPr>
              <w:t>环境要素</w:t>
            </w:r>
            <w:r>
              <w:rPr>
                <w:rFonts w:ascii="Times New Roman" w:hAnsi="Times New Roman" w:cs="Times New Roman"/>
                <w:spacing w:val="-3"/>
                <w:w w:val="95"/>
                <w:sz w:val="21"/>
                <w:szCs w:val="21"/>
              </w:rPr>
              <w:t>工程行为</w:t>
            </w:r>
          </w:p>
        </w:tc>
        <w:tc>
          <w:tcPr>
            <w:tcW w:w="1555" w:type="dxa"/>
            <w:gridSpan w:val="2"/>
            <w:vAlign w:val="center"/>
          </w:tcPr>
          <w:p w14:paraId="3CE45900">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前</w:t>
            </w:r>
            <w:r>
              <w:rPr>
                <w:rFonts w:ascii="Times New Roman" w:hAnsi="Times New Roman" w:cs="Times New Roman"/>
                <w:spacing w:val="-10"/>
                <w:sz w:val="21"/>
                <w:szCs w:val="21"/>
              </w:rPr>
              <w:t>期</w:t>
            </w:r>
          </w:p>
        </w:tc>
        <w:tc>
          <w:tcPr>
            <w:tcW w:w="5240" w:type="dxa"/>
            <w:gridSpan w:val="7"/>
            <w:vAlign w:val="center"/>
          </w:tcPr>
          <w:p w14:paraId="1F37178A">
            <w:pPr>
              <w:pStyle w:val="2265"/>
              <w:widowControl w:val="0"/>
              <w:jc w:val="center"/>
              <w:rPr>
                <w:rFonts w:ascii="Times New Roman" w:hAnsi="Times New Roman" w:cs="Times New Roman"/>
                <w:sz w:val="21"/>
                <w:szCs w:val="21"/>
              </w:rPr>
            </w:pPr>
            <w:r>
              <w:rPr>
                <w:rFonts w:ascii="Times New Roman" w:hAnsi="Times New Roman" w:cs="Times New Roman"/>
                <w:spacing w:val="-4"/>
                <w:w w:val="95"/>
                <w:sz w:val="21"/>
                <w:szCs w:val="21"/>
              </w:rPr>
              <w:t>施工期</w:t>
            </w:r>
          </w:p>
        </w:tc>
        <w:tc>
          <w:tcPr>
            <w:tcW w:w="1609" w:type="dxa"/>
            <w:gridSpan w:val="2"/>
            <w:vAlign w:val="center"/>
          </w:tcPr>
          <w:p w14:paraId="1F8EC800">
            <w:pPr>
              <w:pStyle w:val="2265"/>
              <w:widowControl w:val="0"/>
              <w:jc w:val="center"/>
              <w:rPr>
                <w:rFonts w:ascii="Times New Roman" w:hAnsi="Times New Roman" w:cs="Times New Roman"/>
                <w:sz w:val="21"/>
                <w:szCs w:val="21"/>
              </w:rPr>
            </w:pPr>
            <w:r>
              <w:rPr>
                <w:rFonts w:ascii="Times New Roman" w:hAnsi="Times New Roman" w:cs="Times New Roman"/>
                <w:spacing w:val="-4"/>
                <w:w w:val="95"/>
                <w:sz w:val="21"/>
                <w:szCs w:val="21"/>
              </w:rPr>
              <w:t>营运期</w:t>
            </w:r>
          </w:p>
        </w:tc>
      </w:tr>
      <w:tr w14:paraId="2A880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35" w:type="dxa"/>
            <w:vMerge w:val="continue"/>
            <w:vAlign w:val="center"/>
          </w:tcPr>
          <w:p w14:paraId="3C58AEBD">
            <w:pPr>
              <w:widowControl w:val="0"/>
              <w:jc w:val="center"/>
              <w:rPr>
                <w:rFonts w:ascii="Times New Roman" w:hAnsi="Times New Roman" w:cs="Times New Roman"/>
                <w:sz w:val="21"/>
                <w:szCs w:val="21"/>
                <w:lang w:eastAsia="en-US"/>
              </w:rPr>
            </w:pPr>
          </w:p>
        </w:tc>
        <w:tc>
          <w:tcPr>
            <w:tcW w:w="738" w:type="dxa"/>
            <w:vAlign w:val="center"/>
          </w:tcPr>
          <w:p w14:paraId="31346978">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占</w:t>
            </w:r>
            <w:r>
              <w:rPr>
                <w:rFonts w:ascii="Times New Roman" w:hAnsi="Times New Roman" w:cs="Times New Roman"/>
                <w:spacing w:val="-10"/>
                <w:sz w:val="21"/>
                <w:szCs w:val="21"/>
              </w:rPr>
              <w:t>地</w:t>
            </w:r>
          </w:p>
        </w:tc>
        <w:tc>
          <w:tcPr>
            <w:tcW w:w="817" w:type="dxa"/>
            <w:vAlign w:val="center"/>
          </w:tcPr>
          <w:p w14:paraId="42BEEE25">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拆</w:t>
            </w:r>
            <w:r>
              <w:rPr>
                <w:rFonts w:ascii="Times New Roman" w:hAnsi="Times New Roman" w:cs="Times New Roman"/>
                <w:spacing w:val="-10"/>
                <w:sz w:val="21"/>
                <w:szCs w:val="21"/>
              </w:rPr>
              <w:t>迁</w:t>
            </w:r>
          </w:p>
        </w:tc>
        <w:tc>
          <w:tcPr>
            <w:tcW w:w="725" w:type="dxa"/>
            <w:vAlign w:val="center"/>
          </w:tcPr>
          <w:p w14:paraId="31C2DB35">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弃</w:t>
            </w:r>
            <w:r>
              <w:rPr>
                <w:rFonts w:ascii="Times New Roman" w:hAnsi="Times New Roman" w:cs="Times New Roman"/>
                <w:spacing w:val="-10"/>
                <w:sz w:val="21"/>
                <w:szCs w:val="21"/>
              </w:rPr>
              <w:t>土</w:t>
            </w:r>
          </w:p>
          <w:p w14:paraId="1B604AF6">
            <w:pPr>
              <w:pStyle w:val="2265"/>
              <w:widowControl w:val="0"/>
              <w:jc w:val="center"/>
              <w:rPr>
                <w:rFonts w:ascii="Times New Roman" w:hAnsi="Times New Roman" w:cs="Times New Roman"/>
                <w:sz w:val="21"/>
                <w:szCs w:val="21"/>
              </w:rPr>
            </w:pPr>
            <w:r>
              <w:rPr>
                <w:rFonts w:ascii="Times New Roman" w:hAnsi="Times New Roman" w:cs="Times New Roman"/>
                <w:w w:val="99"/>
                <w:sz w:val="21"/>
                <w:szCs w:val="21"/>
              </w:rPr>
              <w:t>场</w:t>
            </w:r>
          </w:p>
        </w:tc>
        <w:tc>
          <w:tcPr>
            <w:tcW w:w="684" w:type="dxa"/>
            <w:vAlign w:val="center"/>
          </w:tcPr>
          <w:p w14:paraId="58287683">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取</w:t>
            </w:r>
            <w:r>
              <w:rPr>
                <w:rFonts w:ascii="Times New Roman" w:hAnsi="Times New Roman" w:cs="Times New Roman"/>
                <w:spacing w:val="-10"/>
                <w:sz w:val="21"/>
                <w:szCs w:val="21"/>
              </w:rPr>
              <w:t>土</w:t>
            </w:r>
          </w:p>
        </w:tc>
        <w:tc>
          <w:tcPr>
            <w:tcW w:w="714" w:type="dxa"/>
            <w:vAlign w:val="center"/>
          </w:tcPr>
          <w:p w14:paraId="235773CE">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路</w:t>
            </w:r>
            <w:r>
              <w:rPr>
                <w:rFonts w:ascii="Times New Roman" w:hAnsi="Times New Roman" w:cs="Times New Roman"/>
                <w:spacing w:val="-10"/>
                <w:sz w:val="21"/>
                <w:szCs w:val="21"/>
              </w:rPr>
              <w:t>基</w:t>
            </w:r>
          </w:p>
        </w:tc>
        <w:tc>
          <w:tcPr>
            <w:tcW w:w="819" w:type="dxa"/>
            <w:vAlign w:val="center"/>
          </w:tcPr>
          <w:p w14:paraId="6D02751C">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路</w:t>
            </w:r>
            <w:r>
              <w:rPr>
                <w:rFonts w:ascii="Times New Roman" w:hAnsi="Times New Roman" w:cs="Times New Roman"/>
                <w:spacing w:val="-10"/>
                <w:sz w:val="21"/>
                <w:szCs w:val="21"/>
              </w:rPr>
              <w:t>面</w:t>
            </w:r>
          </w:p>
        </w:tc>
        <w:tc>
          <w:tcPr>
            <w:tcW w:w="692" w:type="dxa"/>
            <w:vAlign w:val="center"/>
          </w:tcPr>
          <w:p w14:paraId="125393C2">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桥</w:t>
            </w:r>
            <w:r>
              <w:rPr>
                <w:rFonts w:ascii="Times New Roman" w:hAnsi="Times New Roman" w:cs="Times New Roman"/>
                <w:spacing w:val="-10"/>
                <w:sz w:val="21"/>
                <w:szCs w:val="21"/>
              </w:rPr>
              <w:t>涵</w:t>
            </w:r>
          </w:p>
        </w:tc>
        <w:tc>
          <w:tcPr>
            <w:tcW w:w="803" w:type="dxa"/>
            <w:vAlign w:val="center"/>
          </w:tcPr>
          <w:p w14:paraId="2B583233">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材</w:t>
            </w:r>
            <w:r>
              <w:rPr>
                <w:rFonts w:ascii="Times New Roman" w:hAnsi="Times New Roman" w:cs="Times New Roman"/>
                <w:spacing w:val="-10"/>
                <w:sz w:val="21"/>
                <w:szCs w:val="21"/>
              </w:rPr>
              <w:t>料</w:t>
            </w:r>
          </w:p>
          <w:p w14:paraId="718A9542">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运</w:t>
            </w:r>
            <w:r>
              <w:rPr>
                <w:rFonts w:ascii="Times New Roman" w:hAnsi="Times New Roman" w:cs="Times New Roman"/>
                <w:spacing w:val="-10"/>
                <w:sz w:val="21"/>
                <w:szCs w:val="21"/>
              </w:rPr>
              <w:t>输</w:t>
            </w:r>
          </w:p>
        </w:tc>
        <w:tc>
          <w:tcPr>
            <w:tcW w:w="803" w:type="dxa"/>
            <w:vAlign w:val="center"/>
          </w:tcPr>
          <w:p w14:paraId="6C8CF0CC">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施</w:t>
            </w:r>
            <w:r>
              <w:rPr>
                <w:rFonts w:ascii="Times New Roman" w:hAnsi="Times New Roman" w:cs="Times New Roman"/>
                <w:spacing w:val="-10"/>
                <w:sz w:val="21"/>
                <w:szCs w:val="21"/>
              </w:rPr>
              <w:t>工</w:t>
            </w:r>
          </w:p>
          <w:p w14:paraId="75FEAAA2">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作</w:t>
            </w:r>
            <w:r>
              <w:rPr>
                <w:rFonts w:ascii="Times New Roman" w:hAnsi="Times New Roman" w:cs="Times New Roman"/>
                <w:spacing w:val="-10"/>
                <w:sz w:val="21"/>
                <w:szCs w:val="21"/>
              </w:rPr>
              <w:t>业</w:t>
            </w:r>
          </w:p>
        </w:tc>
        <w:tc>
          <w:tcPr>
            <w:tcW w:w="760" w:type="dxa"/>
            <w:vAlign w:val="center"/>
          </w:tcPr>
          <w:p w14:paraId="45E4F1AD">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车</w:t>
            </w:r>
            <w:r>
              <w:rPr>
                <w:rFonts w:ascii="Times New Roman" w:hAnsi="Times New Roman" w:cs="Times New Roman"/>
                <w:spacing w:val="-10"/>
                <w:sz w:val="21"/>
                <w:szCs w:val="21"/>
              </w:rPr>
              <w:t>辆</w:t>
            </w:r>
          </w:p>
          <w:p w14:paraId="7B18582E">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行</w:t>
            </w:r>
            <w:r>
              <w:rPr>
                <w:rFonts w:ascii="Times New Roman" w:hAnsi="Times New Roman" w:cs="Times New Roman"/>
                <w:spacing w:val="-10"/>
                <w:sz w:val="21"/>
                <w:szCs w:val="21"/>
              </w:rPr>
              <w:t>驶</w:t>
            </w:r>
          </w:p>
        </w:tc>
        <w:tc>
          <w:tcPr>
            <w:tcW w:w="849" w:type="dxa"/>
            <w:vAlign w:val="center"/>
          </w:tcPr>
          <w:p w14:paraId="3C86C9E1">
            <w:pPr>
              <w:pStyle w:val="2265"/>
              <w:widowControl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防沙</w:t>
            </w:r>
          </w:p>
          <w:p w14:paraId="6FFBD0D9">
            <w:pPr>
              <w:pStyle w:val="2265"/>
              <w:widowControl w:val="0"/>
              <w:jc w:val="center"/>
              <w:rPr>
                <w:rFonts w:ascii="Times New Roman" w:hAnsi="Times New Roman" w:cs="Times New Roman"/>
                <w:sz w:val="21"/>
                <w:szCs w:val="21"/>
              </w:rPr>
            </w:pPr>
            <w:r>
              <w:rPr>
                <w:rFonts w:hint="eastAsia" w:ascii="Times New Roman" w:hAnsi="Times New Roman" w:cs="Times New Roman"/>
                <w:sz w:val="21"/>
                <w:szCs w:val="21"/>
                <w:lang w:eastAsia="zh-CN"/>
              </w:rPr>
              <w:t>固沙</w:t>
            </w:r>
          </w:p>
        </w:tc>
      </w:tr>
      <w:tr w14:paraId="5C37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35" w:type="dxa"/>
            <w:vAlign w:val="center"/>
          </w:tcPr>
          <w:p w14:paraId="3F00EA05">
            <w:pPr>
              <w:pStyle w:val="2265"/>
              <w:widowControl w:val="0"/>
              <w:jc w:val="center"/>
              <w:rPr>
                <w:rFonts w:ascii="Times New Roman" w:hAnsi="Times New Roman" w:cs="Times New Roman"/>
                <w:sz w:val="21"/>
                <w:szCs w:val="21"/>
              </w:rPr>
            </w:pPr>
            <w:r>
              <w:rPr>
                <w:rFonts w:ascii="Times New Roman" w:hAnsi="Times New Roman" w:cs="Times New Roman"/>
                <w:spacing w:val="-3"/>
                <w:w w:val="95"/>
                <w:sz w:val="21"/>
                <w:szCs w:val="21"/>
              </w:rPr>
              <w:t>水土流失</w:t>
            </w:r>
          </w:p>
        </w:tc>
        <w:tc>
          <w:tcPr>
            <w:tcW w:w="738" w:type="dxa"/>
            <w:vAlign w:val="center"/>
          </w:tcPr>
          <w:p w14:paraId="211E9F2E">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1S</w:t>
            </w:r>
          </w:p>
        </w:tc>
        <w:tc>
          <w:tcPr>
            <w:tcW w:w="817" w:type="dxa"/>
            <w:vAlign w:val="center"/>
          </w:tcPr>
          <w:p w14:paraId="2ECD67A0">
            <w:pPr>
              <w:pStyle w:val="2265"/>
              <w:widowControl w:val="0"/>
              <w:jc w:val="center"/>
              <w:rPr>
                <w:rFonts w:ascii="Times New Roman" w:hAnsi="Times New Roman" w:cs="Times New Roman"/>
                <w:sz w:val="21"/>
                <w:szCs w:val="21"/>
              </w:rPr>
            </w:pPr>
          </w:p>
        </w:tc>
        <w:tc>
          <w:tcPr>
            <w:tcW w:w="725" w:type="dxa"/>
            <w:vAlign w:val="center"/>
          </w:tcPr>
          <w:p w14:paraId="190D3CA5">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684" w:type="dxa"/>
            <w:vAlign w:val="center"/>
          </w:tcPr>
          <w:p w14:paraId="2BDC3F6A">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714" w:type="dxa"/>
            <w:vAlign w:val="center"/>
          </w:tcPr>
          <w:p w14:paraId="3B798533">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1S</w:t>
            </w:r>
          </w:p>
        </w:tc>
        <w:tc>
          <w:tcPr>
            <w:tcW w:w="819" w:type="dxa"/>
            <w:vAlign w:val="center"/>
          </w:tcPr>
          <w:p w14:paraId="3FF7B824">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692" w:type="dxa"/>
            <w:vAlign w:val="center"/>
          </w:tcPr>
          <w:p w14:paraId="1D6002EA">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2S</w:t>
            </w:r>
          </w:p>
        </w:tc>
        <w:tc>
          <w:tcPr>
            <w:tcW w:w="803" w:type="dxa"/>
            <w:vAlign w:val="center"/>
          </w:tcPr>
          <w:p w14:paraId="075C8994">
            <w:pPr>
              <w:pStyle w:val="2265"/>
              <w:widowControl w:val="0"/>
              <w:jc w:val="center"/>
              <w:rPr>
                <w:rFonts w:ascii="Times New Roman" w:hAnsi="Times New Roman" w:cs="Times New Roman"/>
                <w:sz w:val="21"/>
                <w:szCs w:val="21"/>
              </w:rPr>
            </w:pPr>
          </w:p>
        </w:tc>
        <w:tc>
          <w:tcPr>
            <w:tcW w:w="803" w:type="dxa"/>
            <w:vAlign w:val="center"/>
          </w:tcPr>
          <w:p w14:paraId="04169995">
            <w:pPr>
              <w:pStyle w:val="2265"/>
              <w:widowControl w:val="0"/>
              <w:jc w:val="center"/>
              <w:rPr>
                <w:rFonts w:ascii="Times New Roman" w:hAnsi="Times New Roman" w:cs="Times New Roman"/>
                <w:sz w:val="21"/>
                <w:szCs w:val="21"/>
              </w:rPr>
            </w:pPr>
          </w:p>
        </w:tc>
        <w:tc>
          <w:tcPr>
            <w:tcW w:w="760" w:type="dxa"/>
            <w:vAlign w:val="center"/>
          </w:tcPr>
          <w:p w14:paraId="720EA00C">
            <w:pPr>
              <w:pStyle w:val="2265"/>
              <w:widowControl w:val="0"/>
              <w:jc w:val="center"/>
              <w:rPr>
                <w:rFonts w:ascii="Times New Roman" w:hAnsi="Times New Roman" w:cs="Times New Roman"/>
                <w:sz w:val="21"/>
                <w:szCs w:val="21"/>
              </w:rPr>
            </w:pPr>
          </w:p>
        </w:tc>
        <w:tc>
          <w:tcPr>
            <w:tcW w:w="849" w:type="dxa"/>
            <w:vAlign w:val="center"/>
          </w:tcPr>
          <w:p w14:paraId="361EF208">
            <w:pPr>
              <w:pStyle w:val="2265"/>
              <w:widowControl w:val="0"/>
              <w:jc w:val="center"/>
              <w:rPr>
                <w:rFonts w:ascii="Times New Roman" w:hAnsi="Times New Roman" w:cs="Times New Roman"/>
                <w:sz w:val="21"/>
                <w:szCs w:val="21"/>
              </w:rPr>
            </w:pPr>
            <w:r>
              <w:rPr>
                <w:rFonts w:ascii="Times New Roman" w:hAnsi="Times New Roman" w:cs="Times New Roman"/>
                <w:spacing w:val="-5"/>
                <w:sz w:val="21"/>
                <w:szCs w:val="21"/>
              </w:rPr>
              <w:t>+2L</w:t>
            </w:r>
          </w:p>
        </w:tc>
      </w:tr>
      <w:tr w14:paraId="7F38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35" w:type="dxa"/>
            <w:vAlign w:val="center"/>
          </w:tcPr>
          <w:p w14:paraId="6A46CBF4">
            <w:pPr>
              <w:pStyle w:val="2265"/>
              <w:widowControl w:val="0"/>
              <w:jc w:val="center"/>
              <w:rPr>
                <w:rFonts w:ascii="Times New Roman" w:hAnsi="Times New Roman" w:cs="Times New Roman"/>
                <w:sz w:val="21"/>
                <w:szCs w:val="21"/>
              </w:rPr>
            </w:pPr>
            <w:r>
              <w:rPr>
                <w:rFonts w:ascii="Times New Roman" w:hAnsi="Times New Roman" w:cs="Times New Roman"/>
                <w:spacing w:val="-3"/>
                <w:w w:val="95"/>
                <w:sz w:val="21"/>
                <w:szCs w:val="21"/>
              </w:rPr>
              <w:t>陆地植被</w:t>
            </w:r>
          </w:p>
        </w:tc>
        <w:tc>
          <w:tcPr>
            <w:tcW w:w="738" w:type="dxa"/>
            <w:vAlign w:val="center"/>
          </w:tcPr>
          <w:p w14:paraId="390B3937">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1L</w:t>
            </w:r>
          </w:p>
        </w:tc>
        <w:tc>
          <w:tcPr>
            <w:tcW w:w="817" w:type="dxa"/>
            <w:vAlign w:val="center"/>
          </w:tcPr>
          <w:p w14:paraId="7E9ECA32">
            <w:pPr>
              <w:pStyle w:val="2265"/>
              <w:widowControl w:val="0"/>
              <w:jc w:val="center"/>
              <w:rPr>
                <w:rFonts w:ascii="Times New Roman" w:hAnsi="Times New Roman" w:cs="Times New Roman"/>
                <w:sz w:val="21"/>
                <w:szCs w:val="21"/>
              </w:rPr>
            </w:pPr>
          </w:p>
        </w:tc>
        <w:tc>
          <w:tcPr>
            <w:tcW w:w="725" w:type="dxa"/>
            <w:vAlign w:val="center"/>
          </w:tcPr>
          <w:p w14:paraId="2CBFCA7D">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684" w:type="dxa"/>
            <w:vAlign w:val="center"/>
          </w:tcPr>
          <w:p w14:paraId="54C7EDA8">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714" w:type="dxa"/>
            <w:vAlign w:val="center"/>
          </w:tcPr>
          <w:p w14:paraId="14F5347A">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2S</w:t>
            </w:r>
          </w:p>
        </w:tc>
        <w:tc>
          <w:tcPr>
            <w:tcW w:w="819" w:type="dxa"/>
            <w:vAlign w:val="center"/>
          </w:tcPr>
          <w:p w14:paraId="1DEAFC1F">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692" w:type="dxa"/>
            <w:vAlign w:val="center"/>
          </w:tcPr>
          <w:p w14:paraId="5AD6F5E5">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2S</w:t>
            </w:r>
          </w:p>
        </w:tc>
        <w:tc>
          <w:tcPr>
            <w:tcW w:w="803" w:type="dxa"/>
            <w:vAlign w:val="center"/>
          </w:tcPr>
          <w:p w14:paraId="03A43AB8">
            <w:pPr>
              <w:pStyle w:val="2265"/>
              <w:widowControl w:val="0"/>
              <w:jc w:val="center"/>
              <w:rPr>
                <w:rFonts w:ascii="Times New Roman" w:hAnsi="Times New Roman" w:cs="Times New Roman"/>
                <w:sz w:val="21"/>
                <w:szCs w:val="21"/>
              </w:rPr>
            </w:pPr>
          </w:p>
        </w:tc>
        <w:tc>
          <w:tcPr>
            <w:tcW w:w="803" w:type="dxa"/>
            <w:vAlign w:val="center"/>
          </w:tcPr>
          <w:p w14:paraId="4E6D673B">
            <w:pPr>
              <w:pStyle w:val="2265"/>
              <w:widowControl w:val="0"/>
              <w:jc w:val="center"/>
              <w:rPr>
                <w:rFonts w:ascii="Times New Roman" w:hAnsi="Times New Roman" w:cs="Times New Roman"/>
                <w:sz w:val="21"/>
                <w:szCs w:val="21"/>
              </w:rPr>
            </w:pPr>
          </w:p>
        </w:tc>
        <w:tc>
          <w:tcPr>
            <w:tcW w:w="760" w:type="dxa"/>
            <w:vAlign w:val="center"/>
          </w:tcPr>
          <w:p w14:paraId="561E19B9">
            <w:pPr>
              <w:pStyle w:val="2265"/>
              <w:widowControl w:val="0"/>
              <w:jc w:val="center"/>
              <w:rPr>
                <w:rFonts w:ascii="Times New Roman" w:hAnsi="Times New Roman" w:cs="Times New Roman"/>
                <w:sz w:val="21"/>
                <w:szCs w:val="21"/>
              </w:rPr>
            </w:pPr>
          </w:p>
        </w:tc>
        <w:tc>
          <w:tcPr>
            <w:tcW w:w="849" w:type="dxa"/>
            <w:vAlign w:val="center"/>
          </w:tcPr>
          <w:p w14:paraId="5BCDBF7F">
            <w:pPr>
              <w:pStyle w:val="2265"/>
              <w:widowControl w:val="0"/>
              <w:jc w:val="center"/>
              <w:rPr>
                <w:rFonts w:ascii="Times New Roman" w:hAnsi="Times New Roman" w:cs="Times New Roman"/>
                <w:sz w:val="21"/>
                <w:szCs w:val="21"/>
              </w:rPr>
            </w:pPr>
          </w:p>
        </w:tc>
      </w:tr>
      <w:tr w14:paraId="523B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35" w:type="dxa"/>
            <w:vAlign w:val="center"/>
          </w:tcPr>
          <w:p w14:paraId="3069D213">
            <w:pPr>
              <w:pStyle w:val="2265"/>
              <w:widowControl w:val="0"/>
              <w:jc w:val="center"/>
              <w:rPr>
                <w:rFonts w:ascii="Times New Roman" w:hAnsi="Times New Roman" w:cs="Times New Roman"/>
                <w:sz w:val="21"/>
                <w:szCs w:val="21"/>
              </w:rPr>
            </w:pPr>
            <w:r>
              <w:rPr>
                <w:rFonts w:ascii="Times New Roman" w:hAnsi="Times New Roman" w:cs="Times New Roman"/>
                <w:spacing w:val="-3"/>
                <w:w w:val="95"/>
                <w:sz w:val="21"/>
                <w:szCs w:val="21"/>
              </w:rPr>
              <w:t>环境空气</w:t>
            </w:r>
          </w:p>
        </w:tc>
        <w:tc>
          <w:tcPr>
            <w:tcW w:w="738" w:type="dxa"/>
            <w:vAlign w:val="center"/>
          </w:tcPr>
          <w:p w14:paraId="66ACF373">
            <w:pPr>
              <w:pStyle w:val="2265"/>
              <w:widowControl w:val="0"/>
              <w:jc w:val="center"/>
              <w:rPr>
                <w:rFonts w:ascii="Times New Roman" w:hAnsi="Times New Roman" w:cs="Times New Roman"/>
                <w:sz w:val="21"/>
                <w:szCs w:val="21"/>
              </w:rPr>
            </w:pPr>
          </w:p>
        </w:tc>
        <w:tc>
          <w:tcPr>
            <w:tcW w:w="817" w:type="dxa"/>
            <w:vAlign w:val="center"/>
          </w:tcPr>
          <w:p w14:paraId="140466BC">
            <w:pPr>
              <w:pStyle w:val="2265"/>
              <w:widowControl w:val="0"/>
              <w:jc w:val="center"/>
              <w:rPr>
                <w:rFonts w:ascii="Times New Roman" w:hAnsi="Times New Roman" w:cs="Times New Roman"/>
                <w:sz w:val="21"/>
                <w:szCs w:val="21"/>
              </w:rPr>
            </w:pPr>
          </w:p>
        </w:tc>
        <w:tc>
          <w:tcPr>
            <w:tcW w:w="725" w:type="dxa"/>
            <w:vAlign w:val="center"/>
          </w:tcPr>
          <w:p w14:paraId="07E5F99D">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684" w:type="dxa"/>
            <w:vAlign w:val="center"/>
          </w:tcPr>
          <w:p w14:paraId="1CA5C22C">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714" w:type="dxa"/>
            <w:vAlign w:val="center"/>
          </w:tcPr>
          <w:p w14:paraId="1E16C610">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2S</w:t>
            </w:r>
          </w:p>
        </w:tc>
        <w:tc>
          <w:tcPr>
            <w:tcW w:w="819" w:type="dxa"/>
            <w:vAlign w:val="center"/>
          </w:tcPr>
          <w:p w14:paraId="6AB91081">
            <w:pPr>
              <w:pStyle w:val="2265"/>
              <w:widowControl w:val="0"/>
              <w:jc w:val="center"/>
              <w:rPr>
                <w:rFonts w:ascii="Times New Roman" w:hAnsi="Times New Roman" w:cs="Times New Roman"/>
                <w:sz w:val="21"/>
                <w:szCs w:val="21"/>
              </w:rPr>
            </w:pPr>
          </w:p>
        </w:tc>
        <w:tc>
          <w:tcPr>
            <w:tcW w:w="692" w:type="dxa"/>
            <w:vAlign w:val="center"/>
          </w:tcPr>
          <w:p w14:paraId="58BB03A5">
            <w:pPr>
              <w:pStyle w:val="2265"/>
              <w:widowControl w:val="0"/>
              <w:jc w:val="center"/>
              <w:rPr>
                <w:rFonts w:ascii="Times New Roman" w:hAnsi="Times New Roman" w:cs="Times New Roman"/>
                <w:sz w:val="21"/>
                <w:szCs w:val="21"/>
              </w:rPr>
            </w:pPr>
          </w:p>
        </w:tc>
        <w:tc>
          <w:tcPr>
            <w:tcW w:w="803" w:type="dxa"/>
            <w:vAlign w:val="center"/>
          </w:tcPr>
          <w:p w14:paraId="1987C888">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803" w:type="dxa"/>
            <w:vAlign w:val="center"/>
          </w:tcPr>
          <w:p w14:paraId="0924B8FD">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760" w:type="dxa"/>
            <w:vAlign w:val="center"/>
          </w:tcPr>
          <w:p w14:paraId="60D9827F">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7"/>
                <w:w w:val="95"/>
                <w:sz w:val="21"/>
                <w:szCs w:val="21"/>
              </w:rPr>
              <w:t>2L</w:t>
            </w:r>
          </w:p>
        </w:tc>
        <w:tc>
          <w:tcPr>
            <w:tcW w:w="849" w:type="dxa"/>
            <w:vAlign w:val="center"/>
          </w:tcPr>
          <w:p w14:paraId="13703202">
            <w:pPr>
              <w:pStyle w:val="2265"/>
              <w:widowControl w:val="0"/>
              <w:jc w:val="center"/>
              <w:rPr>
                <w:rFonts w:ascii="Times New Roman" w:hAnsi="Times New Roman" w:cs="Times New Roman"/>
                <w:sz w:val="21"/>
                <w:szCs w:val="21"/>
              </w:rPr>
            </w:pPr>
            <w:r>
              <w:rPr>
                <w:rFonts w:ascii="Times New Roman" w:hAnsi="Times New Roman" w:cs="Times New Roman"/>
                <w:spacing w:val="-5"/>
                <w:sz w:val="21"/>
                <w:szCs w:val="21"/>
              </w:rPr>
              <w:t>+1L</w:t>
            </w:r>
          </w:p>
        </w:tc>
      </w:tr>
      <w:tr w14:paraId="23D0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1235" w:type="dxa"/>
            <w:vAlign w:val="center"/>
          </w:tcPr>
          <w:p w14:paraId="43E5B205">
            <w:pPr>
              <w:pStyle w:val="2265"/>
              <w:widowControl w:val="0"/>
              <w:jc w:val="center"/>
              <w:rPr>
                <w:rFonts w:ascii="Times New Roman" w:hAnsi="Times New Roman" w:cs="Times New Roman"/>
                <w:sz w:val="21"/>
                <w:szCs w:val="21"/>
              </w:rPr>
            </w:pPr>
            <w:r>
              <w:rPr>
                <w:rFonts w:ascii="Times New Roman" w:hAnsi="Times New Roman" w:cs="Times New Roman"/>
                <w:spacing w:val="-4"/>
                <w:w w:val="95"/>
                <w:sz w:val="21"/>
                <w:szCs w:val="21"/>
              </w:rPr>
              <w:t>声环境</w:t>
            </w:r>
          </w:p>
        </w:tc>
        <w:tc>
          <w:tcPr>
            <w:tcW w:w="738" w:type="dxa"/>
            <w:vAlign w:val="center"/>
          </w:tcPr>
          <w:p w14:paraId="5DEB3318">
            <w:pPr>
              <w:pStyle w:val="2265"/>
              <w:widowControl w:val="0"/>
              <w:jc w:val="center"/>
              <w:rPr>
                <w:rFonts w:ascii="Times New Roman" w:hAnsi="Times New Roman" w:cs="Times New Roman"/>
                <w:sz w:val="21"/>
                <w:szCs w:val="21"/>
              </w:rPr>
            </w:pPr>
          </w:p>
        </w:tc>
        <w:tc>
          <w:tcPr>
            <w:tcW w:w="817" w:type="dxa"/>
            <w:vAlign w:val="center"/>
          </w:tcPr>
          <w:p w14:paraId="23141249">
            <w:pPr>
              <w:pStyle w:val="2265"/>
              <w:widowControl w:val="0"/>
              <w:jc w:val="center"/>
              <w:rPr>
                <w:rFonts w:ascii="Times New Roman" w:hAnsi="Times New Roman" w:cs="Times New Roman"/>
                <w:sz w:val="21"/>
                <w:szCs w:val="21"/>
              </w:rPr>
            </w:pPr>
          </w:p>
        </w:tc>
        <w:tc>
          <w:tcPr>
            <w:tcW w:w="725" w:type="dxa"/>
            <w:vAlign w:val="center"/>
          </w:tcPr>
          <w:p w14:paraId="540E49F1">
            <w:pPr>
              <w:pStyle w:val="2265"/>
              <w:widowControl w:val="0"/>
              <w:jc w:val="center"/>
              <w:rPr>
                <w:rFonts w:ascii="Times New Roman" w:hAnsi="Times New Roman" w:cs="Times New Roman"/>
                <w:sz w:val="21"/>
                <w:szCs w:val="21"/>
              </w:rPr>
            </w:pPr>
          </w:p>
        </w:tc>
        <w:tc>
          <w:tcPr>
            <w:tcW w:w="684" w:type="dxa"/>
            <w:vAlign w:val="center"/>
          </w:tcPr>
          <w:p w14:paraId="43379112">
            <w:pPr>
              <w:pStyle w:val="2265"/>
              <w:widowControl w:val="0"/>
              <w:jc w:val="center"/>
              <w:rPr>
                <w:rFonts w:ascii="Times New Roman" w:hAnsi="Times New Roman" w:cs="Times New Roman"/>
                <w:sz w:val="21"/>
                <w:szCs w:val="21"/>
              </w:rPr>
            </w:pPr>
          </w:p>
        </w:tc>
        <w:tc>
          <w:tcPr>
            <w:tcW w:w="714" w:type="dxa"/>
            <w:vAlign w:val="center"/>
          </w:tcPr>
          <w:p w14:paraId="45C5364E">
            <w:pPr>
              <w:pStyle w:val="2265"/>
              <w:widowControl w:val="0"/>
              <w:jc w:val="center"/>
              <w:rPr>
                <w:rFonts w:ascii="Times New Roman" w:hAnsi="Times New Roman" w:cs="Times New Roman"/>
                <w:sz w:val="21"/>
                <w:szCs w:val="21"/>
              </w:rPr>
            </w:pPr>
          </w:p>
        </w:tc>
        <w:tc>
          <w:tcPr>
            <w:tcW w:w="819" w:type="dxa"/>
            <w:vAlign w:val="center"/>
          </w:tcPr>
          <w:p w14:paraId="39C13537">
            <w:pPr>
              <w:pStyle w:val="2265"/>
              <w:widowControl w:val="0"/>
              <w:jc w:val="center"/>
              <w:rPr>
                <w:rFonts w:ascii="Times New Roman" w:hAnsi="Times New Roman" w:cs="Times New Roman"/>
                <w:sz w:val="21"/>
                <w:szCs w:val="21"/>
              </w:rPr>
            </w:pPr>
          </w:p>
        </w:tc>
        <w:tc>
          <w:tcPr>
            <w:tcW w:w="692" w:type="dxa"/>
            <w:vAlign w:val="center"/>
          </w:tcPr>
          <w:p w14:paraId="44234184">
            <w:pPr>
              <w:pStyle w:val="2265"/>
              <w:widowControl w:val="0"/>
              <w:jc w:val="center"/>
              <w:rPr>
                <w:rFonts w:ascii="Times New Roman" w:hAnsi="Times New Roman" w:cs="Times New Roman"/>
                <w:sz w:val="21"/>
                <w:szCs w:val="21"/>
              </w:rPr>
            </w:pPr>
          </w:p>
        </w:tc>
        <w:tc>
          <w:tcPr>
            <w:tcW w:w="803" w:type="dxa"/>
            <w:vAlign w:val="center"/>
          </w:tcPr>
          <w:p w14:paraId="17954A2F">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803" w:type="dxa"/>
            <w:vAlign w:val="center"/>
          </w:tcPr>
          <w:p w14:paraId="554BAFC2">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760" w:type="dxa"/>
            <w:vAlign w:val="center"/>
          </w:tcPr>
          <w:p w14:paraId="53A298A4">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1L</w:t>
            </w:r>
          </w:p>
        </w:tc>
        <w:tc>
          <w:tcPr>
            <w:tcW w:w="849" w:type="dxa"/>
            <w:vAlign w:val="center"/>
          </w:tcPr>
          <w:p w14:paraId="1FC6AC63">
            <w:pPr>
              <w:pStyle w:val="2265"/>
              <w:widowControl w:val="0"/>
              <w:jc w:val="center"/>
              <w:rPr>
                <w:rFonts w:ascii="Times New Roman" w:hAnsi="Times New Roman" w:cs="Times New Roman"/>
                <w:sz w:val="21"/>
                <w:szCs w:val="21"/>
              </w:rPr>
            </w:pPr>
          </w:p>
        </w:tc>
      </w:tr>
      <w:tr w14:paraId="1539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 w:hRule="atLeast"/>
          <w:jc w:val="center"/>
        </w:trPr>
        <w:tc>
          <w:tcPr>
            <w:tcW w:w="1235" w:type="dxa"/>
            <w:vAlign w:val="center"/>
          </w:tcPr>
          <w:p w14:paraId="0255E4B9">
            <w:pPr>
              <w:pStyle w:val="2265"/>
              <w:widowControl w:val="0"/>
              <w:jc w:val="center"/>
              <w:rPr>
                <w:rFonts w:ascii="Times New Roman" w:hAnsi="Times New Roman" w:cs="Times New Roman"/>
                <w:spacing w:val="-4"/>
                <w:w w:val="95"/>
                <w:sz w:val="21"/>
                <w:szCs w:val="21"/>
              </w:rPr>
            </w:pPr>
            <w:r>
              <w:rPr>
                <w:rFonts w:hint="eastAsia" w:ascii="Times New Roman" w:hAnsi="Times New Roman" w:cs="Times New Roman"/>
                <w:spacing w:val="-4"/>
                <w:w w:val="95"/>
                <w:sz w:val="21"/>
                <w:szCs w:val="21"/>
                <w:lang w:eastAsia="zh-CN"/>
              </w:rPr>
              <w:t>地表水</w:t>
            </w:r>
          </w:p>
        </w:tc>
        <w:tc>
          <w:tcPr>
            <w:tcW w:w="738" w:type="dxa"/>
            <w:vAlign w:val="center"/>
          </w:tcPr>
          <w:p w14:paraId="3434318C">
            <w:pPr>
              <w:pStyle w:val="2265"/>
              <w:widowControl w:val="0"/>
              <w:jc w:val="center"/>
              <w:rPr>
                <w:rFonts w:ascii="Times New Roman" w:hAnsi="Times New Roman" w:cs="Times New Roman"/>
                <w:sz w:val="21"/>
                <w:szCs w:val="21"/>
              </w:rPr>
            </w:pPr>
          </w:p>
        </w:tc>
        <w:tc>
          <w:tcPr>
            <w:tcW w:w="817" w:type="dxa"/>
            <w:vAlign w:val="center"/>
          </w:tcPr>
          <w:p w14:paraId="515DA55F">
            <w:pPr>
              <w:pStyle w:val="2265"/>
              <w:widowControl w:val="0"/>
              <w:jc w:val="center"/>
              <w:rPr>
                <w:rFonts w:ascii="Times New Roman" w:hAnsi="Times New Roman" w:cs="Times New Roman"/>
                <w:sz w:val="21"/>
                <w:szCs w:val="21"/>
              </w:rPr>
            </w:pPr>
          </w:p>
        </w:tc>
        <w:tc>
          <w:tcPr>
            <w:tcW w:w="725" w:type="dxa"/>
            <w:vAlign w:val="center"/>
          </w:tcPr>
          <w:p w14:paraId="109E125E">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684" w:type="dxa"/>
            <w:vAlign w:val="center"/>
          </w:tcPr>
          <w:p w14:paraId="1B33665C">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2S</w:t>
            </w:r>
          </w:p>
        </w:tc>
        <w:tc>
          <w:tcPr>
            <w:tcW w:w="714" w:type="dxa"/>
            <w:vAlign w:val="center"/>
          </w:tcPr>
          <w:p w14:paraId="1DEA9278">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2S</w:t>
            </w:r>
          </w:p>
        </w:tc>
        <w:tc>
          <w:tcPr>
            <w:tcW w:w="819" w:type="dxa"/>
            <w:vAlign w:val="center"/>
          </w:tcPr>
          <w:p w14:paraId="4B01BE2A">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2S</w:t>
            </w:r>
          </w:p>
        </w:tc>
        <w:tc>
          <w:tcPr>
            <w:tcW w:w="692" w:type="dxa"/>
            <w:vAlign w:val="center"/>
          </w:tcPr>
          <w:p w14:paraId="1CE9306B">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2S</w:t>
            </w:r>
          </w:p>
        </w:tc>
        <w:tc>
          <w:tcPr>
            <w:tcW w:w="803" w:type="dxa"/>
            <w:vAlign w:val="center"/>
          </w:tcPr>
          <w:p w14:paraId="38F34693">
            <w:pPr>
              <w:pStyle w:val="2265"/>
              <w:widowControl w:val="0"/>
              <w:jc w:val="center"/>
              <w:rPr>
                <w:rFonts w:ascii="Times New Roman" w:hAnsi="Times New Roman" w:cs="Times New Roman"/>
                <w:spacing w:val="-2"/>
                <w:w w:val="95"/>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803" w:type="dxa"/>
            <w:vAlign w:val="center"/>
          </w:tcPr>
          <w:p w14:paraId="67E736BD">
            <w:pPr>
              <w:pStyle w:val="2265"/>
              <w:widowControl w:val="0"/>
              <w:jc w:val="center"/>
              <w:rPr>
                <w:rFonts w:ascii="Times New Roman" w:hAnsi="Times New Roman" w:cs="Times New Roman"/>
                <w:spacing w:val="-2"/>
                <w:w w:val="95"/>
                <w:sz w:val="21"/>
                <w:szCs w:val="21"/>
              </w:rPr>
            </w:pPr>
          </w:p>
        </w:tc>
        <w:tc>
          <w:tcPr>
            <w:tcW w:w="760" w:type="dxa"/>
            <w:vAlign w:val="center"/>
          </w:tcPr>
          <w:p w14:paraId="2C2BD97D">
            <w:pPr>
              <w:pStyle w:val="2265"/>
              <w:widowControl w:val="0"/>
              <w:jc w:val="center"/>
              <w:rPr>
                <w:rFonts w:ascii="Times New Roman" w:hAnsi="Times New Roman" w:cs="Times New Roman"/>
                <w:w w:val="95"/>
                <w:sz w:val="21"/>
                <w:szCs w:val="21"/>
              </w:rPr>
            </w:pPr>
          </w:p>
        </w:tc>
        <w:tc>
          <w:tcPr>
            <w:tcW w:w="849" w:type="dxa"/>
            <w:vAlign w:val="center"/>
          </w:tcPr>
          <w:p w14:paraId="2943484F">
            <w:pPr>
              <w:pStyle w:val="2265"/>
              <w:widowControl w:val="0"/>
              <w:jc w:val="center"/>
              <w:rPr>
                <w:rFonts w:ascii="Times New Roman" w:hAnsi="Times New Roman" w:cs="Times New Roman"/>
                <w:sz w:val="21"/>
                <w:szCs w:val="21"/>
              </w:rPr>
            </w:pPr>
          </w:p>
        </w:tc>
      </w:tr>
      <w:tr w14:paraId="05EE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235" w:type="dxa"/>
            <w:vAlign w:val="center"/>
          </w:tcPr>
          <w:p w14:paraId="645AD8A7">
            <w:pPr>
              <w:pStyle w:val="2265"/>
              <w:widowControl w:val="0"/>
              <w:jc w:val="center"/>
              <w:rPr>
                <w:rFonts w:ascii="Times New Roman" w:hAnsi="Times New Roman" w:cs="Times New Roman"/>
                <w:sz w:val="21"/>
                <w:szCs w:val="21"/>
              </w:rPr>
            </w:pPr>
            <w:r>
              <w:rPr>
                <w:rFonts w:ascii="Times New Roman" w:hAnsi="Times New Roman" w:cs="Times New Roman"/>
                <w:spacing w:val="-3"/>
                <w:w w:val="95"/>
                <w:sz w:val="21"/>
                <w:szCs w:val="21"/>
              </w:rPr>
              <w:t>土地利用</w:t>
            </w:r>
          </w:p>
        </w:tc>
        <w:tc>
          <w:tcPr>
            <w:tcW w:w="738" w:type="dxa"/>
            <w:vAlign w:val="center"/>
          </w:tcPr>
          <w:p w14:paraId="0C366300">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1L</w:t>
            </w:r>
          </w:p>
        </w:tc>
        <w:tc>
          <w:tcPr>
            <w:tcW w:w="817" w:type="dxa"/>
            <w:vAlign w:val="center"/>
          </w:tcPr>
          <w:p w14:paraId="1D80B2CC">
            <w:pPr>
              <w:pStyle w:val="2265"/>
              <w:widowControl w:val="0"/>
              <w:jc w:val="center"/>
              <w:rPr>
                <w:rFonts w:ascii="Times New Roman" w:hAnsi="Times New Roman" w:cs="Times New Roman"/>
                <w:sz w:val="21"/>
                <w:szCs w:val="21"/>
              </w:rPr>
            </w:pPr>
            <w:r>
              <w:rPr>
                <w:rFonts w:ascii="Times New Roman" w:hAnsi="Times New Roman" w:cs="Times New Roman"/>
                <w:w w:val="95"/>
                <w:sz w:val="21"/>
                <w:szCs w:val="21"/>
              </w:rPr>
              <w:t>-</w:t>
            </w:r>
            <w:r>
              <w:rPr>
                <w:rFonts w:ascii="Times New Roman" w:hAnsi="Times New Roman" w:cs="Times New Roman"/>
                <w:spacing w:val="-5"/>
                <w:sz w:val="21"/>
                <w:szCs w:val="21"/>
              </w:rPr>
              <w:t>2L</w:t>
            </w:r>
          </w:p>
        </w:tc>
        <w:tc>
          <w:tcPr>
            <w:tcW w:w="725" w:type="dxa"/>
            <w:vAlign w:val="center"/>
          </w:tcPr>
          <w:p w14:paraId="6D57EDA2">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684" w:type="dxa"/>
            <w:vAlign w:val="center"/>
          </w:tcPr>
          <w:p w14:paraId="61446286">
            <w:pPr>
              <w:pStyle w:val="2265"/>
              <w:widowControl w:val="0"/>
              <w:jc w:val="center"/>
              <w:rPr>
                <w:rFonts w:ascii="Times New Roman" w:hAnsi="Times New Roman" w:cs="Times New Roman"/>
                <w:sz w:val="21"/>
                <w:szCs w:val="21"/>
              </w:rPr>
            </w:pPr>
            <w:r>
              <w:rPr>
                <w:rFonts w:ascii="Times New Roman" w:hAnsi="Times New Roman" w:cs="Times New Roman"/>
                <w:spacing w:val="-2"/>
                <w:w w:val="95"/>
                <w:sz w:val="21"/>
                <w:szCs w:val="21"/>
              </w:rPr>
              <w:t>-</w:t>
            </w:r>
            <w:r>
              <w:rPr>
                <w:rFonts w:ascii="Times New Roman" w:hAnsi="Times New Roman" w:cs="Times New Roman"/>
                <w:spacing w:val="-5"/>
                <w:w w:val="95"/>
                <w:sz w:val="21"/>
                <w:szCs w:val="21"/>
              </w:rPr>
              <w:t>1S</w:t>
            </w:r>
          </w:p>
        </w:tc>
        <w:tc>
          <w:tcPr>
            <w:tcW w:w="714" w:type="dxa"/>
            <w:vAlign w:val="center"/>
          </w:tcPr>
          <w:p w14:paraId="1784A67E">
            <w:pPr>
              <w:pStyle w:val="2265"/>
              <w:widowControl w:val="0"/>
              <w:jc w:val="center"/>
              <w:rPr>
                <w:rFonts w:ascii="Times New Roman" w:hAnsi="Times New Roman" w:cs="Times New Roman"/>
                <w:sz w:val="21"/>
                <w:szCs w:val="21"/>
              </w:rPr>
            </w:pPr>
          </w:p>
        </w:tc>
        <w:tc>
          <w:tcPr>
            <w:tcW w:w="819" w:type="dxa"/>
            <w:vAlign w:val="center"/>
          </w:tcPr>
          <w:p w14:paraId="56F3F442">
            <w:pPr>
              <w:pStyle w:val="2265"/>
              <w:widowControl w:val="0"/>
              <w:jc w:val="center"/>
              <w:rPr>
                <w:rFonts w:ascii="Times New Roman" w:hAnsi="Times New Roman" w:cs="Times New Roman"/>
                <w:sz w:val="21"/>
                <w:szCs w:val="21"/>
              </w:rPr>
            </w:pPr>
          </w:p>
        </w:tc>
        <w:tc>
          <w:tcPr>
            <w:tcW w:w="692" w:type="dxa"/>
            <w:vAlign w:val="center"/>
          </w:tcPr>
          <w:p w14:paraId="67EE6290">
            <w:pPr>
              <w:pStyle w:val="2265"/>
              <w:widowControl w:val="0"/>
              <w:jc w:val="center"/>
              <w:rPr>
                <w:rFonts w:ascii="Times New Roman" w:hAnsi="Times New Roman" w:cs="Times New Roman"/>
                <w:sz w:val="21"/>
                <w:szCs w:val="21"/>
              </w:rPr>
            </w:pPr>
          </w:p>
        </w:tc>
        <w:tc>
          <w:tcPr>
            <w:tcW w:w="803" w:type="dxa"/>
            <w:vAlign w:val="center"/>
          </w:tcPr>
          <w:p w14:paraId="3F481F4E">
            <w:pPr>
              <w:pStyle w:val="2265"/>
              <w:widowControl w:val="0"/>
              <w:jc w:val="center"/>
              <w:rPr>
                <w:rFonts w:ascii="Times New Roman" w:hAnsi="Times New Roman" w:cs="Times New Roman"/>
                <w:sz w:val="21"/>
                <w:szCs w:val="21"/>
              </w:rPr>
            </w:pPr>
          </w:p>
        </w:tc>
        <w:tc>
          <w:tcPr>
            <w:tcW w:w="803" w:type="dxa"/>
            <w:vAlign w:val="center"/>
          </w:tcPr>
          <w:p w14:paraId="4CE5C9E1">
            <w:pPr>
              <w:pStyle w:val="2265"/>
              <w:widowControl w:val="0"/>
              <w:jc w:val="center"/>
              <w:rPr>
                <w:rFonts w:ascii="Times New Roman" w:hAnsi="Times New Roman" w:cs="Times New Roman"/>
                <w:sz w:val="21"/>
                <w:szCs w:val="21"/>
              </w:rPr>
            </w:pPr>
          </w:p>
        </w:tc>
        <w:tc>
          <w:tcPr>
            <w:tcW w:w="760" w:type="dxa"/>
            <w:vAlign w:val="center"/>
          </w:tcPr>
          <w:p w14:paraId="267E8EB6">
            <w:pPr>
              <w:pStyle w:val="2265"/>
              <w:widowControl w:val="0"/>
              <w:jc w:val="center"/>
              <w:rPr>
                <w:rFonts w:ascii="Times New Roman" w:hAnsi="Times New Roman" w:cs="Times New Roman"/>
                <w:sz w:val="21"/>
                <w:szCs w:val="21"/>
              </w:rPr>
            </w:pPr>
          </w:p>
        </w:tc>
        <w:tc>
          <w:tcPr>
            <w:tcW w:w="849" w:type="dxa"/>
            <w:vAlign w:val="center"/>
          </w:tcPr>
          <w:p w14:paraId="6035AB04">
            <w:pPr>
              <w:pStyle w:val="2265"/>
              <w:widowControl w:val="0"/>
              <w:jc w:val="center"/>
              <w:rPr>
                <w:rFonts w:ascii="Times New Roman" w:hAnsi="Times New Roman" w:cs="Times New Roman"/>
                <w:sz w:val="21"/>
                <w:szCs w:val="21"/>
              </w:rPr>
            </w:pPr>
          </w:p>
        </w:tc>
      </w:tr>
    </w:tbl>
    <w:p w14:paraId="2DF8E734">
      <w:pPr>
        <w:spacing w:line="240" w:lineRule="exact"/>
        <w:ind w:right="357"/>
        <w:rPr>
          <w:rFonts w:ascii="Times New Roman" w:hAnsi="Times New Roman" w:cs="Times New Roman"/>
          <w:sz w:val="21"/>
        </w:rPr>
      </w:pPr>
      <w:r>
        <w:rPr>
          <w:rFonts w:ascii="Times New Roman" w:hAnsi="Times New Roman" w:cs="Times New Roman"/>
          <w:spacing w:val="-3"/>
          <w:w w:val="99"/>
          <w:sz w:val="21"/>
        </w:rPr>
        <w:t>注：“</w:t>
      </w:r>
      <w:r>
        <w:rPr>
          <w:rFonts w:ascii="Times New Roman" w:hAnsi="Times New Roman" w:eastAsia="Times New Roman" w:cs="Times New Roman"/>
          <w:spacing w:val="-1"/>
          <w:w w:val="99"/>
          <w:sz w:val="21"/>
        </w:rPr>
        <w:t>+</w:t>
      </w:r>
      <w:r>
        <w:rPr>
          <w:rFonts w:ascii="Times New Roman" w:hAnsi="Times New Roman" w:cs="Times New Roman"/>
          <w:spacing w:val="-3"/>
          <w:w w:val="99"/>
          <w:sz w:val="21"/>
        </w:rPr>
        <w:t>”</w:t>
      </w:r>
      <w:r>
        <w:rPr>
          <w:rFonts w:ascii="Times New Roman" w:hAnsi="Times New Roman" w:eastAsia="Times New Roman" w:cs="Times New Roman"/>
          <w:w w:val="99"/>
          <w:sz w:val="21"/>
        </w:rPr>
        <w:t>—</w:t>
      </w:r>
      <w:r>
        <w:rPr>
          <w:rFonts w:ascii="Times New Roman" w:hAnsi="Times New Roman" w:cs="Times New Roman"/>
          <w:spacing w:val="-3"/>
          <w:w w:val="99"/>
          <w:sz w:val="21"/>
        </w:rPr>
        <w:t>有利影响，“－”</w:t>
      </w:r>
      <w:r>
        <w:rPr>
          <w:rFonts w:ascii="Times New Roman" w:hAnsi="Times New Roman" w:eastAsia="Times New Roman" w:cs="Times New Roman"/>
          <w:w w:val="99"/>
          <w:sz w:val="21"/>
        </w:rPr>
        <w:t>—</w:t>
      </w:r>
      <w:r>
        <w:rPr>
          <w:rFonts w:ascii="Times New Roman" w:hAnsi="Times New Roman" w:cs="Times New Roman"/>
          <w:spacing w:val="-3"/>
          <w:w w:val="99"/>
          <w:sz w:val="21"/>
        </w:rPr>
        <w:t>不利影响，“</w:t>
      </w:r>
      <w:r>
        <w:rPr>
          <w:rFonts w:ascii="Times New Roman" w:hAnsi="Times New Roman" w:eastAsia="Times New Roman" w:cs="Times New Roman"/>
          <w:spacing w:val="1"/>
          <w:w w:val="99"/>
          <w:sz w:val="21"/>
        </w:rPr>
        <w:t>L</w:t>
      </w:r>
      <w:r>
        <w:rPr>
          <w:rFonts w:ascii="Times New Roman" w:hAnsi="Times New Roman" w:cs="Times New Roman"/>
          <w:spacing w:val="-5"/>
          <w:w w:val="99"/>
          <w:sz w:val="21"/>
        </w:rPr>
        <w:t>”</w:t>
      </w:r>
      <w:r>
        <w:rPr>
          <w:rFonts w:ascii="Times New Roman" w:hAnsi="Times New Roman" w:eastAsia="Times New Roman" w:cs="Times New Roman"/>
          <w:w w:val="99"/>
          <w:sz w:val="21"/>
        </w:rPr>
        <w:t>—</w:t>
      </w:r>
      <w:r>
        <w:rPr>
          <w:rFonts w:ascii="Times New Roman" w:hAnsi="Times New Roman" w:cs="Times New Roman"/>
          <w:spacing w:val="-3"/>
          <w:w w:val="99"/>
          <w:sz w:val="21"/>
        </w:rPr>
        <w:t>长期影响，“</w:t>
      </w:r>
      <w:r>
        <w:rPr>
          <w:rFonts w:ascii="Times New Roman" w:hAnsi="Times New Roman" w:eastAsia="Times New Roman" w:cs="Times New Roman"/>
          <w:spacing w:val="1"/>
          <w:w w:val="99"/>
          <w:sz w:val="21"/>
        </w:rPr>
        <w:t>S</w:t>
      </w:r>
      <w:r>
        <w:rPr>
          <w:rFonts w:ascii="Times New Roman" w:hAnsi="Times New Roman" w:cs="Times New Roman"/>
          <w:spacing w:val="-5"/>
          <w:w w:val="99"/>
          <w:sz w:val="21"/>
        </w:rPr>
        <w:t>”</w:t>
      </w:r>
      <w:r>
        <w:rPr>
          <w:rFonts w:ascii="Times New Roman" w:hAnsi="Times New Roman" w:eastAsia="Times New Roman" w:cs="Times New Roman"/>
          <w:w w:val="99"/>
          <w:sz w:val="21"/>
        </w:rPr>
        <w:t>—</w:t>
      </w:r>
      <w:r>
        <w:rPr>
          <w:rFonts w:ascii="Times New Roman" w:hAnsi="Times New Roman" w:cs="Times New Roman"/>
          <w:spacing w:val="-3"/>
          <w:w w:val="99"/>
          <w:sz w:val="21"/>
        </w:rPr>
        <w:t>短期影响，“</w:t>
      </w:r>
      <w:r>
        <w:rPr>
          <w:rFonts w:ascii="Times New Roman" w:hAnsi="Times New Roman" w:eastAsia="Times New Roman" w:cs="Times New Roman"/>
          <w:spacing w:val="1"/>
          <w:w w:val="99"/>
          <w:sz w:val="21"/>
        </w:rPr>
        <w:t>1</w:t>
      </w:r>
      <w:r>
        <w:rPr>
          <w:rFonts w:ascii="Times New Roman" w:hAnsi="Times New Roman" w:cs="Times New Roman"/>
          <w:spacing w:val="-5"/>
          <w:w w:val="99"/>
          <w:sz w:val="21"/>
        </w:rPr>
        <w:t>”</w:t>
      </w:r>
      <w:r>
        <w:rPr>
          <w:rFonts w:ascii="Times New Roman" w:hAnsi="Times New Roman" w:eastAsia="Times New Roman" w:cs="Times New Roman"/>
          <w:w w:val="99"/>
          <w:sz w:val="21"/>
        </w:rPr>
        <w:t>—</w:t>
      </w:r>
      <w:r>
        <w:rPr>
          <w:rFonts w:ascii="Times New Roman" w:hAnsi="Times New Roman" w:cs="Times New Roman"/>
          <w:w w:val="99"/>
          <w:sz w:val="21"/>
        </w:rPr>
        <w:t>明显影响，“</w:t>
      </w:r>
      <w:r>
        <w:rPr>
          <w:rFonts w:ascii="Times New Roman" w:hAnsi="Times New Roman" w:eastAsia="Times New Roman" w:cs="Times New Roman"/>
          <w:spacing w:val="1"/>
          <w:w w:val="99"/>
          <w:sz w:val="21"/>
        </w:rPr>
        <w:t>2</w:t>
      </w:r>
      <w:r>
        <w:rPr>
          <w:rFonts w:ascii="Times New Roman" w:hAnsi="Times New Roman" w:cs="Times New Roman"/>
          <w:spacing w:val="-1"/>
          <w:w w:val="99"/>
          <w:sz w:val="21"/>
        </w:rPr>
        <w:t>”</w:t>
      </w:r>
      <w:r>
        <w:rPr>
          <w:rFonts w:ascii="Times New Roman" w:hAnsi="Times New Roman" w:eastAsia="Times New Roman" w:cs="Times New Roman"/>
          <w:w w:val="99"/>
          <w:sz w:val="21"/>
        </w:rPr>
        <w:t>—</w:t>
      </w:r>
      <w:r>
        <w:rPr>
          <w:rFonts w:ascii="Times New Roman" w:hAnsi="Times New Roman" w:cs="Times New Roman"/>
          <w:spacing w:val="-1"/>
          <w:w w:val="99"/>
          <w:sz w:val="21"/>
        </w:rPr>
        <w:t>轻微影响，空白为无影响。</w:t>
      </w:r>
    </w:p>
    <w:bookmarkEnd w:id="114"/>
    <w:p w14:paraId="40CA73C8">
      <w:pPr>
        <w:widowControl w:val="0"/>
        <w:autoSpaceDE w:val="0"/>
        <w:autoSpaceDN w:val="0"/>
        <w:adjustRightInd w:val="0"/>
        <w:rPr>
          <w:rFonts w:ascii="Times New Roman" w:hAnsi="Times New Roman" w:cs="Times New Roman"/>
        </w:rPr>
      </w:pPr>
    </w:p>
    <w:p w14:paraId="31C89AD8">
      <w:pPr>
        <w:pStyle w:val="4"/>
        <w:adjustRightInd w:val="0"/>
        <w:snapToGrid w:val="0"/>
        <w:spacing w:before="156" w:after="156" w:line="240" w:lineRule="auto"/>
        <w:rPr>
          <w:rFonts w:ascii="Times New Roman" w:hAnsi="Times New Roman" w:cs="Times New Roman"/>
        </w:rPr>
      </w:pPr>
      <w:r>
        <w:rPr>
          <w:rFonts w:ascii="Times New Roman" w:hAnsi="Times New Roman" w:cs="Times New Roman"/>
        </w:rPr>
        <w:t>2.2.2评价因子</w:t>
      </w:r>
      <w:bookmarkEnd w:id="115"/>
      <w:bookmarkEnd w:id="116"/>
      <w:bookmarkEnd w:id="117"/>
      <w:bookmarkEnd w:id="118"/>
      <w:bookmarkEnd w:id="119"/>
      <w:bookmarkEnd w:id="120"/>
      <w:bookmarkEnd w:id="121"/>
      <w:bookmarkEnd w:id="122"/>
    </w:p>
    <w:p w14:paraId="77E92C7A">
      <w:pPr>
        <w:pStyle w:val="220"/>
        <w:adjustRightInd w:val="0"/>
        <w:snapToGrid w:val="0"/>
        <w:ind w:firstLine="464" w:firstLineChars="200"/>
        <w:rPr>
          <w:rFonts w:ascii="Times New Roman" w:hAnsi="Times New Roman" w:cs="Times New Roman"/>
          <w:spacing w:val="-4"/>
        </w:rPr>
      </w:pPr>
      <w:bookmarkStart w:id="123" w:name="_Toc381605957"/>
      <w:bookmarkStart w:id="124" w:name="_Toc316511003"/>
      <w:bookmarkStart w:id="125" w:name="_Toc316561603"/>
      <w:r>
        <w:rPr>
          <w:rFonts w:ascii="Times New Roman" w:hAnsi="Times New Roman" w:cs="Times New Roman"/>
          <w:spacing w:val="-4"/>
        </w:rPr>
        <w:t>本项目主要环境影响因素的评价因子见表2.2-2。</w:t>
      </w:r>
    </w:p>
    <w:p w14:paraId="475C469F">
      <w:pPr>
        <w:jc w:val="center"/>
        <w:rPr>
          <w:rFonts w:ascii="黑体" w:hAnsi="黑体" w:eastAsia="黑体" w:cs="Times New Roman"/>
        </w:rPr>
      </w:pPr>
      <w:r>
        <w:rPr>
          <w:rFonts w:ascii="黑体" w:hAnsi="黑体" w:eastAsia="黑体" w:cs="Times New Roman"/>
        </w:rPr>
        <w:t>表2.2-2  评价因子一览表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206"/>
        <w:gridCol w:w="974"/>
        <w:gridCol w:w="5142"/>
      </w:tblGrid>
      <w:tr w14:paraId="22DE0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tcBorders>
              <w:top w:val="single" w:color="auto" w:sz="4" w:space="0"/>
              <w:left w:val="single" w:color="auto" w:sz="4" w:space="0"/>
              <w:bottom w:val="single" w:color="auto" w:sz="4" w:space="0"/>
            </w:tcBorders>
            <w:vAlign w:val="center"/>
          </w:tcPr>
          <w:p w14:paraId="3A0E16CE">
            <w:pPr>
              <w:pStyle w:val="167"/>
              <w:spacing w:before="0" w:after="0"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类型</w:t>
            </w:r>
          </w:p>
        </w:tc>
        <w:tc>
          <w:tcPr>
            <w:tcW w:w="1278" w:type="pct"/>
            <w:gridSpan w:val="2"/>
            <w:tcBorders>
              <w:top w:val="single" w:color="auto" w:sz="4" w:space="0"/>
              <w:bottom w:val="single" w:color="auto" w:sz="4" w:space="0"/>
            </w:tcBorders>
            <w:vAlign w:val="center"/>
          </w:tcPr>
          <w:p w14:paraId="498DBCE5">
            <w:pPr>
              <w:pStyle w:val="167"/>
              <w:spacing w:before="0" w:after="0"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评价内容</w:t>
            </w:r>
          </w:p>
        </w:tc>
        <w:tc>
          <w:tcPr>
            <w:tcW w:w="3015" w:type="pct"/>
            <w:tcBorders>
              <w:top w:val="single" w:color="auto" w:sz="4" w:space="0"/>
              <w:bottom w:val="single" w:color="auto" w:sz="4" w:space="0"/>
              <w:right w:val="single" w:color="auto" w:sz="4" w:space="0"/>
            </w:tcBorders>
            <w:vAlign w:val="center"/>
          </w:tcPr>
          <w:p w14:paraId="5D9471C9">
            <w:pPr>
              <w:pStyle w:val="167"/>
              <w:spacing w:before="0" w:after="0"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评价因子</w:t>
            </w:r>
          </w:p>
        </w:tc>
      </w:tr>
      <w:tr w14:paraId="2AB1B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restart"/>
            <w:tcBorders>
              <w:top w:val="single" w:color="auto" w:sz="4" w:space="0"/>
              <w:left w:val="single" w:color="auto" w:sz="4" w:space="0"/>
              <w:bottom w:val="single" w:color="auto" w:sz="4" w:space="0"/>
            </w:tcBorders>
            <w:vAlign w:val="center"/>
          </w:tcPr>
          <w:p w14:paraId="3AFDF5CF">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生态环境</w:t>
            </w:r>
          </w:p>
        </w:tc>
        <w:tc>
          <w:tcPr>
            <w:tcW w:w="1278" w:type="pct"/>
            <w:gridSpan w:val="2"/>
            <w:tcBorders>
              <w:top w:val="single" w:color="auto" w:sz="4" w:space="0"/>
              <w:bottom w:val="single" w:color="auto" w:sz="4" w:space="0"/>
            </w:tcBorders>
            <w:vAlign w:val="center"/>
          </w:tcPr>
          <w:p w14:paraId="3BCBE090">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物种</w:t>
            </w:r>
          </w:p>
        </w:tc>
        <w:tc>
          <w:tcPr>
            <w:tcW w:w="3015" w:type="pct"/>
            <w:tcBorders>
              <w:top w:val="single" w:color="auto" w:sz="4" w:space="0"/>
              <w:bottom w:val="single" w:color="auto" w:sz="4" w:space="0"/>
              <w:right w:val="single" w:color="auto" w:sz="4" w:space="0"/>
            </w:tcBorders>
            <w:vAlign w:val="center"/>
          </w:tcPr>
          <w:p w14:paraId="1772D067">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分布范围、种群数量、种群结构、行为等</w:t>
            </w:r>
          </w:p>
        </w:tc>
      </w:tr>
      <w:tr w14:paraId="638D0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7F849D36">
            <w:pPr>
              <w:pStyle w:val="167"/>
              <w:spacing w:before="0" w:after="0" w:line="240" w:lineRule="auto"/>
              <w:jc w:val="center"/>
              <w:rPr>
                <w:rFonts w:ascii="Times New Roman" w:hAnsi="Times New Roman" w:eastAsia="宋体" w:cs="Times New Roman"/>
                <w:sz w:val="21"/>
                <w:szCs w:val="21"/>
              </w:rPr>
            </w:pPr>
          </w:p>
        </w:tc>
        <w:tc>
          <w:tcPr>
            <w:tcW w:w="1278" w:type="pct"/>
            <w:gridSpan w:val="2"/>
            <w:tcBorders>
              <w:top w:val="single" w:color="auto" w:sz="4" w:space="0"/>
              <w:bottom w:val="single" w:color="auto" w:sz="4" w:space="0"/>
            </w:tcBorders>
            <w:vAlign w:val="center"/>
          </w:tcPr>
          <w:p w14:paraId="1D902073">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生境</w:t>
            </w:r>
          </w:p>
        </w:tc>
        <w:tc>
          <w:tcPr>
            <w:tcW w:w="3015" w:type="pct"/>
            <w:tcBorders>
              <w:top w:val="single" w:color="auto" w:sz="4" w:space="0"/>
              <w:bottom w:val="single" w:color="auto" w:sz="4" w:space="0"/>
              <w:right w:val="single" w:color="auto" w:sz="4" w:space="0"/>
            </w:tcBorders>
            <w:vAlign w:val="center"/>
          </w:tcPr>
          <w:p w14:paraId="3D398AC2">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生境面积、连通性等</w:t>
            </w:r>
          </w:p>
        </w:tc>
      </w:tr>
      <w:tr w14:paraId="380FA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34C73278">
            <w:pPr>
              <w:pStyle w:val="167"/>
              <w:spacing w:before="0" w:after="0" w:line="240" w:lineRule="auto"/>
              <w:jc w:val="center"/>
              <w:rPr>
                <w:rFonts w:ascii="Times New Roman" w:hAnsi="Times New Roman" w:eastAsia="宋体" w:cs="Times New Roman"/>
                <w:sz w:val="21"/>
                <w:szCs w:val="21"/>
              </w:rPr>
            </w:pPr>
          </w:p>
        </w:tc>
        <w:tc>
          <w:tcPr>
            <w:tcW w:w="1278" w:type="pct"/>
            <w:gridSpan w:val="2"/>
            <w:tcBorders>
              <w:top w:val="single" w:color="auto" w:sz="4" w:space="0"/>
              <w:bottom w:val="single" w:color="auto" w:sz="4" w:space="0"/>
            </w:tcBorders>
            <w:vAlign w:val="center"/>
          </w:tcPr>
          <w:p w14:paraId="58E803B4">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生物群落</w:t>
            </w:r>
          </w:p>
        </w:tc>
        <w:tc>
          <w:tcPr>
            <w:tcW w:w="3015" w:type="pct"/>
            <w:tcBorders>
              <w:top w:val="single" w:color="auto" w:sz="4" w:space="0"/>
              <w:bottom w:val="single" w:color="auto" w:sz="4" w:space="0"/>
              <w:right w:val="single" w:color="auto" w:sz="4" w:space="0"/>
            </w:tcBorders>
            <w:vAlign w:val="center"/>
          </w:tcPr>
          <w:p w14:paraId="57E2EFA0">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物种组成、群落结构等</w:t>
            </w:r>
          </w:p>
        </w:tc>
      </w:tr>
      <w:tr w14:paraId="6A4EF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4ABECC53">
            <w:pPr>
              <w:pStyle w:val="167"/>
              <w:spacing w:before="0" w:after="0" w:line="240" w:lineRule="auto"/>
              <w:jc w:val="center"/>
              <w:rPr>
                <w:rFonts w:ascii="Times New Roman" w:hAnsi="Times New Roman" w:eastAsia="宋体" w:cs="Times New Roman"/>
                <w:sz w:val="21"/>
                <w:szCs w:val="21"/>
              </w:rPr>
            </w:pPr>
          </w:p>
        </w:tc>
        <w:tc>
          <w:tcPr>
            <w:tcW w:w="1278" w:type="pct"/>
            <w:gridSpan w:val="2"/>
            <w:tcBorders>
              <w:top w:val="single" w:color="auto" w:sz="4" w:space="0"/>
              <w:bottom w:val="single" w:color="auto" w:sz="4" w:space="0"/>
            </w:tcBorders>
            <w:vAlign w:val="center"/>
          </w:tcPr>
          <w:p w14:paraId="14B1755B">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生态系统</w:t>
            </w:r>
          </w:p>
        </w:tc>
        <w:tc>
          <w:tcPr>
            <w:tcW w:w="3015" w:type="pct"/>
            <w:tcBorders>
              <w:top w:val="single" w:color="auto" w:sz="4" w:space="0"/>
              <w:bottom w:val="single" w:color="auto" w:sz="4" w:space="0"/>
              <w:right w:val="single" w:color="auto" w:sz="4" w:space="0"/>
            </w:tcBorders>
            <w:vAlign w:val="center"/>
          </w:tcPr>
          <w:p w14:paraId="76EFD86E">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植被覆盖度、生产力、生物量等</w:t>
            </w:r>
          </w:p>
        </w:tc>
      </w:tr>
      <w:tr w14:paraId="4F369D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71C8E346">
            <w:pPr>
              <w:pStyle w:val="167"/>
              <w:spacing w:before="0" w:after="0" w:line="240" w:lineRule="auto"/>
              <w:jc w:val="center"/>
              <w:rPr>
                <w:rFonts w:ascii="Times New Roman" w:hAnsi="Times New Roman" w:eastAsia="宋体" w:cs="Times New Roman"/>
                <w:sz w:val="21"/>
                <w:szCs w:val="21"/>
              </w:rPr>
            </w:pPr>
          </w:p>
        </w:tc>
        <w:tc>
          <w:tcPr>
            <w:tcW w:w="1278" w:type="pct"/>
            <w:gridSpan w:val="2"/>
            <w:tcBorders>
              <w:top w:val="single" w:color="auto" w:sz="4" w:space="0"/>
              <w:bottom w:val="single" w:color="auto" w:sz="4" w:space="0"/>
            </w:tcBorders>
            <w:vAlign w:val="center"/>
          </w:tcPr>
          <w:p w14:paraId="42C3FB73">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生物多样性</w:t>
            </w:r>
          </w:p>
        </w:tc>
        <w:tc>
          <w:tcPr>
            <w:tcW w:w="3015" w:type="pct"/>
            <w:tcBorders>
              <w:top w:val="single" w:color="auto" w:sz="4" w:space="0"/>
              <w:bottom w:val="single" w:color="auto" w:sz="4" w:space="0"/>
              <w:right w:val="single" w:color="auto" w:sz="4" w:space="0"/>
            </w:tcBorders>
            <w:vAlign w:val="center"/>
          </w:tcPr>
          <w:p w14:paraId="739250E7">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物种丰富度</w:t>
            </w:r>
          </w:p>
        </w:tc>
      </w:tr>
      <w:tr w14:paraId="6FAEC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restart"/>
            <w:tcBorders>
              <w:top w:val="single" w:color="auto" w:sz="4" w:space="0"/>
              <w:left w:val="single" w:color="auto" w:sz="4" w:space="0"/>
            </w:tcBorders>
            <w:vAlign w:val="center"/>
          </w:tcPr>
          <w:p w14:paraId="7D52E925">
            <w:pPr>
              <w:pStyle w:val="167"/>
              <w:spacing w:before="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地表水环境</w:t>
            </w:r>
          </w:p>
        </w:tc>
        <w:tc>
          <w:tcPr>
            <w:tcW w:w="1278" w:type="pct"/>
            <w:gridSpan w:val="2"/>
            <w:tcBorders>
              <w:top w:val="single" w:color="auto" w:sz="4" w:space="0"/>
              <w:bottom w:val="single" w:color="auto" w:sz="4" w:space="0"/>
            </w:tcBorders>
            <w:vAlign w:val="center"/>
          </w:tcPr>
          <w:p w14:paraId="70C723AE">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现状评价</w:t>
            </w:r>
          </w:p>
        </w:tc>
        <w:tc>
          <w:tcPr>
            <w:tcW w:w="3015" w:type="pct"/>
            <w:tcBorders>
              <w:top w:val="single" w:color="auto" w:sz="4" w:space="0"/>
              <w:bottom w:val="single" w:color="auto" w:sz="4" w:space="0"/>
              <w:right w:val="single" w:color="auto" w:sz="4" w:space="0"/>
            </w:tcBorders>
            <w:vAlign w:val="center"/>
          </w:tcPr>
          <w:p w14:paraId="22B0B223">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pH、SS、COD、BOD</w:t>
            </w:r>
            <w:r>
              <w:rPr>
                <w:rFonts w:ascii="Times New Roman" w:hAnsi="Times New Roman" w:eastAsia="宋体" w:cs="Times New Roman"/>
                <w:sz w:val="21"/>
                <w:szCs w:val="21"/>
                <w:vertAlign w:val="subscript"/>
              </w:rPr>
              <w:t>5</w:t>
            </w:r>
            <w:r>
              <w:rPr>
                <w:rFonts w:ascii="Times New Roman" w:hAnsi="Times New Roman" w:eastAsia="宋体" w:cs="Times New Roman"/>
                <w:sz w:val="21"/>
                <w:szCs w:val="21"/>
              </w:rPr>
              <w:t>、氨</w:t>
            </w:r>
            <w:r>
              <w:rPr>
                <w:rFonts w:hint="eastAsia" w:ascii="Times New Roman" w:hAnsi="Times New Roman" w:eastAsia="宋体" w:cs="Times New Roman"/>
                <w:sz w:val="21"/>
                <w:szCs w:val="21"/>
              </w:rPr>
              <w:t>氮、</w:t>
            </w:r>
            <w:r>
              <w:rPr>
                <w:rFonts w:ascii="Times New Roman" w:hAnsi="Times New Roman" w:eastAsia="宋体" w:cs="Times New Roman"/>
                <w:sz w:val="21"/>
                <w:szCs w:val="21"/>
              </w:rPr>
              <w:t>TP、石油类</w:t>
            </w:r>
          </w:p>
        </w:tc>
      </w:tr>
      <w:tr w14:paraId="5D5A9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left w:val="single" w:color="auto" w:sz="4" w:space="0"/>
            </w:tcBorders>
            <w:vAlign w:val="center"/>
          </w:tcPr>
          <w:p w14:paraId="1E0E9766">
            <w:pPr>
              <w:pStyle w:val="167"/>
              <w:spacing w:before="0" w:after="0" w:line="240" w:lineRule="auto"/>
              <w:jc w:val="center"/>
              <w:rPr>
                <w:rFonts w:ascii="Times New Roman" w:hAnsi="Times New Roman" w:eastAsia="宋体" w:cs="Times New Roman"/>
                <w:sz w:val="21"/>
                <w:szCs w:val="21"/>
              </w:rPr>
            </w:pPr>
          </w:p>
        </w:tc>
        <w:tc>
          <w:tcPr>
            <w:tcW w:w="707" w:type="pct"/>
            <w:vMerge w:val="restart"/>
            <w:tcBorders>
              <w:top w:val="single" w:color="auto" w:sz="4" w:space="0"/>
            </w:tcBorders>
            <w:vAlign w:val="center"/>
          </w:tcPr>
          <w:p w14:paraId="30D2E804">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71" w:type="pct"/>
            <w:tcBorders>
              <w:top w:val="single" w:color="auto" w:sz="4" w:space="0"/>
              <w:bottom w:val="single" w:color="auto" w:sz="4" w:space="0"/>
            </w:tcBorders>
            <w:vAlign w:val="center"/>
          </w:tcPr>
          <w:p w14:paraId="261BB1A1">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施工期</w:t>
            </w:r>
          </w:p>
        </w:tc>
        <w:tc>
          <w:tcPr>
            <w:tcW w:w="3015" w:type="pct"/>
            <w:tcBorders>
              <w:top w:val="single" w:color="auto" w:sz="4" w:space="0"/>
              <w:bottom w:val="single" w:color="auto" w:sz="4" w:space="0"/>
              <w:right w:val="single" w:color="auto" w:sz="4" w:space="0"/>
            </w:tcBorders>
            <w:vAlign w:val="center"/>
          </w:tcPr>
          <w:p w14:paraId="0F7A2E9B">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pH、SS、COD、BOD</w:t>
            </w:r>
            <w:r>
              <w:rPr>
                <w:rFonts w:ascii="Times New Roman" w:hAnsi="Times New Roman" w:eastAsia="宋体" w:cs="Times New Roman"/>
                <w:sz w:val="21"/>
                <w:szCs w:val="21"/>
                <w:vertAlign w:val="subscript"/>
              </w:rPr>
              <w:t>5</w:t>
            </w:r>
            <w:r>
              <w:rPr>
                <w:rFonts w:ascii="Times New Roman" w:hAnsi="Times New Roman" w:eastAsia="宋体" w:cs="Times New Roman"/>
                <w:sz w:val="21"/>
                <w:szCs w:val="21"/>
              </w:rPr>
              <w:t>、氨</w:t>
            </w:r>
            <w:r>
              <w:rPr>
                <w:rFonts w:hint="eastAsia" w:ascii="Times New Roman" w:hAnsi="Times New Roman" w:eastAsia="宋体" w:cs="Times New Roman"/>
                <w:sz w:val="21"/>
                <w:szCs w:val="21"/>
              </w:rPr>
              <w:t>氮、</w:t>
            </w:r>
            <w:r>
              <w:rPr>
                <w:rFonts w:ascii="Times New Roman" w:hAnsi="Times New Roman" w:eastAsia="宋体" w:cs="Times New Roman"/>
                <w:sz w:val="21"/>
                <w:szCs w:val="21"/>
              </w:rPr>
              <w:t>TP、石油类</w:t>
            </w:r>
          </w:p>
        </w:tc>
      </w:tr>
      <w:tr w14:paraId="3B296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left w:val="single" w:color="auto" w:sz="4" w:space="0"/>
              <w:bottom w:val="single" w:color="auto" w:sz="4" w:space="0"/>
            </w:tcBorders>
            <w:vAlign w:val="center"/>
          </w:tcPr>
          <w:p w14:paraId="786711E8">
            <w:pPr>
              <w:pStyle w:val="167"/>
              <w:spacing w:before="0" w:after="0" w:line="240" w:lineRule="auto"/>
              <w:jc w:val="center"/>
              <w:rPr>
                <w:rFonts w:ascii="Times New Roman" w:hAnsi="Times New Roman" w:eastAsia="宋体" w:cs="Times New Roman"/>
                <w:sz w:val="21"/>
                <w:szCs w:val="21"/>
              </w:rPr>
            </w:pPr>
          </w:p>
        </w:tc>
        <w:tc>
          <w:tcPr>
            <w:tcW w:w="707" w:type="pct"/>
            <w:vMerge w:val="continue"/>
            <w:tcBorders>
              <w:bottom w:val="single" w:color="auto" w:sz="4" w:space="0"/>
            </w:tcBorders>
            <w:vAlign w:val="center"/>
          </w:tcPr>
          <w:p w14:paraId="2526DD54">
            <w:pPr>
              <w:pStyle w:val="167"/>
              <w:spacing w:before="0" w:after="0" w:line="240" w:lineRule="auto"/>
              <w:jc w:val="center"/>
              <w:rPr>
                <w:rFonts w:ascii="Times New Roman" w:hAnsi="Times New Roman" w:eastAsia="宋体" w:cs="Times New Roman"/>
                <w:sz w:val="21"/>
                <w:szCs w:val="21"/>
              </w:rPr>
            </w:pPr>
          </w:p>
        </w:tc>
        <w:tc>
          <w:tcPr>
            <w:tcW w:w="571" w:type="pct"/>
            <w:tcBorders>
              <w:top w:val="single" w:color="auto" w:sz="4" w:space="0"/>
              <w:bottom w:val="single" w:color="auto" w:sz="4" w:space="0"/>
            </w:tcBorders>
            <w:vAlign w:val="center"/>
          </w:tcPr>
          <w:p w14:paraId="5F05B6A8">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营运期</w:t>
            </w:r>
          </w:p>
        </w:tc>
        <w:tc>
          <w:tcPr>
            <w:tcW w:w="3015" w:type="pct"/>
            <w:tcBorders>
              <w:top w:val="single" w:color="auto" w:sz="4" w:space="0"/>
              <w:bottom w:val="single" w:color="auto" w:sz="4" w:space="0"/>
              <w:right w:val="single" w:color="auto" w:sz="4" w:space="0"/>
            </w:tcBorders>
            <w:vAlign w:val="center"/>
          </w:tcPr>
          <w:p w14:paraId="793D2E62">
            <w:pPr>
              <w:pStyle w:val="167"/>
              <w:spacing w:before="0" w:after="0"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地表水保护措施可行性</w:t>
            </w:r>
          </w:p>
        </w:tc>
      </w:tr>
      <w:tr w14:paraId="1EA45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restart"/>
            <w:tcBorders>
              <w:top w:val="single" w:color="auto" w:sz="4" w:space="0"/>
              <w:left w:val="single" w:color="auto" w:sz="4" w:space="0"/>
              <w:bottom w:val="single" w:color="auto" w:sz="4" w:space="0"/>
            </w:tcBorders>
            <w:vAlign w:val="center"/>
          </w:tcPr>
          <w:p w14:paraId="3D5EAB27">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声环境</w:t>
            </w:r>
          </w:p>
        </w:tc>
        <w:tc>
          <w:tcPr>
            <w:tcW w:w="1278" w:type="pct"/>
            <w:gridSpan w:val="2"/>
            <w:tcBorders>
              <w:top w:val="single" w:color="auto" w:sz="4" w:space="0"/>
              <w:bottom w:val="single" w:color="auto" w:sz="4" w:space="0"/>
            </w:tcBorders>
            <w:vAlign w:val="center"/>
          </w:tcPr>
          <w:p w14:paraId="73D8D593">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现状评价</w:t>
            </w:r>
          </w:p>
        </w:tc>
        <w:tc>
          <w:tcPr>
            <w:tcW w:w="3015" w:type="pct"/>
            <w:tcBorders>
              <w:top w:val="single" w:color="auto" w:sz="4" w:space="0"/>
              <w:bottom w:val="single" w:color="auto" w:sz="4" w:space="0"/>
              <w:right w:val="single" w:color="auto" w:sz="4" w:space="0"/>
            </w:tcBorders>
            <w:vAlign w:val="center"/>
          </w:tcPr>
          <w:p w14:paraId="60866382">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r w14:paraId="415B6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228ADCE1">
            <w:pPr>
              <w:pStyle w:val="167"/>
              <w:spacing w:before="0" w:after="0" w:line="240" w:lineRule="auto"/>
              <w:jc w:val="center"/>
              <w:rPr>
                <w:rFonts w:ascii="Times New Roman" w:hAnsi="Times New Roman" w:eastAsia="宋体" w:cs="Times New Roman"/>
                <w:sz w:val="21"/>
                <w:szCs w:val="21"/>
              </w:rPr>
            </w:pPr>
          </w:p>
        </w:tc>
        <w:tc>
          <w:tcPr>
            <w:tcW w:w="707" w:type="pct"/>
            <w:vMerge w:val="restart"/>
            <w:tcBorders>
              <w:top w:val="single" w:color="auto" w:sz="4" w:space="0"/>
              <w:bottom w:val="single" w:color="auto" w:sz="4" w:space="0"/>
            </w:tcBorders>
            <w:vAlign w:val="center"/>
          </w:tcPr>
          <w:p w14:paraId="44487ABB">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71" w:type="pct"/>
            <w:tcBorders>
              <w:top w:val="single" w:color="auto" w:sz="4" w:space="0"/>
              <w:bottom w:val="single" w:color="auto" w:sz="4" w:space="0"/>
            </w:tcBorders>
            <w:vAlign w:val="center"/>
          </w:tcPr>
          <w:p w14:paraId="2B992D5A">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施工期</w:t>
            </w:r>
          </w:p>
        </w:tc>
        <w:tc>
          <w:tcPr>
            <w:tcW w:w="3015" w:type="pct"/>
            <w:vMerge w:val="restart"/>
            <w:tcBorders>
              <w:top w:val="single" w:color="auto" w:sz="4" w:space="0"/>
              <w:bottom w:val="single" w:color="auto" w:sz="4" w:space="0"/>
              <w:right w:val="single" w:color="auto" w:sz="4" w:space="0"/>
            </w:tcBorders>
            <w:vAlign w:val="center"/>
          </w:tcPr>
          <w:p w14:paraId="2E6DB23C">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昼间等效连续A声级、夜间等效连续A声级</w:t>
            </w:r>
          </w:p>
        </w:tc>
      </w:tr>
      <w:tr w14:paraId="00409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6AA96880">
            <w:pPr>
              <w:pStyle w:val="167"/>
              <w:spacing w:before="0" w:after="0" w:line="240" w:lineRule="auto"/>
              <w:jc w:val="center"/>
              <w:rPr>
                <w:rFonts w:ascii="Times New Roman" w:hAnsi="Times New Roman" w:eastAsia="宋体" w:cs="Times New Roman"/>
                <w:sz w:val="21"/>
                <w:szCs w:val="21"/>
              </w:rPr>
            </w:pPr>
          </w:p>
        </w:tc>
        <w:tc>
          <w:tcPr>
            <w:tcW w:w="707" w:type="pct"/>
            <w:vMerge w:val="continue"/>
            <w:tcBorders>
              <w:top w:val="single" w:color="auto" w:sz="4" w:space="0"/>
              <w:bottom w:val="single" w:color="auto" w:sz="4" w:space="0"/>
            </w:tcBorders>
            <w:vAlign w:val="center"/>
          </w:tcPr>
          <w:p w14:paraId="001AF894">
            <w:pPr>
              <w:pStyle w:val="167"/>
              <w:spacing w:before="0" w:after="0" w:line="240" w:lineRule="auto"/>
              <w:jc w:val="center"/>
              <w:rPr>
                <w:rFonts w:ascii="Times New Roman" w:hAnsi="Times New Roman" w:eastAsia="宋体" w:cs="Times New Roman"/>
                <w:sz w:val="21"/>
                <w:szCs w:val="21"/>
              </w:rPr>
            </w:pPr>
          </w:p>
        </w:tc>
        <w:tc>
          <w:tcPr>
            <w:tcW w:w="571" w:type="pct"/>
            <w:tcBorders>
              <w:top w:val="single" w:color="auto" w:sz="4" w:space="0"/>
              <w:bottom w:val="single" w:color="auto" w:sz="4" w:space="0"/>
            </w:tcBorders>
            <w:vAlign w:val="center"/>
          </w:tcPr>
          <w:p w14:paraId="25BF05D5">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营运期</w:t>
            </w:r>
          </w:p>
        </w:tc>
        <w:tc>
          <w:tcPr>
            <w:tcW w:w="3015" w:type="pct"/>
            <w:vMerge w:val="continue"/>
            <w:tcBorders>
              <w:top w:val="single" w:color="auto" w:sz="4" w:space="0"/>
              <w:bottom w:val="single" w:color="auto" w:sz="4" w:space="0"/>
              <w:right w:val="single" w:color="auto" w:sz="4" w:space="0"/>
            </w:tcBorders>
            <w:vAlign w:val="center"/>
          </w:tcPr>
          <w:p w14:paraId="2C4F7B79">
            <w:pPr>
              <w:pStyle w:val="167"/>
              <w:spacing w:before="0" w:after="0" w:line="240" w:lineRule="auto"/>
              <w:jc w:val="center"/>
              <w:rPr>
                <w:rFonts w:ascii="Times New Roman" w:hAnsi="Times New Roman" w:eastAsia="宋体" w:cs="Times New Roman"/>
                <w:sz w:val="21"/>
                <w:szCs w:val="21"/>
              </w:rPr>
            </w:pPr>
          </w:p>
        </w:tc>
      </w:tr>
      <w:tr w14:paraId="2B994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restart"/>
            <w:tcBorders>
              <w:top w:val="single" w:color="auto" w:sz="4" w:space="0"/>
              <w:left w:val="single" w:color="auto" w:sz="4" w:space="0"/>
              <w:bottom w:val="single" w:color="auto" w:sz="4" w:space="0"/>
            </w:tcBorders>
            <w:vAlign w:val="center"/>
          </w:tcPr>
          <w:p w14:paraId="47F7130C">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空气环境</w:t>
            </w:r>
          </w:p>
        </w:tc>
        <w:tc>
          <w:tcPr>
            <w:tcW w:w="1278" w:type="pct"/>
            <w:gridSpan w:val="2"/>
            <w:tcBorders>
              <w:top w:val="single" w:color="auto" w:sz="4" w:space="0"/>
              <w:bottom w:val="single" w:color="auto" w:sz="4" w:space="0"/>
            </w:tcBorders>
            <w:vAlign w:val="center"/>
          </w:tcPr>
          <w:p w14:paraId="6CA27D50">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现状评价</w:t>
            </w:r>
          </w:p>
        </w:tc>
        <w:tc>
          <w:tcPr>
            <w:tcW w:w="3015" w:type="pct"/>
            <w:tcBorders>
              <w:top w:val="single" w:color="auto" w:sz="4" w:space="0"/>
              <w:bottom w:val="single" w:color="auto" w:sz="4" w:space="0"/>
              <w:right w:val="single" w:color="auto" w:sz="4" w:space="0"/>
            </w:tcBorders>
            <w:vAlign w:val="center"/>
          </w:tcPr>
          <w:p w14:paraId="30AE5901">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SO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、NO</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10</w:t>
            </w:r>
            <w:r>
              <w:rPr>
                <w:rFonts w:ascii="Times New Roman" w:hAnsi="Times New Roman" w:eastAsia="宋体" w:cs="Times New Roman"/>
                <w:sz w:val="21"/>
                <w:szCs w:val="21"/>
              </w:rPr>
              <w:t>、PM</w:t>
            </w:r>
            <w:r>
              <w:rPr>
                <w:rFonts w:ascii="Times New Roman" w:hAnsi="Times New Roman" w:eastAsia="宋体" w:cs="Times New Roman"/>
                <w:sz w:val="21"/>
                <w:szCs w:val="21"/>
                <w:vertAlign w:val="subscript"/>
              </w:rPr>
              <w:t>2.5</w:t>
            </w:r>
            <w:r>
              <w:rPr>
                <w:rFonts w:ascii="Times New Roman" w:hAnsi="Times New Roman" w:eastAsia="宋体" w:cs="Times New Roman"/>
                <w:sz w:val="21"/>
                <w:szCs w:val="21"/>
              </w:rPr>
              <w:t>、CO、O</w:t>
            </w:r>
            <w:r>
              <w:rPr>
                <w:rFonts w:ascii="Times New Roman" w:hAnsi="Times New Roman" w:eastAsia="宋体" w:cs="Times New Roman"/>
                <w:sz w:val="21"/>
                <w:szCs w:val="21"/>
                <w:vertAlign w:val="subscript"/>
              </w:rPr>
              <w:t>3</w:t>
            </w:r>
          </w:p>
        </w:tc>
      </w:tr>
      <w:tr w14:paraId="68B9E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3255955C">
            <w:pPr>
              <w:pStyle w:val="167"/>
              <w:spacing w:before="0" w:after="0" w:line="240" w:lineRule="auto"/>
              <w:jc w:val="center"/>
              <w:rPr>
                <w:rFonts w:ascii="Times New Roman" w:hAnsi="Times New Roman" w:eastAsia="宋体" w:cs="Times New Roman"/>
                <w:sz w:val="21"/>
                <w:szCs w:val="21"/>
              </w:rPr>
            </w:pPr>
          </w:p>
        </w:tc>
        <w:tc>
          <w:tcPr>
            <w:tcW w:w="707" w:type="pct"/>
            <w:vMerge w:val="restart"/>
            <w:tcBorders>
              <w:top w:val="single" w:color="auto" w:sz="4" w:space="0"/>
              <w:bottom w:val="single" w:color="auto" w:sz="4" w:space="0"/>
            </w:tcBorders>
            <w:vAlign w:val="center"/>
          </w:tcPr>
          <w:p w14:paraId="184FBAD3">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影响评价</w:t>
            </w:r>
          </w:p>
        </w:tc>
        <w:tc>
          <w:tcPr>
            <w:tcW w:w="571" w:type="pct"/>
            <w:tcBorders>
              <w:top w:val="single" w:color="auto" w:sz="4" w:space="0"/>
              <w:bottom w:val="single" w:color="auto" w:sz="4" w:space="0"/>
            </w:tcBorders>
            <w:vAlign w:val="center"/>
          </w:tcPr>
          <w:p w14:paraId="45BEE04F">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施工期</w:t>
            </w:r>
          </w:p>
        </w:tc>
        <w:tc>
          <w:tcPr>
            <w:tcW w:w="3015" w:type="pct"/>
            <w:tcBorders>
              <w:top w:val="single" w:color="auto" w:sz="4" w:space="0"/>
              <w:bottom w:val="single" w:color="auto" w:sz="4" w:space="0"/>
              <w:right w:val="single" w:color="auto" w:sz="4" w:space="0"/>
            </w:tcBorders>
            <w:vAlign w:val="center"/>
          </w:tcPr>
          <w:p w14:paraId="46AFFE41">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TSP、沥青烟</w:t>
            </w:r>
          </w:p>
        </w:tc>
      </w:tr>
      <w:tr w14:paraId="605FA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7" w:type="pct"/>
            <w:vMerge w:val="continue"/>
            <w:tcBorders>
              <w:top w:val="single" w:color="auto" w:sz="4" w:space="0"/>
              <w:left w:val="single" w:color="auto" w:sz="4" w:space="0"/>
              <w:bottom w:val="single" w:color="auto" w:sz="4" w:space="0"/>
            </w:tcBorders>
            <w:vAlign w:val="center"/>
          </w:tcPr>
          <w:p w14:paraId="40207DE7">
            <w:pPr>
              <w:pStyle w:val="167"/>
              <w:spacing w:before="0" w:after="0" w:line="240" w:lineRule="auto"/>
              <w:jc w:val="center"/>
              <w:rPr>
                <w:rFonts w:ascii="Times New Roman" w:hAnsi="Times New Roman" w:eastAsia="宋体" w:cs="Times New Roman"/>
                <w:sz w:val="21"/>
                <w:szCs w:val="21"/>
              </w:rPr>
            </w:pPr>
          </w:p>
        </w:tc>
        <w:tc>
          <w:tcPr>
            <w:tcW w:w="707" w:type="pct"/>
            <w:vMerge w:val="continue"/>
            <w:tcBorders>
              <w:top w:val="single" w:color="auto" w:sz="4" w:space="0"/>
              <w:bottom w:val="single" w:color="auto" w:sz="4" w:space="0"/>
            </w:tcBorders>
            <w:vAlign w:val="center"/>
          </w:tcPr>
          <w:p w14:paraId="398AECD2">
            <w:pPr>
              <w:pStyle w:val="167"/>
              <w:spacing w:before="0" w:after="0" w:line="240" w:lineRule="auto"/>
              <w:jc w:val="center"/>
              <w:rPr>
                <w:rFonts w:ascii="Times New Roman" w:hAnsi="Times New Roman" w:eastAsia="宋体" w:cs="Times New Roman"/>
                <w:sz w:val="21"/>
                <w:szCs w:val="21"/>
              </w:rPr>
            </w:pPr>
          </w:p>
        </w:tc>
        <w:tc>
          <w:tcPr>
            <w:tcW w:w="571" w:type="pct"/>
            <w:tcBorders>
              <w:top w:val="single" w:color="auto" w:sz="4" w:space="0"/>
              <w:bottom w:val="single" w:color="auto" w:sz="4" w:space="0"/>
            </w:tcBorders>
            <w:vAlign w:val="center"/>
          </w:tcPr>
          <w:p w14:paraId="21AC0F54">
            <w:pPr>
              <w:pStyle w:val="167"/>
              <w:spacing w:before="0" w:after="0"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营运期</w:t>
            </w:r>
          </w:p>
        </w:tc>
        <w:tc>
          <w:tcPr>
            <w:tcW w:w="3015" w:type="pct"/>
            <w:tcBorders>
              <w:top w:val="single" w:color="auto" w:sz="4" w:space="0"/>
              <w:bottom w:val="single" w:color="auto" w:sz="4" w:space="0"/>
              <w:right w:val="single" w:color="auto" w:sz="4" w:space="0"/>
            </w:tcBorders>
            <w:vAlign w:val="center"/>
          </w:tcPr>
          <w:p w14:paraId="60D4D797">
            <w:pPr>
              <w:pStyle w:val="167"/>
              <w:spacing w:before="0" w:after="0" w:line="240" w:lineRule="auto"/>
              <w:jc w:val="center"/>
              <w:rPr>
                <w:rFonts w:ascii="Times New Roman" w:hAnsi="Times New Roman" w:eastAsia="宋体" w:cs="Times New Roman"/>
                <w:sz w:val="21"/>
                <w:szCs w:val="21"/>
              </w:rPr>
            </w:pPr>
            <w:bookmarkStart w:id="126" w:name="_Hlk146559207"/>
            <w:r>
              <w:rPr>
                <w:rFonts w:ascii="Times New Roman" w:hAnsi="Times New Roman" w:eastAsia="宋体" w:cs="Times New Roman"/>
                <w:sz w:val="21"/>
                <w:szCs w:val="21"/>
              </w:rPr>
              <w:t>NOx、CO、THC</w:t>
            </w:r>
            <w:bookmarkEnd w:id="126"/>
          </w:p>
        </w:tc>
      </w:tr>
      <w:bookmarkEnd w:id="123"/>
      <w:bookmarkEnd w:id="124"/>
      <w:bookmarkEnd w:id="125"/>
    </w:tbl>
    <w:p w14:paraId="4F8B4D7D">
      <w:pPr>
        <w:pStyle w:val="3"/>
        <w:adjustRightInd w:val="0"/>
        <w:snapToGrid w:val="0"/>
        <w:spacing w:before="156" w:after="156" w:line="240" w:lineRule="auto"/>
        <w:rPr>
          <w:rFonts w:ascii="Times New Roman" w:hAnsi="Times New Roman" w:cs="Times New Roman"/>
        </w:rPr>
      </w:pPr>
      <w:bookmarkStart w:id="127" w:name="_Toc316561612"/>
      <w:bookmarkStart w:id="128" w:name="_Toc316511021"/>
      <w:bookmarkStart w:id="129" w:name="_Toc350191992"/>
      <w:bookmarkStart w:id="130" w:name="_Toc372582200"/>
      <w:bookmarkStart w:id="131" w:name="_Toc97464597"/>
      <w:bookmarkStart w:id="132" w:name="_Toc98413492"/>
      <w:bookmarkStart w:id="133" w:name="_Toc381605968"/>
      <w:bookmarkStart w:id="134" w:name="_Toc57826704"/>
      <w:bookmarkStart w:id="135" w:name="_Toc34989538"/>
      <w:bookmarkStart w:id="136" w:name="_Toc98414174"/>
      <w:bookmarkStart w:id="137" w:name="_Toc187675410"/>
      <w:bookmarkStart w:id="138" w:name="_Toc98414168"/>
      <w:bookmarkStart w:id="139" w:name="_Toc34989532"/>
      <w:bookmarkStart w:id="140" w:name="_Toc98413486"/>
      <w:bookmarkStart w:id="141" w:name="_Toc97464591"/>
      <w:bookmarkStart w:id="142" w:name="_Toc57826698"/>
      <w:bookmarkStart w:id="143" w:name="_Toc34989535"/>
      <w:bookmarkStart w:id="144" w:name="_Toc57826701"/>
      <w:bookmarkStart w:id="145" w:name="_Toc97464594"/>
      <w:bookmarkStart w:id="146" w:name="_Toc98414171"/>
      <w:bookmarkStart w:id="147" w:name="_Toc98413489"/>
      <w:r>
        <w:rPr>
          <w:rFonts w:ascii="Times New Roman" w:hAnsi="Times New Roman" w:cs="Times New Roman"/>
        </w:rPr>
        <w:t>2</w:t>
      </w:r>
      <w:bookmarkEnd w:id="127"/>
      <w:bookmarkEnd w:id="128"/>
      <w:bookmarkEnd w:id="129"/>
      <w:bookmarkEnd w:id="130"/>
      <w:r>
        <w:rPr>
          <w:rFonts w:ascii="Times New Roman" w:hAnsi="Times New Roman" w:cs="Times New Roman"/>
        </w:rPr>
        <w:t>.3环境功能区划</w:t>
      </w:r>
      <w:bookmarkEnd w:id="131"/>
      <w:bookmarkEnd w:id="132"/>
      <w:bookmarkEnd w:id="133"/>
      <w:bookmarkEnd w:id="134"/>
      <w:bookmarkEnd w:id="135"/>
      <w:bookmarkEnd w:id="136"/>
      <w:r>
        <w:rPr>
          <w:rFonts w:ascii="Times New Roman" w:hAnsi="Times New Roman" w:cs="Times New Roman"/>
        </w:rPr>
        <w:t>和评价标准</w:t>
      </w:r>
      <w:bookmarkEnd w:id="137"/>
    </w:p>
    <w:p w14:paraId="2E28948B">
      <w:pPr>
        <w:pStyle w:val="4"/>
        <w:adjustRightInd w:val="0"/>
        <w:snapToGrid w:val="0"/>
        <w:spacing w:before="156" w:after="156" w:line="240" w:lineRule="auto"/>
        <w:rPr>
          <w:rFonts w:ascii="Times New Roman" w:hAnsi="Times New Roman" w:cs="Times New Roman"/>
        </w:rPr>
      </w:pPr>
      <w:r>
        <w:rPr>
          <w:rFonts w:ascii="Times New Roman" w:hAnsi="Times New Roman" w:cs="Times New Roman"/>
        </w:rPr>
        <w:t>2.3.1环境功能区划</w:t>
      </w:r>
    </w:p>
    <w:p w14:paraId="65D7740E">
      <w:pPr>
        <w:pStyle w:val="220"/>
        <w:adjustRightInd w:val="0"/>
        <w:snapToGrid w:val="0"/>
        <w:ind w:firstLine="480" w:firstLineChars="200"/>
        <w:rPr>
          <w:rFonts w:ascii="Times New Roman" w:hAnsi="Times New Roman" w:cs="Times New Roman"/>
        </w:rPr>
      </w:pPr>
      <w:r>
        <w:rPr>
          <w:rFonts w:ascii="Times New Roman" w:hAnsi="Times New Roman" w:cs="Times New Roman"/>
        </w:rPr>
        <w:t>（1）环境空气</w:t>
      </w:r>
    </w:p>
    <w:p w14:paraId="158C3BF1">
      <w:pPr>
        <w:spacing w:line="360" w:lineRule="auto"/>
        <w:ind w:firstLine="464" w:firstLineChars="200"/>
        <w:rPr>
          <w:rFonts w:ascii="Times New Roman" w:hAnsi="Times New Roman" w:cs="Times New Roman"/>
          <w:spacing w:val="-4"/>
        </w:rPr>
      </w:pPr>
      <w:r>
        <w:rPr>
          <w:rFonts w:ascii="Times New Roman" w:hAnsi="Times New Roman" w:cs="Times New Roman"/>
          <w:spacing w:val="-4"/>
        </w:rPr>
        <w:t>按照《环境空气质量标准》（GB3095-2012）中的规定，本项目沿线区域的环境空气质量功能区划属二类功能区；环境空气质量执行二级标准。</w:t>
      </w:r>
    </w:p>
    <w:p w14:paraId="3FE453E2">
      <w:pPr>
        <w:spacing w:line="360" w:lineRule="auto"/>
        <w:ind w:firstLine="464" w:firstLineChars="200"/>
        <w:rPr>
          <w:rFonts w:ascii="Times New Roman" w:hAnsi="Times New Roman" w:cs="Times New Roman"/>
          <w:spacing w:val="-4"/>
        </w:rPr>
      </w:pPr>
      <w:r>
        <w:rPr>
          <w:rFonts w:hint="eastAsia" w:ascii="Times New Roman" w:hAnsi="Times New Roman" w:cs="Times New Roman"/>
          <w:spacing w:val="-4"/>
        </w:rPr>
        <w:t>（</w:t>
      </w:r>
      <w:r>
        <w:rPr>
          <w:rFonts w:ascii="Times New Roman" w:hAnsi="Times New Roman" w:cs="Times New Roman"/>
          <w:spacing w:val="-4"/>
        </w:rPr>
        <w:t>2）地表水环境</w:t>
      </w:r>
    </w:p>
    <w:p w14:paraId="3572DBF2">
      <w:pPr>
        <w:spacing w:line="360" w:lineRule="auto"/>
        <w:ind w:firstLine="464" w:firstLineChars="200"/>
        <w:jc w:val="both"/>
        <w:rPr>
          <w:rFonts w:ascii="Times New Roman" w:hAnsi="Times New Roman" w:cs="Times New Roman"/>
          <w:spacing w:val="-4"/>
        </w:rPr>
      </w:pPr>
      <w:r>
        <w:rPr>
          <w:rFonts w:hint="eastAsia" w:ascii="Times New Roman" w:hAnsi="Times New Roman" w:cs="Times New Roman"/>
          <w:spacing w:val="-4"/>
        </w:rPr>
        <w:t>项目沿线区域内的河流主要为盖孜河。根据《新疆水环境功能区划》，盖孜河从吐木休克至阿亚克买来水域段，水质目标为</w:t>
      </w:r>
      <w:r>
        <w:rPr>
          <w:rFonts w:ascii="Times New Roman" w:hAnsi="Times New Roman" w:cs="Times New Roman"/>
          <w:spacing w:val="-4"/>
        </w:rPr>
        <w:t>II类，现在使用功能为饮用、工业、农业用水，规划主导功能为饮用水源，因此</w:t>
      </w:r>
      <w:r>
        <w:rPr>
          <w:rFonts w:hint="eastAsia" w:ascii="Times New Roman" w:hAnsi="Times New Roman" w:cs="Times New Roman"/>
          <w:spacing w:val="-4"/>
        </w:rPr>
        <w:t>盖孜河执行《地表水环境质量标准》（</w:t>
      </w:r>
      <w:r>
        <w:rPr>
          <w:rFonts w:ascii="Times New Roman" w:hAnsi="Times New Roman" w:cs="Times New Roman"/>
          <w:spacing w:val="-4"/>
        </w:rPr>
        <w:t>GB3838-2002）II类标准水质。</w:t>
      </w:r>
    </w:p>
    <w:p w14:paraId="126C9A66">
      <w:pPr>
        <w:spacing w:line="360" w:lineRule="auto"/>
        <w:ind w:firstLine="480" w:firstLineChars="200"/>
        <w:jc w:val="both"/>
        <w:rPr>
          <w:rFonts w:ascii="Times New Roman" w:hAnsi="Times New Roman" w:cs="Times New Roman"/>
        </w:rPr>
      </w:pPr>
      <w:r>
        <w:rPr>
          <w:rFonts w:ascii="Times New Roman" w:hAnsi="Times New Roman" w:cs="Times New Roman"/>
        </w:rPr>
        <w:t>（3）声环境</w:t>
      </w:r>
    </w:p>
    <w:p w14:paraId="6B6BF978">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本项目所在区域主要为农区、荒地和村落，拟建公路全线区域尚未进行声环境功能区划。声环境功能区按照《声环境质量标准》（</w:t>
      </w:r>
      <w:r>
        <w:rPr>
          <w:rFonts w:ascii="Times New Roman" w:hAnsi="Times New Roman" w:cs="Times New Roman"/>
        </w:rPr>
        <w:t>GB3096-2008）和《声环境功能区划分技术规范》（GB15190-2014）判定。根据《声环境质量标准》（GB3096—2008）中声环境功能区分类要求，公路沿线执行《声环境质量标准》（GB3096—2008）中的4a、2类声环境功能区类别环境噪声限值。</w:t>
      </w:r>
    </w:p>
    <w:p w14:paraId="284E5633">
      <w:pPr>
        <w:spacing w:line="360" w:lineRule="auto"/>
        <w:ind w:firstLine="480" w:firstLineChars="200"/>
        <w:jc w:val="both"/>
        <w:rPr>
          <w:rFonts w:ascii="Times New Roman" w:hAnsi="Times New Roman" w:cs="Times New Roman"/>
        </w:rPr>
      </w:pPr>
      <w:r>
        <w:rPr>
          <w:rFonts w:ascii="Times New Roman" w:hAnsi="Times New Roman" w:cs="Times New Roman"/>
        </w:rPr>
        <w:t>（4）生态环境</w:t>
      </w:r>
    </w:p>
    <w:p w14:paraId="604DA1B1">
      <w:pPr>
        <w:spacing w:line="360" w:lineRule="auto"/>
        <w:ind w:firstLine="480" w:firstLineChars="200"/>
        <w:jc w:val="both"/>
        <w:rPr>
          <w:rFonts w:ascii="Times New Roman" w:hAnsi="Times New Roman" w:cs="Times New Roman"/>
        </w:rPr>
      </w:pPr>
      <w:r>
        <w:rPr>
          <w:rFonts w:ascii="Times New Roman" w:hAnsi="Times New Roman" w:cs="Times New Roman"/>
        </w:rPr>
        <w:t>根据</w:t>
      </w:r>
      <w:r>
        <w:rPr>
          <w:rFonts w:ascii="Times New Roman" w:hAnsi="Times New Roman" w:cs="Times New Roman"/>
          <w:bCs/>
          <w:szCs w:val="22"/>
        </w:rPr>
        <w:t>《新疆生态功能区划》</w:t>
      </w:r>
      <w:r>
        <w:rPr>
          <w:rFonts w:ascii="Times New Roman" w:hAnsi="Times New Roman" w:cs="Times New Roman"/>
        </w:rPr>
        <w:t>，</w:t>
      </w:r>
      <w:r>
        <w:rPr>
          <w:rFonts w:ascii="Times New Roman" w:hAnsi="Times New Roman" w:cs="Times New Roman"/>
          <w:bCs/>
        </w:rPr>
        <w:t>本项目评价区域属于</w:t>
      </w:r>
      <w:r>
        <w:rPr>
          <w:rFonts w:hint="eastAsia" w:ascii="Times New Roman" w:hAnsi="Times New Roman" w:cs="Times New Roman"/>
          <w:bCs/>
        </w:rPr>
        <w:t>Ⅳ</w:t>
      </w:r>
      <w:r>
        <w:rPr>
          <w:rFonts w:ascii="Times New Roman" w:hAnsi="Times New Roman" w:cs="Times New Roman"/>
          <w:bCs/>
        </w:rPr>
        <w:t xml:space="preserve"> 塔里木盆地暖温荒漠及绿洲农业生态区-Ⅳ1 塔里木盆地西部、北部荒漠及绿洲农业生态亚区-57．喀什三角洲绿洲农业盐渍化敏感生态功能区。</w:t>
      </w:r>
      <w:r>
        <w:rPr>
          <w:rFonts w:ascii="Times New Roman" w:hAnsi="Times New Roman" w:cs="Times New Roman"/>
        </w:rPr>
        <w:t>项目区沿线生态服务功能、生态敏感因子、主要生态环境问题见表2.3-1。</w:t>
      </w:r>
    </w:p>
    <w:p w14:paraId="1D40E1DD">
      <w:pPr>
        <w:jc w:val="center"/>
        <w:rPr>
          <w:rFonts w:ascii="黑体" w:hAnsi="黑体" w:eastAsia="黑体" w:cs="Times New Roman"/>
        </w:rPr>
      </w:pPr>
      <w:r>
        <w:rPr>
          <w:rFonts w:ascii="黑体" w:hAnsi="黑体" w:eastAsia="黑体" w:cs="Times New Roman"/>
        </w:rPr>
        <w:t>表2.3-1  项目区生态功能区划</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6434"/>
      </w:tblGrid>
      <w:tr w14:paraId="59A96A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28" w:type="pct"/>
            <w:vAlign w:val="center"/>
          </w:tcPr>
          <w:p w14:paraId="5D25979A">
            <w:pPr>
              <w:pStyle w:val="340"/>
              <w:overflowPunct w:val="0"/>
              <w:topLinePunct/>
              <w:autoSpaceDN w:val="0"/>
              <w:adjustRightInd w:val="0"/>
              <w:snapToGrid w:val="0"/>
              <w:rPr>
                <w:sz w:val="21"/>
                <w:szCs w:val="21"/>
              </w:rPr>
            </w:pPr>
            <w:r>
              <w:rPr>
                <w:sz w:val="21"/>
                <w:szCs w:val="21"/>
              </w:rPr>
              <w:t>生态区</w:t>
            </w:r>
          </w:p>
        </w:tc>
        <w:tc>
          <w:tcPr>
            <w:tcW w:w="3772" w:type="pct"/>
            <w:vAlign w:val="center"/>
          </w:tcPr>
          <w:p w14:paraId="0635D141">
            <w:pPr>
              <w:pStyle w:val="340"/>
              <w:overflowPunct w:val="0"/>
              <w:topLinePunct/>
              <w:autoSpaceDN w:val="0"/>
              <w:adjustRightInd w:val="0"/>
              <w:snapToGrid w:val="0"/>
              <w:rPr>
                <w:sz w:val="21"/>
                <w:szCs w:val="21"/>
              </w:rPr>
            </w:pPr>
            <w:r>
              <w:rPr>
                <w:rFonts w:hint="eastAsia"/>
                <w:sz w:val="21"/>
                <w:szCs w:val="21"/>
              </w:rPr>
              <w:t>塔里木盆地暖温荒漠及绿洲农业生态区</w:t>
            </w:r>
          </w:p>
        </w:tc>
      </w:tr>
      <w:tr w14:paraId="18A52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28" w:type="pct"/>
            <w:vAlign w:val="center"/>
          </w:tcPr>
          <w:p w14:paraId="53575556">
            <w:pPr>
              <w:pStyle w:val="340"/>
              <w:overflowPunct w:val="0"/>
              <w:topLinePunct/>
              <w:autoSpaceDN w:val="0"/>
              <w:adjustRightInd w:val="0"/>
              <w:snapToGrid w:val="0"/>
              <w:rPr>
                <w:sz w:val="21"/>
                <w:szCs w:val="21"/>
              </w:rPr>
            </w:pPr>
            <w:r>
              <w:rPr>
                <w:rFonts w:hint="eastAsia"/>
                <w:sz w:val="21"/>
                <w:szCs w:val="21"/>
              </w:rPr>
              <w:t>生态亚区</w:t>
            </w:r>
          </w:p>
        </w:tc>
        <w:tc>
          <w:tcPr>
            <w:tcW w:w="3772" w:type="pct"/>
            <w:vAlign w:val="center"/>
          </w:tcPr>
          <w:p w14:paraId="58719670">
            <w:pPr>
              <w:pStyle w:val="340"/>
              <w:overflowPunct w:val="0"/>
              <w:topLinePunct/>
              <w:autoSpaceDN w:val="0"/>
              <w:adjustRightInd w:val="0"/>
              <w:snapToGrid w:val="0"/>
              <w:rPr>
                <w:sz w:val="21"/>
                <w:szCs w:val="21"/>
              </w:rPr>
            </w:pPr>
            <w:r>
              <w:rPr>
                <w:rFonts w:hint="eastAsia"/>
                <w:sz w:val="21"/>
                <w:szCs w:val="21"/>
              </w:rPr>
              <w:t>塔里木盆地西部、北部荒漠及绿洲农业生态亚区</w:t>
            </w:r>
          </w:p>
        </w:tc>
      </w:tr>
      <w:tr w14:paraId="2CBB0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28" w:type="pct"/>
            <w:vAlign w:val="center"/>
          </w:tcPr>
          <w:p w14:paraId="135BFB84">
            <w:pPr>
              <w:pStyle w:val="340"/>
              <w:overflowPunct w:val="0"/>
              <w:topLinePunct/>
              <w:autoSpaceDN w:val="0"/>
              <w:adjustRightInd w:val="0"/>
              <w:snapToGrid w:val="0"/>
              <w:rPr>
                <w:sz w:val="21"/>
                <w:szCs w:val="21"/>
              </w:rPr>
            </w:pPr>
            <w:r>
              <w:rPr>
                <w:sz w:val="21"/>
                <w:szCs w:val="21"/>
              </w:rPr>
              <w:t>生态功能</w:t>
            </w:r>
            <w:r>
              <w:rPr>
                <w:rFonts w:hint="eastAsia"/>
                <w:sz w:val="21"/>
                <w:szCs w:val="21"/>
              </w:rPr>
              <w:t>区</w:t>
            </w:r>
          </w:p>
        </w:tc>
        <w:tc>
          <w:tcPr>
            <w:tcW w:w="3772" w:type="pct"/>
            <w:vAlign w:val="center"/>
          </w:tcPr>
          <w:p w14:paraId="4ACCC554">
            <w:pPr>
              <w:pStyle w:val="340"/>
              <w:overflowPunct w:val="0"/>
              <w:topLinePunct/>
              <w:autoSpaceDN w:val="0"/>
              <w:adjustRightInd w:val="0"/>
              <w:snapToGrid w:val="0"/>
              <w:rPr>
                <w:sz w:val="21"/>
                <w:szCs w:val="21"/>
              </w:rPr>
            </w:pPr>
            <w:r>
              <w:rPr>
                <w:rFonts w:hint="eastAsia"/>
                <w:sz w:val="21"/>
                <w:szCs w:val="21"/>
              </w:rPr>
              <w:t>喀什三角洲绿洲农业盐渍化敏感生态功能区</w:t>
            </w:r>
          </w:p>
        </w:tc>
      </w:tr>
      <w:tr w14:paraId="2A4BB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28" w:type="pct"/>
            <w:vAlign w:val="center"/>
          </w:tcPr>
          <w:p w14:paraId="1D2A11FE">
            <w:pPr>
              <w:pStyle w:val="340"/>
              <w:overflowPunct w:val="0"/>
              <w:topLinePunct/>
              <w:autoSpaceDN w:val="0"/>
              <w:adjustRightInd w:val="0"/>
              <w:snapToGrid w:val="0"/>
              <w:rPr>
                <w:sz w:val="21"/>
                <w:szCs w:val="21"/>
              </w:rPr>
            </w:pPr>
            <w:r>
              <w:rPr>
                <w:sz w:val="21"/>
                <w:szCs w:val="21"/>
              </w:rPr>
              <w:t>主要生态服务功能</w:t>
            </w:r>
          </w:p>
        </w:tc>
        <w:tc>
          <w:tcPr>
            <w:tcW w:w="3772" w:type="pct"/>
            <w:vAlign w:val="center"/>
          </w:tcPr>
          <w:p w14:paraId="7200F88A">
            <w:pPr>
              <w:pStyle w:val="340"/>
              <w:overflowPunct w:val="0"/>
              <w:topLinePunct/>
              <w:autoSpaceDN w:val="0"/>
              <w:adjustRightInd w:val="0"/>
              <w:snapToGrid w:val="0"/>
              <w:rPr>
                <w:sz w:val="21"/>
                <w:szCs w:val="21"/>
              </w:rPr>
            </w:pPr>
            <w:r>
              <w:rPr>
                <w:rFonts w:hint="eastAsia"/>
                <w:sz w:val="21"/>
                <w:szCs w:val="21"/>
              </w:rPr>
              <w:t>农畜产品生产、荒漠化控制、旅游</w:t>
            </w:r>
          </w:p>
        </w:tc>
      </w:tr>
      <w:tr w14:paraId="19DA6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exact"/>
        </w:trPr>
        <w:tc>
          <w:tcPr>
            <w:tcW w:w="1228" w:type="pct"/>
            <w:vAlign w:val="center"/>
          </w:tcPr>
          <w:p w14:paraId="362A5867">
            <w:pPr>
              <w:pStyle w:val="340"/>
              <w:overflowPunct w:val="0"/>
              <w:topLinePunct/>
              <w:autoSpaceDN w:val="0"/>
              <w:adjustRightInd w:val="0"/>
              <w:snapToGrid w:val="0"/>
              <w:rPr>
                <w:sz w:val="21"/>
                <w:szCs w:val="21"/>
              </w:rPr>
            </w:pPr>
            <w:r>
              <w:rPr>
                <w:sz w:val="21"/>
                <w:szCs w:val="21"/>
              </w:rPr>
              <w:t>主要生态</w:t>
            </w:r>
            <w:r>
              <w:rPr>
                <w:rFonts w:hint="eastAsia"/>
                <w:sz w:val="21"/>
                <w:szCs w:val="21"/>
              </w:rPr>
              <w:t>环境</w:t>
            </w:r>
            <w:r>
              <w:rPr>
                <w:sz w:val="21"/>
                <w:szCs w:val="21"/>
              </w:rPr>
              <w:t>问题</w:t>
            </w:r>
          </w:p>
        </w:tc>
        <w:tc>
          <w:tcPr>
            <w:tcW w:w="3772" w:type="pct"/>
            <w:vAlign w:val="center"/>
          </w:tcPr>
          <w:p w14:paraId="118E442F">
            <w:pPr>
              <w:pStyle w:val="340"/>
              <w:overflowPunct w:val="0"/>
              <w:topLinePunct/>
              <w:autoSpaceDN w:val="0"/>
              <w:adjustRightInd w:val="0"/>
              <w:snapToGrid w:val="0"/>
              <w:rPr>
                <w:sz w:val="21"/>
                <w:szCs w:val="21"/>
              </w:rPr>
            </w:pPr>
            <w:r>
              <w:rPr>
                <w:rFonts w:hint="eastAsia"/>
                <w:sz w:val="21"/>
                <w:szCs w:val="21"/>
              </w:rPr>
              <w:t>土壤盐渍化、三角洲下部天然水质差、城市污水处理滞后、浮尘天气多、土壤质量下降</w:t>
            </w:r>
          </w:p>
        </w:tc>
      </w:tr>
      <w:tr w14:paraId="2D79F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228" w:type="pct"/>
            <w:vAlign w:val="center"/>
          </w:tcPr>
          <w:p w14:paraId="6BABA56D">
            <w:pPr>
              <w:pStyle w:val="340"/>
              <w:overflowPunct w:val="0"/>
              <w:topLinePunct/>
              <w:autoSpaceDN w:val="0"/>
              <w:adjustRightInd w:val="0"/>
              <w:snapToGrid w:val="0"/>
              <w:rPr>
                <w:sz w:val="21"/>
                <w:szCs w:val="21"/>
              </w:rPr>
            </w:pPr>
            <w:r>
              <w:rPr>
                <w:sz w:val="21"/>
                <w:szCs w:val="21"/>
              </w:rPr>
              <w:t>主要生态敏感因子、敏感程度</w:t>
            </w:r>
          </w:p>
        </w:tc>
        <w:tc>
          <w:tcPr>
            <w:tcW w:w="3772" w:type="pct"/>
            <w:vAlign w:val="center"/>
          </w:tcPr>
          <w:p w14:paraId="32F649CC">
            <w:pPr>
              <w:pStyle w:val="340"/>
              <w:overflowPunct w:val="0"/>
              <w:topLinePunct/>
              <w:autoSpaceDN w:val="0"/>
              <w:adjustRightInd w:val="0"/>
              <w:snapToGrid w:val="0"/>
              <w:rPr>
                <w:sz w:val="21"/>
                <w:szCs w:val="21"/>
              </w:rPr>
            </w:pPr>
            <w:r>
              <w:rPr>
                <w:rFonts w:hint="eastAsia"/>
                <w:sz w:val="21"/>
                <w:szCs w:val="21"/>
              </w:rPr>
              <w:t>生物多样性及其生境中度敏感，土地沙漠化、土壤盐渍化高度敏感</w:t>
            </w:r>
          </w:p>
        </w:tc>
      </w:tr>
      <w:tr w14:paraId="566E8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1228" w:type="pct"/>
            <w:vAlign w:val="center"/>
          </w:tcPr>
          <w:p w14:paraId="3A6DE854">
            <w:pPr>
              <w:pStyle w:val="340"/>
              <w:overflowPunct w:val="0"/>
              <w:topLinePunct/>
              <w:autoSpaceDN w:val="0"/>
              <w:adjustRightInd w:val="0"/>
              <w:snapToGrid w:val="0"/>
              <w:rPr>
                <w:sz w:val="21"/>
                <w:szCs w:val="21"/>
              </w:rPr>
            </w:pPr>
            <w:r>
              <w:rPr>
                <w:sz w:val="21"/>
                <w:szCs w:val="21"/>
              </w:rPr>
              <w:t>主要保护目标</w:t>
            </w:r>
          </w:p>
        </w:tc>
        <w:tc>
          <w:tcPr>
            <w:tcW w:w="3772" w:type="pct"/>
            <w:vAlign w:val="center"/>
          </w:tcPr>
          <w:p w14:paraId="2576B79B">
            <w:pPr>
              <w:pStyle w:val="340"/>
              <w:overflowPunct w:val="0"/>
              <w:topLinePunct/>
              <w:autoSpaceDN w:val="0"/>
              <w:adjustRightInd w:val="0"/>
              <w:snapToGrid w:val="0"/>
              <w:rPr>
                <w:sz w:val="21"/>
                <w:szCs w:val="21"/>
              </w:rPr>
            </w:pPr>
            <w:r>
              <w:rPr>
                <w:rFonts w:hint="eastAsia"/>
                <w:sz w:val="21"/>
                <w:szCs w:val="21"/>
              </w:rPr>
              <w:t>保护人群身体健康、保护水资源、保护农田、保护荒漠植被、保护文物古迹与民俗风情</w:t>
            </w:r>
          </w:p>
        </w:tc>
      </w:tr>
      <w:tr w14:paraId="79050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exact"/>
        </w:trPr>
        <w:tc>
          <w:tcPr>
            <w:tcW w:w="1228" w:type="pct"/>
            <w:vAlign w:val="center"/>
          </w:tcPr>
          <w:p w14:paraId="6A4B586A">
            <w:pPr>
              <w:pStyle w:val="340"/>
              <w:overflowPunct w:val="0"/>
              <w:topLinePunct/>
              <w:autoSpaceDN w:val="0"/>
              <w:adjustRightInd w:val="0"/>
              <w:snapToGrid w:val="0"/>
              <w:rPr>
                <w:sz w:val="21"/>
                <w:szCs w:val="21"/>
              </w:rPr>
            </w:pPr>
            <w:r>
              <w:rPr>
                <w:sz w:val="21"/>
                <w:szCs w:val="21"/>
              </w:rPr>
              <w:t>主要保护</w:t>
            </w:r>
            <w:r>
              <w:rPr>
                <w:rFonts w:hint="eastAsia"/>
                <w:sz w:val="21"/>
                <w:szCs w:val="21"/>
              </w:rPr>
              <w:t>措施</w:t>
            </w:r>
          </w:p>
        </w:tc>
        <w:tc>
          <w:tcPr>
            <w:tcW w:w="3772" w:type="pct"/>
            <w:vAlign w:val="center"/>
          </w:tcPr>
          <w:p w14:paraId="678BCB59">
            <w:pPr>
              <w:pStyle w:val="340"/>
              <w:overflowPunct w:val="0"/>
              <w:topLinePunct/>
              <w:autoSpaceDN w:val="0"/>
              <w:adjustRightInd w:val="0"/>
              <w:snapToGrid w:val="0"/>
              <w:rPr>
                <w:sz w:val="21"/>
                <w:szCs w:val="21"/>
              </w:rPr>
            </w:pPr>
            <w:r>
              <w:rPr>
                <w:rFonts w:hint="eastAsia"/>
                <w:sz w:val="21"/>
                <w:szCs w:val="21"/>
              </w:rPr>
              <w:t>改善人畜饮用水质、防治地方病、引洪放淤扩大植被覆盖、建设城镇污水处理系统、加强农田投入品的使用管理</w:t>
            </w:r>
          </w:p>
        </w:tc>
      </w:tr>
    </w:tbl>
    <w:p w14:paraId="5082D830">
      <w:pPr>
        <w:spacing w:line="360" w:lineRule="auto"/>
        <w:ind w:firstLine="480" w:firstLineChars="200"/>
        <w:jc w:val="both"/>
        <w:rPr>
          <w:highlight w:val="yellow"/>
        </w:rPr>
      </w:pPr>
      <w:r>
        <w:rPr>
          <w:rFonts w:hint="eastAsia"/>
        </w:rPr>
        <w:t>根据《新疆生产建设兵团生态功能区划》，项目区属于Ⅳ兵团塔里木盆地暖温带极干旱沙漠、戈壁及绿洲农业生态区</w:t>
      </w:r>
      <w:r>
        <w:t>-Ⅳ1一、二、三师塔里木盆地西部、北部荒漠、绿洲农业生态亚区-29.三师喀什三角洲绿洲农业、盐渍化敏感生态功能区。</w:t>
      </w:r>
    </w:p>
    <w:p w14:paraId="46AC7796">
      <w:pPr>
        <w:spacing w:line="360" w:lineRule="auto"/>
        <w:ind w:firstLine="480" w:firstLineChars="200"/>
        <w:jc w:val="both"/>
        <w:rPr>
          <w:highlight w:val="yellow"/>
        </w:rPr>
      </w:pPr>
      <w:r>
        <w:rPr>
          <w:rFonts w:hint="eastAsia"/>
        </w:rPr>
        <w:t>兵团</w:t>
      </w:r>
      <w:r>
        <w:t>生态功能区的主要生态服务功能、生态敏感因子、主要生态环境问题和主要保护目标见</w:t>
      </w:r>
      <w:r>
        <w:rPr>
          <w:rFonts w:hint="eastAsia"/>
        </w:rPr>
        <w:t>表</w:t>
      </w:r>
      <w:r>
        <w:t xml:space="preserve">2.3-2 </w:t>
      </w:r>
    </w:p>
    <w:p w14:paraId="6174A0A3">
      <w:pPr>
        <w:tabs>
          <w:tab w:val="left" w:pos="905"/>
        </w:tabs>
        <w:jc w:val="center"/>
        <w:rPr>
          <w:rFonts w:eastAsia="黑体"/>
          <w:highlight w:val="yellow"/>
        </w:rPr>
      </w:pPr>
      <w:r>
        <w:rPr>
          <w:rFonts w:eastAsia="黑体"/>
        </w:rPr>
        <w:t xml:space="preserve">表2.3-2  </w:t>
      </w:r>
      <w:r>
        <w:rPr>
          <w:rFonts w:hint="eastAsia" w:eastAsia="黑体"/>
        </w:rPr>
        <w:t>兵团</w:t>
      </w:r>
      <w:r>
        <w:rPr>
          <w:rFonts w:eastAsia="黑体"/>
        </w:rPr>
        <w:t>生态功能区主要特征</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810"/>
        <w:gridCol w:w="6718"/>
      </w:tblGrid>
      <w:tr w14:paraId="6659CF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Merge w:val="restart"/>
            <w:vAlign w:val="center"/>
          </w:tcPr>
          <w:p w14:paraId="524383AD">
            <w:pPr>
              <w:topLinePunct/>
              <w:jc w:val="center"/>
              <w:rPr>
                <w:sz w:val="21"/>
                <w:szCs w:val="18"/>
              </w:rPr>
            </w:pPr>
            <w:r>
              <w:rPr>
                <w:sz w:val="21"/>
                <w:szCs w:val="18"/>
              </w:rPr>
              <w:t>生态功能区</w:t>
            </w:r>
          </w:p>
        </w:tc>
        <w:tc>
          <w:tcPr>
            <w:tcW w:w="3939" w:type="pct"/>
            <w:vAlign w:val="center"/>
          </w:tcPr>
          <w:p w14:paraId="031F645C">
            <w:pPr>
              <w:topLinePunct/>
              <w:rPr>
                <w:sz w:val="21"/>
                <w:szCs w:val="18"/>
              </w:rPr>
            </w:pPr>
            <w:r>
              <w:rPr>
                <w:rFonts w:hint="eastAsia"/>
                <w:sz w:val="21"/>
                <w:szCs w:val="18"/>
              </w:rPr>
              <w:t>Ⅳ兵团塔里木盆地暖温带极干旱沙漠、戈壁及绿洲农业生态区</w:t>
            </w:r>
          </w:p>
        </w:tc>
      </w:tr>
      <w:tr w14:paraId="2AFEF38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Merge w:val="continue"/>
            <w:vAlign w:val="center"/>
          </w:tcPr>
          <w:p w14:paraId="1E6ADC56">
            <w:pPr>
              <w:topLinePunct/>
              <w:jc w:val="center"/>
              <w:rPr>
                <w:sz w:val="21"/>
                <w:szCs w:val="18"/>
              </w:rPr>
            </w:pPr>
          </w:p>
        </w:tc>
        <w:tc>
          <w:tcPr>
            <w:tcW w:w="3939" w:type="pct"/>
            <w:vAlign w:val="center"/>
          </w:tcPr>
          <w:p w14:paraId="04938917">
            <w:pPr>
              <w:topLinePunct/>
              <w:rPr>
                <w:sz w:val="21"/>
                <w:szCs w:val="18"/>
              </w:rPr>
            </w:pPr>
            <w:r>
              <w:rPr>
                <w:rFonts w:hint="eastAsia"/>
                <w:sz w:val="21"/>
                <w:szCs w:val="18"/>
              </w:rPr>
              <w:t>一、二、三师塔里木盆地西部、北部荒漠、绿洲农业生态亚区</w:t>
            </w:r>
          </w:p>
        </w:tc>
      </w:tr>
      <w:tr w14:paraId="5CC191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Merge w:val="continue"/>
            <w:vAlign w:val="center"/>
          </w:tcPr>
          <w:p w14:paraId="11D1300D">
            <w:pPr>
              <w:topLinePunct/>
              <w:jc w:val="center"/>
              <w:rPr>
                <w:sz w:val="21"/>
                <w:szCs w:val="18"/>
              </w:rPr>
            </w:pPr>
          </w:p>
        </w:tc>
        <w:tc>
          <w:tcPr>
            <w:tcW w:w="3939" w:type="pct"/>
            <w:vAlign w:val="center"/>
          </w:tcPr>
          <w:p w14:paraId="212D2A6E">
            <w:pPr>
              <w:topLinePunct/>
              <w:rPr>
                <w:sz w:val="21"/>
                <w:szCs w:val="18"/>
              </w:rPr>
            </w:pPr>
            <w:r>
              <w:rPr>
                <w:rFonts w:hint="eastAsia"/>
                <w:sz w:val="21"/>
              </w:rPr>
              <w:t>三师喀什三角洲绿洲农业、盐渍化敏感生态功能区</w:t>
            </w:r>
          </w:p>
        </w:tc>
      </w:tr>
      <w:tr w14:paraId="7F951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08EF5066">
            <w:pPr>
              <w:topLinePunct/>
              <w:jc w:val="center"/>
              <w:rPr>
                <w:sz w:val="21"/>
                <w:szCs w:val="18"/>
              </w:rPr>
            </w:pPr>
            <w:r>
              <w:rPr>
                <w:sz w:val="21"/>
                <w:szCs w:val="18"/>
              </w:rPr>
              <w:t>隶属师团场</w:t>
            </w:r>
          </w:p>
        </w:tc>
        <w:tc>
          <w:tcPr>
            <w:tcW w:w="3939" w:type="pct"/>
            <w:vAlign w:val="center"/>
          </w:tcPr>
          <w:p w14:paraId="5FEC1957">
            <w:pPr>
              <w:topLinePunct/>
              <w:rPr>
                <w:sz w:val="21"/>
                <w:szCs w:val="18"/>
              </w:rPr>
            </w:pPr>
            <w:r>
              <w:rPr>
                <w:rFonts w:hint="eastAsia"/>
                <w:sz w:val="21"/>
              </w:rPr>
              <w:t>农三师四十一团、42团、东风农场、红旗农场、伽师农场和师直单位</w:t>
            </w:r>
          </w:p>
        </w:tc>
      </w:tr>
      <w:tr w14:paraId="6B851D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15EB86F6">
            <w:pPr>
              <w:topLinePunct/>
              <w:jc w:val="center"/>
              <w:rPr>
                <w:sz w:val="21"/>
                <w:szCs w:val="18"/>
              </w:rPr>
            </w:pPr>
            <w:r>
              <w:rPr>
                <w:sz w:val="21"/>
                <w:szCs w:val="18"/>
              </w:rPr>
              <w:t>主要生态服务功能</w:t>
            </w:r>
          </w:p>
        </w:tc>
        <w:tc>
          <w:tcPr>
            <w:tcW w:w="3939" w:type="pct"/>
            <w:vAlign w:val="center"/>
          </w:tcPr>
          <w:p w14:paraId="07A54CEF">
            <w:pPr>
              <w:topLinePunct/>
              <w:rPr>
                <w:sz w:val="21"/>
                <w:szCs w:val="18"/>
              </w:rPr>
            </w:pPr>
            <w:r>
              <w:rPr>
                <w:rFonts w:hint="eastAsia"/>
                <w:sz w:val="21"/>
              </w:rPr>
              <w:t>农畜产品生产、土壤保持</w:t>
            </w:r>
          </w:p>
        </w:tc>
      </w:tr>
      <w:tr w14:paraId="3FA68E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6CD61FE9">
            <w:pPr>
              <w:topLinePunct/>
              <w:jc w:val="center"/>
              <w:rPr>
                <w:sz w:val="21"/>
                <w:szCs w:val="18"/>
              </w:rPr>
            </w:pPr>
            <w:r>
              <w:rPr>
                <w:sz w:val="21"/>
                <w:szCs w:val="18"/>
              </w:rPr>
              <w:t>主要生态问题</w:t>
            </w:r>
          </w:p>
        </w:tc>
        <w:tc>
          <w:tcPr>
            <w:tcW w:w="3939" w:type="pct"/>
            <w:vAlign w:val="center"/>
          </w:tcPr>
          <w:p w14:paraId="6D931C03">
            <w:pPr>
              <w:topLinePunct/>
              <w:rPr>
                <w:sz w:val="21"/>
                <w:szCs w:val="18"/>
              </w:rPr>
            </w:pPr>
            <w:r>
              <w:rPr>
                <w:rFonts w:hint="eastAsia"/>
                <w:sz w:val="21"/>
              </w:rPr>
              <w:t>能源短缺、土壤盐渍化</w:t>
            </w:r>
          </w:p>
        </w:tc>
      </w:tr>
      <w:tr w14:paraId="14998C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73B02F38">
            <w:pPr>
              <w:topLinePunct/>
              <w:jc w:val="center"/>
              <w:rPr>
                <w:sz w:val="21"/>
                <w:szCs w:val="18"/>
              </w:rPr>
            </w:pPr>
            <w:r>
              <w:rPr>
                <w:sz w:val="21"/>
                <w:szCs w:val="18"/>
              </w:rPr>
              <w:t>保护目标</w:t>
            </w:r>
          </w:p>
        </w:tc>
        <w:tc>
          <w:tcPr>
            <w:tcW w:w="3939" w:type="pct"/>
            <w:vAlign w:val="center"/>
          </w:tcPr>
          <w:p w14:paraId="49106257">
            <w:pPr>
              <w:topLinePunct/>
              <w:rPr>
                <w:sz w:val="21"/>
                <w:szCs w:val="18"/>
              </w:rPr>
            </w:pPr>
            <w:r>
              <w:rPr>
                <w:rFonts w:hint="eastAsia"/>
                <w:sz w:val="21"/>
              </w:rPr>
              <w:t>保护农田、保护荒漠植被</w:t>
            </w:r>
          </w:p>
        </w:tc>
      </w:tr>
      <w:tr w14:paraId="6A9126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61A1B6BC">
            <w:pPr>
              <w:topLinePunct/>
              <w:jc w:val="center"/>
              <w:rPr>
                <w:sz w:val="21"/>
                <w:szCs w:val="18"/>
              </w:rPr>
            </w:pPr>
            <w:r>
              <w:rPr>
                <w:sz w:val="21"/>
                <w:szCs w:val="18"/>
              </w:rPr>
              <w:t>保护措施</w:t>
            </w:r>
          </w:p>
        </w:tc>
        <w:tc>
          <w:tcPr>
            <w:tcW w:w="3939" w:type="pct"/>
          </w:tcPr>
          <w:p w14:paraId="13EC47F4">
            <w:pPr>
              <w:rPr>
                <w:sz w:val="21"/>
              </w:rPr>
            </w:pPr>
            <w:r>
              <w:rPr>
                <w:rFonts w:hint="eastAsia"/>
                <w:sz w:val="21"/>
              </w:rPr>
              <w:t>引洪放淤扩大植被、促进荒漠植被生长，改变能源结构、保护野生植被，完善生态防护林体系</w:t>
            </w:r>
          </w:p>
        </w:tc>
      </w:tr>
      <w:tr w14:paraId="24DA06A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5D817B17">
            <w:pPr>
              <w:topLinePunct/>
              <w:jc w:val="center"/>
              <w:rPr>
                <w:sz w:val="21"/>
                <w:szCs w:val="18"/>
              </w:rPr>
            </w:pPr>
            <w:r>
              <w:rPr>
                <w:sz w:val="21"/>
                <w:szCs w:val="18"/>
              </w:rPr>
              <w:t>发展方向</w:t>
            </w:r>
          </w:p>
        </w:tc>
        <w:tc>
          <w:tcPr>
            <w:tcW w:w="3939" w:type="pct"/>
            <w:vAlign w:val="center"/>
          </w:tcPr>
          <w:p w14:paraId="4B5C0935">
            <w:pPr>
              <w:topLinePunct/>
              <w:rPr>
                <w:sz w:val="21"/>
                <w:szCs w:val="18"/>
              </w:rPr>
            </w:pPr>
            <w:r>
              <w:rPr>
                <w:rFonts w:hint="eastAsia"/>
                <w:sz w:val="21"/>
              </w:rPr>
              <w:t>以农牧业为基础，发展以棉花和林果业为主的特色农业。</w:t>
            </w:r>
          </w:p>
        </w:tc>
      </w:tr>
    </w:tbl>
    <w:p w14:paraId="5B3E0AAF">
      <w:pPr>
        <w:spacing w:line="360" w:lineRule="auto"/>
        <w:ind w:firstLine="480" w:firstLineChars="20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5）土壤环境</w:t>
      </w:r>
    </w:p>
    <w:p w14:paraId="762CC97E">
      <w:pPr>
        <w:spacing w:line="360" w:lineRule="auto"/>
        <w:ind w:firstLine="480" w:firstLineChars="200"/>
        <w:jc w:val="both"/>
        <w:rPr>
          <w:rFonts w:ascii="Times New Roman" w:hAnsi="Times New Roman" w:cs="Times New Roman"/>
        </w:rPr>
      </w:pPr>
      <w:r>
        <w:rPr>
          <w:rFonts w:hint="eastAsia" w:ascii="Times New Roman" w:hAnsi="Times New Roman" w:cs="Times New Roman"/>
        </w:rPr>
        <w:t>根据《环境影响评价技术导则</w:t>
      </w:r>
      <w:r>
        <w:rPr>
          <w:rFonts w:ascii="Times New Roman" w:hAnsi="Times New Roman" w:cs="Times New Roman"/>
        </w:rPr>
        <w:t xml:space="preserve"> 土壤环境（试行）》（HJ964-2018）附录A可知，本项目为二级公路建设，类别属于“交通运输仓储邮政业：其他”，故本项目土壤环境影响评价项目类别为“Ⅳ类”。因此，根据（HJ964-2018）的评价基本任务要求，本次可不开展土壤环境影响评价。</w:t>
      </w:r>
    </w:p>
    <w:p w14:paraId="2F3AD286">
      <w:pPr>
        <w:spacing w:line="360" w:lineRule="auto"/>
        <w:ind w:firstLine="480" w:firstLineChars="20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6）环境风险</w:t>
      </w:r>
    </w:p>
    <w:p w14:paraId="7EAB19F2">
      <w:pPr>
        <w:spacing w:line="360" w:lineRule="auto"/>
        <w:ind w:firstLine="480" w:firstLineChars="200"/>
        <w:jc w:val="both"/>
        <w:rPr>
          <w:rFonts w:ascii="Times New Roman" w:hAnsi="Times New Roman" w:cs="Times New Roman"/>
        </w:rPr>
      </w:pPr>
      <w:r>
        <w:rPr>
          <w:rFonts w:hint="eastAsia" w:ascii="Times New Roman" w:hAnsi="Times New Roman" w:cs="Times New Roman"/>
        </w:rPr>
        <w:t>根据《建设项目环境风险评价技术导则》（</w:t>
      </w:r>
      <w:r>
        <w:rPr>
          <w:rFonts w:ascii="Times New Roman" w:hAnsi="Times New Roman" w:cs="Times New Roman"/>
        </w:rPr>
        <w:t>HJ169-2018）中评价工作等级的判定依据，环境风险评价工作等级划分为一级、二级、三级。根据建设项目涉及的物质及工艺系统危险性和所在地环境敏感性确定环境风险潜势，按照评价工作等级划分要求确定评价工作等级。风险潜势为Ⅳ及以上，进行一级评价；风险潜势为Ⅲ，进行二级评价；风险潜势为Ⅱ，进行三级评价；风险潜势为Ⅰ，可开展简单分析。</w:t>
      </w:r>
    </w:p>
    <w:p w14:paraId="050F4CC2">
      <w:pPr>
        <w:spacing w:line="360" w:lineRule="auto"/>
        <w:ind w:firstLine="480" w:firstLineChars="200"/>
        <w:jc w:val="both"/>
        <w:rPr>
          <w:rFonts w:ascii="Times New Roman" w:hAnsi="Times New Roman" w:cs="Times New Roman"/>
        </w:rPr>
      </w:pPr>
      <w:r>
        <w:rPr>
          <w:rFonts w:hint="eastAsia" w:ascii="Times New Roman" w:hAnsi="Times New Roman" w:cs="Times New Roman"/>
        </w:rPr>
        <w:t>结合本项目风险源特点和所在区域环境特征，本项目无固定风险源，确定本项目环境风险评价工作等级为“简单分析”，对运行期间运输危险化学品的车辆可能存在的危险、有害因素进行定性分析，提出合理的可行的防范、应急与减缓措施。具体评价等级确定过程见风险评价章节。</w:t>
      </w:r>
    </w:p>
    <w:p w14:paraId="37005B0F">
      <w:pPr>
        <w:pStyle w:val="4"/>
        <w:adjustRightInd w:val="0"/>
        <w:snapToGrid w:val="0"/>
        <w:spacing w:before="156" w:after="156" w:line="240" w:lineRule="auto"/>
        <w:rPr>
          <w:rFonts w:ascii="Times New Roman" w:hAnsi="Times New Roman" w:cs="Times New Roman"/>
        </w:rPr>
      </w:pPr>
      <w:r>
        <w:rPr>
          <w:rFonts w:ascii="Times New Roman" w:hAnsi="Times New Roman" w:cs="Times New Roman"/>
        </w:rPr>
        <w:t>2.3.2评价标准</w:t>
      </w:r>
      <w:bookmarkEnd w:id="138"/>
      <w:bookmarkEnd w:id="139"/>
      <w:bookmarkEnd w:id="140"/>
      <w:bookmarkEnd w:id="141"/>
      <w:bookmarkEnd w:id="142"/>
    </w:p>
    <w:p w14:paraId="23B22B36">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2.3.2.1环境质量标准</w:t>
      </w:r>
    </w:p>
    <w:p w14:paraId="05308B84">
      <w:pPr>
        <w:pStyle w:val="220"/>
        <w:adjustRightInd w:val="0"/>
        <w:snapToGrid w:val="0"/>
        <w:ind w:firstLine="480" w:firstLineChars="200"/>
        <w:jc w:val="both"/>
        <w:rPr>
          <w:rFonts w:ascii="Times New Roman" w:hAnsi="Times New Roman" w:cs="Times New Roman"/>
        </w:rPr>
      </w:pPr>
      <w:bookmarkStart w:id="148" w:name="_Toc247338674"/>
      <w:bookmarkStart w:id="149" w:name="_Toc246436441"/>
      <w:bookmarkStart w:id="150" w:name="_Toc247448049"/>
      <w:r>
        <w:rPr>
          <w:rFonts w:ascii="Times New Roman" w:hAnsi="Times New Roman" w:cs="Times New Roman"/>
        </w:rPr>
        <w:t>（1）环境空气质量标准</w:t>
      </w:r>
      <w:bookmarkEnd w:id="148"/>
      <w:bookmarkEnd w:id="149"/>
      <w:bookmarkEnd w:id="150"/>
    </w:p>
    <w:p w14:paraId="3264F2B6">
      <w:pPr>
        <w:pStyle w:val="8"/>
        <w:adjustRightInd w:val="0"/>
        <w:snapToGrid w:val="0"/>
        <w:spacing w:line="360" w:lineRule="auto"/>
        <w:ind w:firstLine="480"/>
        <w:jc w:val="both"/>
        <w:rPr>
          <w:rFonts w:ascii="Times New Roman" w:hAnsi="Times New Roman" w:cs="Times New Roman"/>
        </w:rPr>
      </w:pPr>
      <w:bookmarkStart w:id="151" w:name="_Toc247338677"/>
      <w:bookmarkStart w:id="152" w:name="_Toc247338675"/>
      <w:bookmarkStart w:id="153" w:name="_Toc246436444"/>
      <w:bookmarkStart w:id="154" w:name="_Toc247448052"/>
      <w:bookmarkStart w:id="155" w:name="_Toc247448050"/>
      <w:bookmarkStart w:id="156" w:name="_Toc246436442"/>
      <w:r>
        <w:rPr>
          <w:rFonts w:ascii="Times New Roman" w:hAnsi="Times New Roman" w:cs="Times New Roman"/>
        </w:rPr>
        <w:t>依据《环境空气质量标准》（GB3095-2012），项目拟建地所处区域为环境空气质量二类功能区。SO</w:t>
      </w:r>
      <w:r>
        <w:rPr>
          <w:rFonts w:ascii="Times New Roman" w:hAnsi="Times New Roman" w:cs="Times New Roman"/>
          <w:vertAlign w:val="subscript"/>
        </w:rPr>
        <w:t>2</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、PM</w:t>
      </w:r>
      <w:r>
        <w:rPr>
          <w:rFonts w:ascii="Times New Roman" w:hAnsi="Times New Roman" w:cs="Times New Roman"/>
          <w:vertAlign w:val="subscript"/>
        </w:rPr>
        <w:t>10</w:t>
      </w:r>
      <w:r>
        <w:rPr>
          <w:rFonts w:ascii="Times New Roman" w:hAnsi="Times New Roman" w:cs="Times New Roman"/>
        </w:rPr>
        <w:t>、PM</w:t>
      </w:r>
      <w:r>
        <w:rPr>
          <w:rFonts w:ascii="Times New Roman" w:hAnsi="Times New Roman" w:cs="Times New Roman"/>
          <w:vertAlign w:val="subscript"/>
        </w:rPr>
        <w:t>2.5</w:t>
      </w:r>
      <w:r>
        <w:rPr>
          <w:rFonts w:ascii="Times New Roman" w:hAnsi="Times New Roman" w:cs="Times New Roman"/>
        </w:rPr>
        <w:t>、CO和O</w:t>
      </w:r>
      <w:r>
        <w:rPr>
          <w:rFonts w:ascii="Times New Roman" w:hAnsi="Times New Roman" w:cs="Times New Roman"/>
          <w:vertAlign w:val="subscript"/>
        </w:rPr>
        <w:t>3</w:t>
      </w:r>
      <w:r>
        <w:rPr>
          <w:rFonts w:ascii="Times New Roman" w:hAnsi="Times New Roman" w:cs="Times New Roman"/>
        </w:rPr>
        <w:t>执行《环境空气质量标准》（GB3095-2012）及其修改单中的二级标准。</w:t>
      </w:r>
    </w:p>
    <w:p w14:paraId="65C00CF4">
      <w:pPr>
        <w:pStyle w:val="8"/>
        <w:adjustRightInd w:val="0"/>
        <w:snapToGrid w:val="0"/>
        <w:spacing w:line="360" w:lineRule="auto"/>
        <w:ind w:firstLine="480"/>
        <w:jc w:val="both"/>
        <w:rPr>
          <w:rFonts w:ascii="Times New Roman" w:hAnsi="Times New Roman" w:eastAsia="黑体" w:cs="Times New Roman"/>
        </w:rPr>
      </w:pPr>
      <w:r>
        <w:rPr>
          <w:rFonts w:ascii="Times New Roman" w:hAnsi="Times New Roman" w:cs="Times New Roman"/>
        </w:rPr>
        <w:t>具体标准值见表2.3-3。</w:t>
      </w:r>
    </w:p>
    <w:p w14:paraId="13BDC881">
      <w:pPr>
        <w:ind w:firstLine="240" w:firstLineChars="100"/>
        <w:jc w:val="center"/>
        <w:rPr>
          <w:rFonts w:ascii="黑体" w:hAnsi="黑体" w:eastAsia="黑体" w:cs="Times New Roman"/>
          <w:sz w:val="21"/>
        </w:rPr>
      </w:pPr>
      <w:r>
        <w:rPr>
          <w:rFonts w:ascii="黑体" w:hAnsi="黑体" w:eastAsia="黑体" w:cs="Times New Roman"/>
        </w:rPr>
        <w:t>表2.3-3  环境空气质量标准汇总</w:t>
      </w:r>
    </w:p>
    <w:bookmarkEnd w:id="151"/>
    <w:bookmarkEnd w:id="152"/>
    <w:bookmarkEnd w:id="153"/>
    <w:bookmarkEnd w:id="154"/>
    <w:bookmarkEnd w:id="155"/>
    <w:bookmarkEnd w:id="156"/>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043"/>
        <w:gridCol w:w="874"/>
        <w:gridCol w:w="2457"/>
        <w:gridCol w:w="1814"/>
        <w:gridCol w:w="1647"/>
      </w:tblGrid>
      <w:tr w14:paraId="4732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restart"/>
            <w:shd w:val="clear" w:color="auto" w:fill="auto"/>
            <w:vAlign w:val="center"/>
          </w:tcPr>
          <w:p w14:paraId="72C1CADC">
            <w:pPr>
              <w:spacing w:line="200" w:lineRule="exact"/>
              <w:jc w:val="center"/>
              <w:rPr>
                <w:rFonts w:ascii="Times New Roman" w:hAnsi="Times New Roman" w:cs="Times New Roman"/>
                <w:sz w:val="21"/>
                <w:szCs w:val="21"/>
              </w:rPr>
            </w:pPr>
            <w:bookmarkStart w:id="157" w:name="_Toc232174602"/>
            <w:bookmarkStart w:id="158" w:name="_Toc232833451"/>
            <w:bookmarkStart w:id="159" w:name="_Toc246436451"/>
            <w:bookmarkStart w:id="160" w:name="_Toc247338684"/>
            <w:bookmarkStart w:id="161" w:name="_Toc236648955"/>
            <w:bookmarkStart w:id="162" w:name="_Toc236793647"/>
            <w:bookmarkStart w:id="163" w:name="_Toc233281646"/>
            <w:bookmarkStart w:id="164" w:name="_Toc247448059"/>
            <w:r>
              <w:rPr>
                <w:rFonts w:ascii="Times New Roman" w:hAnsi="Times New Roman" w:cs="Times New Roman"/>
                <w:sz w:val="21"/>
                <w:szCs w:val="21"/>
              </w:rPr>
              <w:t>序号</w:t>
            </w:r>
          </w:p>
        </w:tc>
        <w:tc>
          <w:tcPr>
            <w:tcW w:w="987" w:type="dxa"/>
            <w:vMerge w:val="restart"/>
            <w:shd w:val="clear" w:color="auto" w:fill="auto"/>
            <w:vAlign w:val="center"/>
          </w:tcPr>
          <w:p w14:paraId="0F905D80">
            <w:pPr>
              <w:spacing w:line="200" w:lineRule="exact"/>
              <w:jc w:val="center"/>
              <w:rPr>
                <w:rFonts w:ascii="Times New Roman" w:hAnsi="Times New Roman" w:cs="Times New Roman"/>
                <w:sz w:val="21"/>
                <w:szCs w:val="21"/>
              </w:rPr>
            </w:pPr>
            <w:r>
              <w:rPr>
                <w:rFonts w:ascii="Times New Roman" w:hAnsi="Times New Roman" w:cs="Times New Roman"/>
                <w:sz w:val="21"/>
                <w:szCs w:val="21"/>
              </w:rPr>
              <w:t>污染因子</w:t>
            </w:r>
          </w:p>
        </w:tc>
        <w:tc>
          <w:tcPr>
            <w:tcW w:w="4873" w:type="dxa"/>
            <w:gridSpan w:val="3"/>
            <w:shd w:val="clear" w:color="auto" w:fill="auto"/>
            <w:vAlign w:val="center"/>
          </w:tcPr>
          <w:p w14:paraId="305FA97A">
            <w:pPr>
              <w:spacing w:line="200" w:lineRule="exact"/>
              <w:jc w:val="center"/>
              <w:rPr>
                <w:rFonts w:ascii="Times New Roman" w:hAnsi="Times New Roman" w:cs="Times New Roman"/>
                <w:sz w:val="21"/>
                <w:szCs w:val="21"/>
              </w:rPr>
            </w:pPr>
            <w:r>
              <w:rPr>
                <w:rFonts w:ascii="Times New Roman" w:hAnsi="Times New Roman" w:cs="Times New Roman"/>
                <w:sz w:val="21"/>
                <w:szCs w:val="21"/>
              </w:rPr>
              <w:t>标准限值（μg/m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559" w:type="dxa"/>
            <w:shd w:val="clear" w:color="auto" w:fill="auto"/>
            <w:vAlign w:val="center"/>
          </w:tcPr>
          <w:p w14:paraId="60F58D14">
            <w:pPr>
              <w:spacing w:line="200" w:lineRule="exact"/>
              <w:jc w:val="center"/>
              <w:rPr>
                <w:rFonts w:ascii="Times New Roman" w:hAnsi="Times New Roman" w:cs="Times New Roman"/>
                <w:sz w:val="21"/>
                <w:szCs w:val="21"/>
              </w:rPr>
            </w:pPr>
            <w:r>
              <w:rPr>
                <w:rFonts w:ascii="Times New Roman" w:hAnsi="Times New Roman" w:cs="Times New Roman"/>
                <w:sz w:val="21"/>
                <w:szCs w:val="21"/>
              </w:rPr>
              <w:t>标准来源</w:t>
            </w:r>
          </w:p>
        </w:tc>
      </w:tr>
      <w:tr w14:paraId="79B1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vMerge w:val="continue"/>
            <w:shd w:val="clear" w:color="auto" w:fill="auto"/>
            <w:vAlign w:val="center"/>
          </w:tcPr>
          <w:p w14:paraId="67B69E6D">
            <w:pPr>
              <w:spacing w:line="200" w:lineRule="exact"/>
              <w:jc w:val="center"/>
              <w:rPr>
                <w:rFonts w:ascii="Times New Roman" w:hAnsi="Times New Roman" w:cs="Times New Roman"/>
                <w:sz w:val="21"/>
                <w:szCs w:val="21"/>
              </w:rPr>
            </w:pPr>
          </w:p>
        </w:tc>
        <w:tc>
          <w:tcPr>
            <w:tcW w:w="987" w:type="dxa"/>
            <w:vMerge w:val="continue"/>
            <w:shd w:val="clear" w:color="auto" w:fill="auto"/>
            <w:vAlign w:val="center"/>
          </w:tcPr>
          <w:p w14:paraId="63E8A76B">
            <w:pPr>
              <w:spacing w:line="200" w:lineRule="exact"/>
              <w:jc w:val="center"/>
              <w:rPr>
                <w:rFonts w:ascii="Times New Roman" w:hAnsi="Times New Roman" w:cs="Times New Roman"/>
                <w:sz w:val="21"/>
                <w:szCs w:val="21"/>
              </w:rPr>
            </w:pPr>
          </w:p>
        </w:tc>
        <w:tc>
          <w:tcPr>
            <w:tcW w:w="828" w:type="dxa"/>
            <w:shd w:val="clear" w:color="auto" w:fill="auto"/>
            <w:vAlign w:val="center"/>
          </w:tcPr>
          <w:p w14:paraId="6F6B9C52">
            <w:pPr>
              <w:spacing w:line="200" w:lineRule="exact"/>
              <w:jc w:val="center"/>
              <w:rPr>
                <w:rFonts w:ascii="Times New Roman" w:hAnsi="Times New Roman" w:cs="Times New Roman"/>
                <w:sz w:val="21"/>
                <w:szCs w:val="21"/>
              </w:rPr>
            </w:pPr>
            <w:r>
              <w:rPr>
                <w:rFonts w:ascii="Times New Roman" w:hAnsi="Times New Roman" w:cs="Times New Roman"/>
                <w:sz w:val="21"/>
                <w:szCs w:val="21"/>
              </w:rPr>
              <w:t>年平均</w:t>
            </w:r>
          </w:p>
        </w:tc>
        <w:tc>
          <w:tcPr>
            <w:tcW w:w="2327" w:type="dxa"/>
            <w:shd w:val="clear" w:color="auto" w:fill="auto"/>
            <w:vAlign w:val="center"/>
          </w:tcPr>
          <w:p w14:paraId="0E58D793">
            <w:pPr>
              <w:spacing w:line="200" w:lineRule="exact"/>
              <w:jc w:val="center"/>
              <w:rPr>
                <w:rFonts w:ascii="Times New Roman" w:hAnsi="Times New Roman" w:cs="Times New Roman"/>
                <w:sz w:val="21"/>
                <w:szCs w:val="21"/>
              </w:rPr>
            </w:pPr>
            <w:r>
              <w:rPr>
                <w:rFonts w:ascii="Times New Roman" w:hAnsi="Times New Roman" w:cs="Times New Roman"/>
                <w:sz w:val="21"/>
                <w:szCs w:val="21"/>
              </w:rPr>
              <w:t>24小时平均</w:t>
            </w:r>
          </w:p>
        </w:tc>
        <w:tc>
          <w:tcPr>
            <w:tcW w:w="1718" w:type="dxa"/>
            <w:shd w:val="clear" w:color="auto" w:fill="auto"/>
            <w:vAlign w:val="center"/>
          </w:tcPr>
          <w:p w14:paraId="0152D788">
            <w:pPr>
              <w:spacing w:line="200" w:lineRule="exact"/>
              <w:jc w:val="center"/>
              <w:rPr>
                <w:rFonts w:ascii="Times New Roman" w:hAnsi="Times New Roman" w:cs="Times New Roman"/>
                <w:sz w:val="21"/>
                <w:szCs w:val="21"/>
              </w:rPr>
            </w:pPr>
            <w:r>
              <w:rPr>
                <w:rFonts w:ascii="Times New Roman" w:hAnsi="Times New Roman" w:cs="Times New Roman"/>
                <w:sz w:val="21"/>
                <w:szCs w:val="21"/>
              </w:rPr>
              <w:t>小时平均</w:t>
            </w:r>
          </w:p>
        </w:tc>
        <w:tc>
          <w:tcPr>
            <w:tcW w:w="1559" w:type="dxa"/>
            <w:shd w:val="clear" w:color="auto" w:fill="auto"/>
            <w:vAlign w:val="center"/>
          </w:tcPr>
          <w:p w14:paraId="62232790">
            <w:pPr>
              <w:spacing w:line="200" w:lineRule="exact"/>
              <w:jc w:val="center"/>
              <w:rPr>
                <w:rFonts w:ascii="Times New Roman" w:hAnsi="Times New Roman" w:cs="Times New Roman"/>
                <w:sz w:val="21"/>
                <w:szCs w:val="21"/>
              </w:rPr>
            </w:pPr>
          </w:p>
        </w:tc>
      </w:tr>
      <w:tr w14:paraId="21AA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shd w:val="clear" w:color="auto" w:fill="auto"/>
            <w:vAlign w:val="center"/>
          </w:tcPr>
          <w:p w14:paraId="30E520EC">
            <w:pPr>
              <w:spacing w:line="20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987" w:type="dxa"/>
            <w:shd w:val="clear" w:color="auto" w:fill="auto"/>
            <w:vAlign w:val="center"/>
          </w:tcPr>
          <w:p w14:paraId="612CC0CB">
            <w:pPr>
              <w:spacing w:line="200" w:lineRule="exact"/>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828" w:type="dxa"/>
            <w:shd w:val="clear" w:color="auto" w:fill="auto"/>
            <w:vAlign w:val="center"/>
          </w:tcPr>
          <w:p w14:paraId="0CED1B65">
            <w:pPr>
              <w:spacing w:line="20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2327" w:type="dxa"/>
            <w:shd w:val="clear" w:color="auto" w:fill="auto"/>
            <w:vAlign w:val="center"/>
          </w:tcPr>
          <w:p w14:paraId="7F409787">
            <w:pPr>
              <w:spacing w:line="200" w:lineRule="exact"/>
              <w:jc w:val="center"/>
              <w:rPr>
                <w:rFonts w:ascii="Times New Roman" w:hAnsi="Times New Roman" w:cs="Times New Roman"/>
                <w:sz w:val="21"/>
                <w:szCs w:val="21"/>
              </w:rPr>
            </w:pPr>
            <w:r>
              <w:rPr>
                <w:rFonts w:ascii="Times New Roman" w:hAnsi="Times New Roman" w:cs="Times New Roman"/>
                <w:sz w:val="21"/>
                <w:szCs w:val="21"/>
              </w:rPr>
              <w:t>150</w:t>
            </w:r>
          </w:p>
        </w:tc>
        <w:tc>
          <w:tcPr>
            <w:tcW w:w="1718" w:type="dxa"/>
            <w:shd w:val="clear" w:color="auto" w:fill="auto"/>
            <w:vAlign w:val="center"/>
          </w:tcPr>
          <w:p w14:paraId="6C020BD4">
            <w:pPr>
              <w:spacing w:line="200" w:lineRule="exact"/>
              <w:jc w:val="center"/>
              <w:rPr>
                <w:rFonts w:ascii="Times New Roman" w:hAnsi="Times New Roman" w:cs="Times New Roman"/>
                <w:sz w:val="21"/>
                <w:szCs w:val="21"/>
              </w:rPr>
            </w:pPr>
            <w:r>
              <w:rPr>
                <w:rFonts w:ascii="Times New Roman" w:hAnsi="Times New Roman" w:cs="Times New Roman"/>
                <w:sz w:val="21"/>
                <w:szCs w:val="21"/>
              </w:rPr>
              <w:t>500</w:t>
            </w:r>
          </w:p>
        </w:tc>
        <w:tc>
          <w:tcPr>
            <w:tcW w:w="1559" w:type="dxa"/>
            <w:vMerge w:val="restart"/>
            <w:shd w:val="clear" w:color="auto" w:fill="auto"/>
            <w:vAlign w:val="center"/>
          </w:tcPr>
          <w:p w14:paraId="258CB289">
            <w:pPr>
              <w:spacing w:line="200" w:lineRule="exact"/>
              <w:jc w:val="center"/>
              <w:rPr>
                <w:rFonts w:ascii="Times New Roman" w:hAnsi="Times New Roman" w:cs="Times New Roman"/>
                <w:sz w:val="21"/>
                <w:szCs w:val="21"/>
              </w:rPr>
            </w:pPr>
            <w:r>
              <w:rPr>
                <w:rFonts w:ascii="Times New Roman" w:hAnsi="Times New Roman" w:cs="Times New Roman"/>
                <w:sz w:val="21"/>
                <w:szCs w:val="21"/>
              </w:rPr>
              <w:t>《环境空气质量标准》(GB3095-2012)及其修改单二级标准</w:t>
            </w:r>
          </w:p>
        </w:tc>
      </w:tr>
      <w:tr w14:paraId="2605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shd w:val="clear" w:color="auto" w:fill="auto"/>
            <w:vAlign w:val="center"/>
          </w:tcPr>
          <w:p w14:paraId="13193685">
            <w:pPr>
              <w:spacing w:line="20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987" w:type="dxa"/>
            <w:shd w:val="clear" w:color="auto" w:fill="auto"/>
            <w:vAlign w:val="center"/>
          </w:tcPr>
          <w:p w14:paraId="494D4ABB">
            <w:pPr>
              <w:spacing w:line="200" w:lineRule="exact"/>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828" w:type="dxa"/>
            <w:shd w:val="clear" w:color="auto" w:fill="auto"/>
            <w:vAlign w:val="center"/>
          </w:tcPr>
          <w:p w14:paraId="3538CD8A">
            <w:pPr>
              <w:spacing w:line="200" w:lineRule="exact"/>
              <w:jc w:val="center"/>
              <w:rPr>
                <w:rFonts w:ascii="Times New Roman" w:hAnsi="Times New Roman" w:cs="Times New Roman"/>
                <w:sz w:val="21"/>
                <w:szCs w:val="21"/>
              </w:rPr>
            </w:pPr>
            <w:r>
              <w:rPr>
                <w:rFonts w:ascii="Times New Roman" w:hAnsi="Times New Roman" w:cs="Times New Roman"/>
                <w:sz w:val="21"/>
                <w:szCs w:val="21"/>
              </w:rPr>
              <w:t>40</w:t>
            </w:r>
          </w:p>
        </w:tc>
        <w:tc>
          <w:tcPr>
            <w:tcW w:w="2327" w:type="dxa"/>
            <w:shd w:val="clear" w:color="auto" w:fill="auto"/>
            <w:vAlign w:val="center"/>
          </w:tcPr>
          <w:p w14:paraId="5F31E64C">
            <w:pPr>
              <w:spacing w:line="200" w:lineRule="exact"/>
              <w:jc w:val="center"/>
              <w:rPr>
                <w:rFonts w:ascii="Times New Roman" w:hAnsi="Times New Roman" w:cs="Times New Roman"/>
                <w:sz w:val="21"/>
                <w:szCs w:val="21"/>
              </w:rPr>
            </w:pPr>
            <w:r>
              <w:rPr>
                <w:rFonts w:ascii="Times New Roman" w:hAnsi="Times New Roman" w:cs="Times New Roman"/>
                <w:sz w:val="21"/>
                <w:szCs w:val="21"/>
              </w:rPr>
              <w:t>80</w:t>
            </w:r>
          </w:p>
        </w:tc>
        <w:tc>
          <w:tcPr>
            <w:tcW w:w="1718" w:type="dxa"/>
            <w:shd w:val="clear" w:color="auto" w:fill="auto"/>
            <w:vAlign w:val="center"/>
          </w:tcPr>
          <w:p w14:paraId="185CD02C">
            <w:pPr>
              <w:spacing w:line="200" w:lineRule="exact"/>
              <w:jc w:val="center"/>
              <w:rPr>
                <w:rFonts w:ascii="Times New Roman" w:hAnsi="Times New Roman" w:cs="Times New Roman"/>
                <w:sz w:val="21"/>
                <w:szCs w:val="21"/>
              </w:rPr>
            </w:pPr>
            <w:r>
              <w:rPr>
                <w:rFonts w:ascii="Times New Roman" w:hAnsi="Times New Roman" w:cs="Times New Roman"/>
                <w:sz w:val="21"/>
                <w:szCs w:val="21"/>
              </w:rPr>
              <w:t>200</w:t>
            </w:r>
          </w:p>
        </w:tc>
        <w:tc>
          <w:tcPr>
            <w:tcW w:w="1559" w:type="dxa"/>
            <w:vMerge w:val="continue"/>
            <w:shd w:val="clear" w:color="auto" w:fill="auto"/>
            <w:vAlign w:val="center"/>
          </w:tcPr>
          <w:p w14:paraId="3BAAE44D">
            <w:pPr>
              <w:spacing w:line="200" w:lineRule="exact"/>
              <w:jc w:val="center"/>
              <w:rPr>
                <w:rFonts w:ascii="Times New Roman" w:hAnsi="Times New Roman" w:cs="Times New Roman"/>
                <w:sz w:val="21"/>
                <w:szCs w:val="21"/>
              </w:rPr>
            </w:pPr>
          </w:p>
        </w:tc>
      </w:tr>
      <w:tr w14:paraId="71CE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shd w:val="clear" w:color="auto" w:fill="auto"/>
            <w:vAlign w:val="center"/>
          </w:tcPr>
          <w:p w14:paraId="327FC99F">
            <w:pPr>
              <w:spacing w:line="20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987" w:type="dxa"/>
            <w:shd w:val="clear" w:color="auto" w:fill="auto"/>
            <w:vAlign w:val="center"/>
          </w:tcPr>
          <w:p w14:paraId="6B66ACD4">
            <w:pPr>
              <w:spacing w:line="200" w:lineRule="exac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828" w:type="dxa"/>
            <w:shd w:val="clear" w:color="auto" w:fill="auto"/>
            <w:vAlign w:val="center"/>
          </w:tcPr>
          <w:p w14:paraId="5D013993">
            <w:pPr>
              <w:spacing w:line="200" w:lineRule="exact"/>
              <w:jc w:val="center"/>
              <w:rPr>
                <w:rFonts w:ascii="Times New Roman" w:hAnsi="Times New Roman" w:cs="Times New Roman"/>
                <w:sz w:val="21"/>
                <w:szCs w:val="21"/>
              </w:rPr>
            </w:pPr>
            <w:r>
              <w:rPr>
                <w:rFonts w:ascii="Times New Roman" w:hAnsi="Times New Roman" w:cs="Times New Roman"/>
                <w:sz w:val="21"/>
                <w:szCs w:val="21"/>
              </w:rPr>
              <w:t>70</w:t>
            </w:r>
          </w:p>
        </w:tc>
        <w:tc>
          <w:tcPr>
            <w:tcW w:w="2327" w:type="dxa"/>
            <w:shd w:val="clear" w:color="auto" w:fill="auto"/>
            <w:vAlign w:val="center"/>
          </w:tcPr>
          <w:p w14:paraId="130AA049">
            <w:pPr>
              <w:spacing w:line="200" w:lineRule="exact"/>
              <w:jc w:val="center"/>
              <w:rPr>
                <w:rFonts w:ascii="Times New Roman" w:hAnsi="Times New Roman" w:cs="Times New Roman"/>
                <w:sz w:val="21"/>
                <w:szCs w:val="21"/>
              </w:rPr>
            </w:pPr>
            <w:r>
              <w:rPr>
                <w:rFonts w:ascii="Times New Roman" w:hAnsi="Times New Roman" w:cs="Times New Roman"/>
                <w:sz w:val="21"/>
                <w:szCs w:val="21"/>
              </w:rPr>
              <w:t>150</w:t>
            </w:r>
          </w:p>
        </w:tc>
        <w:tc>
          <w:tcPr>
            <w:tcW w:w="1718" w:type="dxa"/>
            <w:shd w:val="clear" w:color="auto" w:fill="auto"/>
            <w:vAlign w:val="center"/>
          </w:tcPr>
          <w:p w14:paraId="19B3C8DE">
            <w:pPr>
              <w:spacing w:line="20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1559" w:type="dxa"/>
            <w:vMerge w:val="continue"/>
            <w:shd w:val="clear" w:color="auto" w:fill="auto"/>
            <w:vAlign w:val="center"/>
          </w:tcPr>
          <w:p w14:paraId="212DB6E8">
            <w:pPr>
              <w:spacing w:line="200" w:lineRule="exact"/>
              <w:jc w:val="center"/>
              <w:rPr>
                <w:rFonts w:ascii="Times New Roman" w:hAnsi="Times New Roman" w:cs="Times New Roman"/>
                <w:sz w:val="21"/>
                <w:szCs w:val="21"/>
              </w:rPr>
            </w:pPr>
          </w:p>
        </w:tc>
      </w:tr>
      <w:tr w14:paraId="0CB4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shd w:val="clear" w:color="auto" w:fill="auto"/>
            <w:vAlign w:val="center"/>
          </w:tcPr>
          <w:p w14:paraId="1D5CA4C3">
            <w:pPr>
              <w:spacing w:line="20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987" w:type="dxa"/>
            <w:shd w:val="clear" w:color="auto" w:fill="auto"/>
            <w:vAlign w:val="center"/>
          </w:tcPr>
          <w:p w14:paraId="062999F2">
            <w:pPr>
              <w:spacing w:line="200" w:lineRule="exact"/>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828" w:type="dxa"/>
            <w:shd w:val="clear" w:color="auto" w:fill="auto"/>
            <w:vAlign w:val="center"/>
          </w:tcPr>
          <w:p w14:paraId="050388DF">
            <w:pPr>
              <w:spacing w:line="200" w:lineRule="exact"/>
              <w:jc w:val="center"/>
              <w:rPr>
                <w:rFonts w:ascii="Times New Roman" w:hAnsi="Times New Roman" w:cs="Times New Roman"/>
                <w:sz w:val="21"/>
                <w:szCs w:val="21"/>
              </w:rPr>
            </w:pPr>
            <w:r>
              <w:rPr>
                <w:rFonts w:ascii="Times New Roman" w:hAnsi="Times New Roman" w:cs="Times New Roman"/>
                <w:sz w:val="21"/>
                <w:szCs w:val="21"/>
              </w:rPr>
              <w:t>35</w:t>
            </w:r>
          </w:p>
        </w:tc>
        <w:tc>
          <w:tcPr>
            <w:tcW w:w="2327" w:type="dxa"/>
            <w:shd w:val="clear" w:color="auto" w:fill="auto"/>
            <w:vAlign w:val="center"/>
          </w:tcPr>
          <w:p w14:paraId="73A69013">
            <w:pPr>
              <w:spacing w:line="200" w:lineRule="exact"/>
              <w:jc w:val="center"/>
              <w:rPr>
                <w:rFonts w:ascii="Times New Roman" w:hAnsi="Times New Roman" w:cs="Times New Roman"/>
                <w:sz w:val="21"/>
                <w:szCs w:val="21"/>
              </w:rPr>
            </w:pPr>
            <w:r>
              <w:rPr>
                <w:rFonts w:ascii="Times New Roman" w:hAnsi="Times New Roman" w:cs="Times New Roman"/>
                <w:sz w:val="21"/>
                <w:szCs w:val="21"/>
              </w:rPr>
              <w:t>75</w:t>
            </w:r>
          </w:p>
        </w:tc>
        <w:tc>
          <w:tcPr>
            <w:tcW w:w="1718" w:type="dxa"/>
            <w:shd w:val="clear" w:color="auto" w:fill="auto"/>
            <w:vAlign w:val="center"/>
          </w:tcPr>
          <w:p w14:paraId="57F22A87">
            <w:pPr>
              <w:spacing w:line="20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1559" w:type="dxa"/>
            <w:vMerge w:val="continue"/>
            <w:shd w:val="clear" w:color="auto" w:fill="auto"/>
            <w:vAlign w:val="center"/>
          </w:tcPr>
          <w:p w14:paraId="0056602D">
            <w:pPr>
              <w:spacing w:line="200" w:lineRule="exact"/>
              <w:jc w:val="center"/>
              <w:rPr>
                <w:rFonts w:ascii="Times New Roman" w:hAnsi="Times New Roman" w:cs="Times New Roman"/>
                <w:sz w:val="21"/>
                <w:szCs w:val="21"/>
              </w:rPr>
            </w:pPr>
          </w:p>
        </w:tc>
      </w:tr>
      <w:tr w14:paraId="6BA2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dxa"/>
            <w:shd w:val="clear" w:color="auto" w:fill="auto"/>
            <w:vAlign w:val="center"/>
          </w:tcPr>
          <w:p w14:paraId="7E7CE8C2">
            <w:pPr>
              <w:spacing w:line="20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987" w:type="dxa"/>
            <w:shd w:val="clear" w:color="auto" w:fill="auto"/>
            <w:vAlign w:val="center"/>
          </w:tcPr>
          <w:p w14:paraId="18FA6589">
            <w:pPr>
              <w:spacing w:line="200" w:lineRule="exact"/>
              <w:jc w:val="center"/>
              <w:rPr>
                <w:rFonts w:ascii="Times New Roman" w:hAnsi="Times New Roman" w:cs="Times New Roman"/>
                <w:sz w:val="21"/>
                <w:szCs w:val="21"/>
              </w:rPr>
            </w:pPr>
            <w:r>
              <w:rPr>
                <w:rFonts w:ascii="Times New Roman" w:hAnsi="Times New Roman" w:cs="Times New Roman"/>
                <w:sz w:val="21"/>
                <w:szCs w:val="21"/>
              </w:rPr>
              <w:t>CO</w:t>
            </w:r>
          </w:p>
        </w:tc>
        <w:tc>
          <w:tcPr>
            <w:tcW w:w="828" w:type="dxa"/>
            <w:shd w:val="clear" w:color="auto" w:fill="auto"/>
            <w:vAlign w:val="center"/>
          </w:tcPr>
          <w:p w14:paraId="59160844">
            <w:pPr>
              <w:spacing w:line="20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2327" w:type="dxa"/>
            <w:shd w:val="clear" w:color="auto" w:fill="auto"/>
            <w:vAlign w:val="center"/>
          </w:tcPr>
          <w:p w14:paraId="3D480E31">
            <w:pPr>
              <w:spacing w:line="200" w:lineRule="exact"/>
              <w:jc w:val="center"/>
              <w:rPr>
                <w:rFonts w:ascii="Times New Roman" w:hAnsi="Times New Roman" w:cs="Times New Roman"/>
                <w:sz w:val="21"/>
                <w:szCs w:val="21"/>
              </w:rPr>
            </w:pPr>
            <w:r>
              <w:rPr>
                <w:rFonts w:ascii="Times New Roman" w:hAnsi="Times New Roman" w:cs="Times New Roman"/>
                <w:sz w:val="21"/>
                <w:szCs w:val="21"/>
              </w:rPr>
              <w:t>4（mg/m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718" w:type="dxa"/>
            <w:shd w:val="clear" w:color="auto" w:fill="auto"/>
            <w:vAlign w:val="center"/>
          </w:tcPr>
          <w:p w14:paraId="10554073">
            <w:pPr>
              <w:spacing w:line="200" w:lineRule="exact"/>
              <w:jc w:val="center"/>
              <w:rPr>
                <w:rFonts w:ascii="Times New Roman" w:hAnsi="Times New Roman" w:cs="Times New Roman"/>
                <w:sz w:val="21"/>
                <w:szCs w:val="21"/>
              </w:rPr>
            </w:pPr>
            <w:r>
              <w:rPr>
                <w:rFonts w:ascii="Times New Roman" w:hAnsi="Times New Roman" w:cs="Times New Roman"/>
                <w:sz w:val="21"/>
                <w:szCs w:val="21"/>
              </w:rPr>
              <w:t>10（mg/m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1559" w:type="dxa"/>
            <w:vMerge w:val="continue"/>
            <w:shd w:val="clear" w:color="auto" w:fill="auto"/>
            <w:vAlign w:val="center"/>
          </w:tcPr>
          <w:p w14:paraId="31963CAB">
            <w:pPr>
              <w:spacing w:line="200" w:lineRule="exact"/>
              <w:jc w:val="center"/>
              <w:rPr>
                <w:rFonts w:ascii="Times New Roman" w:hAnsi="Times New Roman" w:cs="Times New Roman"/>
                <w:sz w:val="21"/>
                <w:szCs w:val="21"/>
              </w:rPr>
            </w:pPr>
          </w:p>
        </w:tc>
      </w:tr>
      <w:tr w14:paraId="2201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56" w:type="dxa"/>
            <w:shd w:val="clear" w:color="auto" w:fill="auto"/>
            <w:vAlign w:val="center"/>
          </w:tcPr>
          <w:p w14:paraId="475DAE56">
            <w:pPr>
              <w:spacing w:line="200" w:lineRule="exact"/>
              <w:jc w:val="center"/>
              <w:rPr>
                <w:rFonts w:ascii="Times New Roman" w:hAnsi="Times New Roman" w:cs="Times New Roman"/>
                <w:sz w:val="21"/>
                <w:szCs w:val="21"/>
              </w:rPr>
            </w:pPr>
            <w:r>
              <w:rPr>
                <w:rFonts w:ascii="Times New Roman" w:hAnsi="Times New Roman" w:cs="Times New Roman"/>
                <w:sz w:val="21"/>
                <w:szCs w:val="21"/>
              </w:rPr>
              <w:t>6</w:t>
            </w:r>
          </w:p>
        </w:tc>
        <w:tc>
          <w:tcPr>
            <w:tcW w:w="987" w:type="dxa"/>
            <w:shd w:val="clear" w:color="auto" w:fill="auto"/>
            <w:vAlign w:val="center"/>
          </w:tcPr>
          <w:p w14:paraId="6FF6042A">
            <w:pPr>
              <w:spacing w:line="200" w:lineRule="exact"/>
              <w:jc w:val="center"/>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828" w:type="dxa"/>
            <w:shd w:val="clear" w:color="auto" w:fill="auto"/>
            <w:vAlign w:val="center"/>
          </w:tcPr>
          <w:p w14:paraId="4C0AA0D0">
            <w:pPr>
              <w:spacing w:line="20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2327" w:type="dxa"/>
            <w:shd w:val="clear" w:color="auto" w:fill="auto"/>
            <w:vAlign w:val="center"/>
          </w:tcPr>
          <w:p w14:paraId="4EC83895">
            <w:pPr>
              <w:spacing w:line="200" w:lineRule="exact"/>
              <w:jc w:val="center"/>
              <w:rPr>
                <w:rFonts w:ascii="Times New Roman" w:hAnsi="Times New Roman" w:cs="Times New Roman"/>
                <w:sz w:val="21"/>
                <w:szCs w:val="21"/>
              </w:rPr>
            </w:pPr>
            <w:r>
              <w:rPr>
                <w:rFonts w:ascii="Times New Roman" w:hAnsi="Times New Roman" w:cs="Times New Roman"/>
                <w:sz w:val="21"/>
                <w:szCs w:val="21"/>
              </w:rPr>
              <w:t>160</w:t>
            </w:r>
          </w:p>
          <w:p w14:paraId="722F90FB">
            <w:pPr>
              <w:spacing w:line="200" w:lineRule="exact"/>
              <w:jc w:val="center"/>
              <w:rPr>
                <w:rFonts w:ascii="Times New Roman" w:hAnsi="Times New Roman" w:cs="Times New Roman"/>
                <w:sz w:val="21"/>
                <w:szCs w:val="21"/>
              </w:rPr>
            </w:pPr>
            <w:r>
              <w:rPr>
                <w:rFonts w:ascii="Times New Roman" w:hAnsi="Times New Roman" w:cs="Times New Roman"/>
                <w:sz w:val="21"/>
                <w:szCs w:val="21"/>
              </w:rPr>
              <w:t>（日最大8小时平均）</w:t>
            </w:r>
          </w:p>
        </w:tc>
        <w:tc>
          <w:tcPr>
            <w:tcW w:w="1718" w:type="dxa"/>
            <w:shd w:val="clear" w:color="auto" w:fill="auto"/>
            <w:vAlign w:val="center"/>
          </w:tcPr>
          <w:p w14:paraId="25D9D9C2">
            <w:pPr>
              <w:spacing w:line="200" w:lineRule="exact"/>
              <w:jc w:val="center"/>
              <w:rPr>
                <w:rFonts w:ascii="Times New Roman" w:hAnsi="Times New Roman" w:cs="Times New Roman"/>
                <w:sz w:val="21"/>
                <w:szCs w:val="21"/>
              </w:rPr>
            </w:pPr>
            <w:r>
              <w:rPr>
                <w:rFonts w:ascii="Times New Roman" w:hAnsi="Times New Roman" w:cs="Times New Roman"/>
                <w:sz w:val="21"/>
                <w:szCs w:val="21"/>
              </w:rPr>
              <w:t>200</w:t>
            </w:r>
          </w:p>
        </w:tc>
        <w:tc>
          <w:tcPr>
            <w:tcW w:w="1559" w:type="dxa"/>
            <w:vMerge w:val="continue"/>
            <w:shd w:val="clear" w:color="auto" w:fill="auto"/>
            <w:vAlign w:val="center"/>
          </w:tcPr>
          <w:p w14:paraId="3183A299">
            <w:pPr>
              <w:spacing w:line="200" w:lineRule="exact"/>
              <w:jc w:val="center"/>
              <w:rPr>
                <w:rFonts w:ascii="Times New Roman" w:hAnsi="Times New Roman" w:cs="Times New Roman"/>
                <w:sz w:val="21"/>
                <w:szCs w:val="21"/>
              </w:rPr>
            </w:pPr>
          </w:p>
        </w:tc>
      </w:tr>
    </w:tbl>
    <w:p w14:paraId="2FA98B4D">
      <w:pPr>
        <w:pStyle w:val="8"/>
        <w:adjustRightInd w:val="0"/>
        <w:snapToGrid w:val="0"/>
        <w:spacing w:line="360" w:lineRule="auto"/>
        <w:ind w:firstLine="480"/>
        <w:rPr>
          <w:rFonts w:ascii="Times New Roman" w:hAnsi="Times New Roman" w:cs="Times New Roman"/>
          <w:szCs w:val="24"/>
        </w:rPr>
      </w:pPr>
      <w:r>
        <w:rPr>
          <w:rFonts w:ascii="Times New Roman" w:hAnsi="Times New Roman" w:cs="Times New Roman"/>
          <w:szCs w:val="24"/>
        </w:rPr>
        <w:t>（2）水环境质量标准</w:t>
      </w:r>
    </w:p>
    <w:p w14:paraId="1651D70D">
      <w:pPr>
        <w:spacing w:line="360" w:lineRule="auto"/>
        <w:ind w:firstLine="480" w:firstLineChars="200"/>
      </w:pPr>
      <w:bookmarkStart w:id="165" w:name="_Toc247448053"/>
      <w:bookmarkStart w:id="166" w:name="_Toc246436445"/>
      <w:bookmarkStart w:id="167" w:name="_Toc247448056"/>
      <w:bookmarkStart w:id="168" w:name="_Toc247338681"/>
      <w:bookmarkStart w:id="169" w:name="_Toc246436448"/>
      <w:bookmarkStart w:id="170" w:name="_Toc247338678"/>
      <w:r>
        <w:rPr>
          <w:rFonts w:hint="eastAsia"/>
        </w:rPr>
        <w:t>盖孜河</w:t>
      </w:r>
      <w:r>
        <w:t>执行《地表水环境质量标准》（GB3838-2002）Ⅱ类标准，</w:t>
      </w:r>
      <w:r>
        <w:rPr>
          <w:rFonts w:hint="eastAsia"/>
        </w:rPr>
        <w:t>具体水质目标见下表</w:t>
      </w:r>
      <w:r>
        <w:t>。</w:t>
      </w:r>
    </w:p>
    <w:p w14:paraId="5CB3CB89">
      <w:pPr>
        <w:pStyle w:val="2532"/>
        <w:ind w:firstLine="480" w:firstLineChars="200"/>
        <w:jc w:val="both"/>
        <w:rPr>
          <w:rFonts w:hAnsi="黑体" w:eastAsia="黑体"/>
          <w:b w:val="0"/>
        </w:rPr>
      </w:pPr>
      <w:r>
        <w:rPr>
          <w:rFonts w:hAnsi="黑体" w:eastAsia="黑体"/>
          <w:b w:val="0"/>
        </w:rPr>
        <w:t>表2.3-4      地表水环境质量标准限值    单位：mg/l（pH除外）</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586"/>
        <w:gridCol w:w="3304"/>
        <w:gridCol w:w="2062"/>
      </w:tblGrid>
      <w:tr w14:paraId="6AB7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38" w:type="pct"/>
            <w:vAlign w:val="center"/>
          </w:tcPr>
          <w:p w14:paraId="78944159">
            <w:pPr>
              <w:spacing w:line="20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516" w:type="pct"/>
            <w:vAlign w:val="center"/>
          </w:tcPr>
          <w:p w14:paraId="6A9BF9D3">
            <w:pPr>
              <w:spacing w:line="200" w:lineRule="exact"/>
              <w:jc w:val="center"/>
              <w:rPr>
                <w:rFonts w:ascii="Times New Roman" w:hAnsi="Times New Roman" w:cs="Times New Roman"/>
                <w:sz w:val="21"/>
                <w:szCs w:val="21"/>
              </w:rPr>
            </w:pPr>
            <w:r>
              <w:rPr>
                <w:rFonts w:ascii="Times New Roman" w:hAnsi="Times New Roman" w:cs="Times New Roman"/>
                <w:sz w:val="21"/>
                <w:szCs w:val="21"/>
              </w:rPr>
              <w:t>项目</w:t>
            </w:r>
          </w:p>
        </w:tc>
        <w:tc>
          <w:tcPr>
            <w:tcW w:w="1937" w:type="pct"/>
            <w:vAlign w:val="center"/>
          </w:tcPr>
          <w:p w14:paraId="7CCC15A6">
            <w:pPr>
              <w:spacing w:line="200" w:lineRule="exact"/>
              <w:jc w:val="center"/>
              <w:rPr>
                <w:rFonts w:ascii="Times New Roman" w:hAnsi="Times New Roman" w:cs="Times New Roman"/>
                <w:sz w:val="21"/>
                <w:szCs w:val="21"/>
              </w:rPr>
            </w:pPr>
            <w:r>
              <w:rPr>
                <w:rFonts w:ascii="Times New Roman" w:hAnsi="Times New Roman" w:cs="Times New Roman"/>
                <w:sz w:val="21"/>
                <w:szCs w:val="21"/>
              </w:rPr>
              <w:t>Ⅱ类标准限值（mg/L）</w:t>
            </w:r>
          </w:p>
        </w:tc>
        <w:tc>
          <w:tcPr>
            <w:tcW w:w="1209" w:type="pct"/>
            <w:vAlign w:val="center"/>
          </w:tcPr>
          <w:p w14:paraId="3C678721">
            <w:pPr>
              <w:spacing w:line="200" w:lineRule="exact"/>
              <w:jc w:val="center"/>
              <w:rPr>
                <w:rFonts w:ascii="Times New Roman" w:hAnsi="Times New Roman" w:cs="Times New Roman"/>
                <w:sz w:val="21"/>
                <w:szCs w:val="21"/>
              </w:rPr>
            </w:pPr>
            <w:r>
              <w:rPr>
                <w:rFonts w:ascii="Times New Roman" w:hAnsi="Times New Roman" w:cs="Times New Roman"/>
                <w:sz w:val="21"/>
                <w:szCs w:val="21"/>
              </w:rPr>
              <w:t>标准来源</w:t>
            </w:r>
          </w:p>
        </w:tc>
      </w:tr>
      <w:tr w14:paraId="2B93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265AFB7D">
            <w:pPr>
              <w:spacing w:line="20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516" w:type="pct"/>
            <w:vAlign w:val="center"/>
          </w:tcPr>
          <w:p w14:paraId="0B6EA622">
            <w:pPr>
              <w:spacing w:line="200" w:lineRule="exact"/>
              <w:jc w:val="center"/>
              <w:rPr>
                <w:rFonts w:ascii="Times New Roman" w:hAnsi="Times New Roman" w:cs="Times New Roman"/>
                <w:sz w:val="21"/>
                <w:szCs w:val="21"/>
              </w:rPr>
            </w:pPr>
            <w:r>
              <w:rPr>
                <w:rFonts w:ascii="Times New Roman" w:hAnsi="Times New Roman" w:cs="Times New Roman"/>
                <w:sz w:val="21"/>
                <w:szCs w:val="21"/>
              </w:rPr>
              <w:t>pH值</w:t>
            </w:r>
          </w:p>
        </w:tc>
        <w:tc>
          <w:tcPr>
            <w:tcW w:w="1937" w:type="pct"/>
            <w:vAlign w:val="center"/>
          </w:tcPr>
          <w:p w14:paraId="2EE810EA">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~9</w:t>
            </w:r>
          </w:p>
        </w:tc>
        <w:tc>
          <w:tcPr>
            <w:tcW w:w="1209" w:type="pct"/>
            <w:vMerge w:val="restart"/>
            <w:vAlign w:val="center"/>
          </w:tcPr>
          <w:p w14:paraId="17DD9B14">
            <w:pPr>
              <w:spacing w:line="200" w:lineRule="exact"/>
              <w:jc w:val="center"/>
              <w:rPr>
                <w:rFonts w:ascii="Times New Roman" w:hAnsi="Times New Roman" w:cs="Times New Roman"/>
                <w:sz w:val="21"/>
                <w:szCs w:val="21"/>
              </w:rPr>
            </w:pPr>
            <w:r>
              <w:rPr>
                <w:rFonts w:ascii="Times New Roman" w:hAnsi="Times New Roman" w:cs="Times New Roman"/>
                <w:sz w:val="21"/>
                <w:szCs w:val="21"/>
              </w:rPr>
              <w:t>《地表水环境质量标准》（GB3838 -2002）中的基本项目标准限值</w:t>
            </w:r>
          </w:p>
        </w:tc>
      </w:tr>
      <w:tr w14:paraId="4CA9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4626149D">
            <w:pPr>
              <w:spacing w:line="20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516" w:type="pct"/>
            <w:vAlign w:val="center"/>
          </w:tcPr>
          <w:p w14:paraId="3DF193DE">
            <w:pPr>
              <w:spacing w:line="200" w:lineRule="exact"/>
              <w:jc w:val="center"/>
              <w:rPr>
                <w:rFonts w:ascii="Times New Roman" w:hAnsi="Times New Roman" w:cs="Times New Roman"/>
                <w:sz w:val="21"/>
                <w:szCs w:val="21"/>
              </w:rPr>
            </w:pPr>
            <w:r>
              <w:rPr>
                <w:rFonts w:ascii="Times New Roman" w:hAnsi="Times New Roman" w:cs="Times New Roman"/>
                <w:sz w:val="21"/>
                <w:szCs w:val="21"/>
              </w:rPr>
              <w:t>溶解氧</w:t>
            </w:r>
          </w:p>
        </w:tc>
        <w:tc>
          <w:tcPr>
            <w:tcW w:w="1937" w:type="pct"/>
            <w:vAlign w:val="center"/>
          </w:tcPr>
          <w:p w14:paraId="77C27467">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1209" w:type="pct"/>
            <w:vMerge w:val="continue"/>
            <w:vAlign w:val="center"/>
          </w:tcPr>
          <w:p w14:paraId="79F87B91">
            <w:pPr>
              <w:spacing w:line="200" w:lineRule="exact"/>
              <w:jc w:val="center"/>
              <w:rPr>
                <w:rFonts w:ascii="Times New Roman" w:hAnsi="Times New Roman" w:cs="Times New Roman"/>
                <w:sz w:val="21"/>
                <w:szCs w:val="21"/>
              </w:rPr>
            </w:pPr>
          </w:p>
        </w:tc>
      </w:tr>
      <w:tr w14:paraId="350E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1758D0A1">
            <w:pPr>
              <w:spacing w:line="20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516" w:type="pct"/>
            <w:vAlign w:val="center"/>
          </w:tcPr>
          <w:p w14:paraId="45487845">
            <w:pPr>
              <w:spacing w:line="200" w:lineRule="exact"/>
              <w:jc w:val="center"/>
              <w:rPr>
                <w:rFonts w:ascii="Times New Roman" w:hAnsi="Times New Roman" w:cs="Times New Roman"/>
                <w:sz w:val="21"/>
                <w:szCs w:val="21"/>
              </w:rPr>
            </w:pPr>
            <w:r>
              <w:rPr>
                <w:rFonts w:ascii="Times New Roman" w:hAnsi="Times New Roman" w:cs="Times New Roman"/>
                <w:sz w:val="21"/>
                <w:szCs w:val="21"/>
              </w:rPr>
              <w:t>高锰酸盐指数</w:t>
            </w:r>
          </w:p>
        </w:tc>
        <w:tc>
          <w:tcPr>
            <w:tcW w:w="1937" w:type="pct"/>
            <w:vAlign w:val="center"/>
          </w:tcPr>
          <w:p w14:paraId="083AC95C">
            <w:pPr>
              <w:spacing w:line="20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209" w:type="pct"/>
            <w:vMerge w:val="continue"/>
            <w:vAlign w:val="center"/>
          </w:tcPr>
          <w:p w14:paraId="524B7D2D">
            <w:pPr>
              <w:spacing w:line="200" w:lineRule="exact"/>
              <w:jc w:val="center"/>
              <w:rPr>
                <w:rFonts w:ascii="Times New Roman" w:hAnsi="Times New Roman" w:cs="Times New Roman"/>
                <w:sz w:val="21"/>
                <w:szCs w:val="21"/>
              </w:rPr>
            </w:pPr>
          </w:p>
        </w:tc>
      </w:tr>
      <w:tr w14:paraId="7769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774A4958">
            <w:pPr>
              <w:spacing w:line="20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516" w:type="pct"/>
            <w:vAlign w:val="center"/>
          </w:tcPr>
          <w:p w14:paraId="77ECB851">
            <w:pPr>
              <w:spacing w:line="200" w:lineRule="exact"/>
              <w:jc w:val="center"/>
              <w:rPr>
                <w:rFonts w:ascii="Times New Roman" w:hAnsi="Times New Roman" w:cs="Times New Roman"/>
                <w:sz w:val="21"/>
                <w:szCs w:val="21"/>
              </w:rPr>
            </w:pPr>
            <w:r>
              <w:rPr>
                <w:rFonts w:ascii="Times New Roman" w:hAnsi="Times New Roman" w:cs="Times New Roman"/>
                <w:sz w:val="21"/>
                <w:szCs w:val="21"/>
              </w:rPr>
              <w:t>化学需氧量</w:t>
            </w:r>
          </w:p>
        </w:tc>
        <w:tc>
          <w:tcPr>
            <w:tcW w:w="1937" w:type="pct"/>
            <w:vAlign w:val="center"/>
          </w:tcPr>
          <w:p w14:paraId="4F67E54D">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5</w:t>
            </w:r>
          </w:p>
        </w:tc>
        <w:tc>
          <w:tcPr>
            <w:tcW w:w="1209" w:type="pct"/>
            <w:vMerge w:val="continue"/>
            <w:vAlign w:val="center"/>
          </w:tcPr>
          <w:p w14:paraId="5FD487C6">
            <w:pPr>
              <w:spacing w:line="200" w:lineRule="exact"/>
              <w:jc w:val="center"/>
              <w:rPr>
                <w:rFonts w:ascii="Times New Roman" w:hAnsi="Times New Roman" w:cs="Times New Roman"/>
                <w:sz w:val="21"/>
                <w:szCs w:val="21"/>
              </w:rPr>
            </w:pPr>
          </w:p>
        </w:tc>
      </w:tr>
      <w:tr w14:paraId="2BC6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28EEFB36">
            <w:pPr>
              <w:spacing w:line="20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1516" w:type="pct"/>
            <w:vAlign w:val="center"/>
          </w:tcPr>
          <w:p w14:paraId="73282074">
            <w:pPr>
              <w:spacing w:line="200" w:lineRule="exact"/>
              <w:jc w:val="center"/>
              <w:rPr>
                <w:rFonts w:ascii="Times New Roman" w:hAnsi="Times New Roman" w:cs="Times New Roman"/>
                <w:sz w:val="21"/>
                <w:szCs w:val="21"/>
              </w:rPr>
            </w:pPr>
            <w:r>
              <w:rPr>
                <w:rFonts w:ascii="Times New Roman" w:hAnsi="Times New Roman" w:cs="Times New Roman"/>
                <w:sz w:val="21"/>
                <w:szCs w:val="21"/>
              </w:rPr>
              <w:t>氨氮</w:t>
            </w:r>
          </w:p>
        </w:tc>
        <w:tc>
          <w:tcPr>
            <w:tcW w:w="1937" w:type="pct"/>
            <w:vAlign w:val="center"/>
          </w:tcPr>
          <w:p w14:paraId="6571FA2C">
            <w:pPr>
              <w:spacing w:line="200" w:lineRule="exact"/>
              <w:jc w:val="center"/>
              <w:rPr>
                <w:rFonts w:ascii="Times New Roman" w:hAnsi="Times New Roman" w:cs="Times New Roman"/>
                <w:sz w:val="21"/>
                <w:szCs w:val="21"/>
              </w:rPr>
            </w:pPr>
            <w:r>
              <w:rPr>
                <w:rFonts w:ascii="Times New Roman" w:hAnsi="Times New Roman" w:cs="Times New Roman"/>
                <w:sz w:val="21"/>
                <w:szCs w:val="21"/>
              </w:rPr>
              <w:t>0.5</w:t>
            </w:r>
          </w:p>
        </w:tc>
        <w:tc>
          <w:tcPr>
            <w:tcW w:w="1209" w:type="pct"/>
            <w:vMerge w:val="continue"/>
            <w:vAlign w:val="center"/>
          </w:tcPr>
          <w:p w14:paraId="609769E3">
            <w:pPr>
              <w:spacing w:line="200" w:lineRule="exact"/>
              <w:jc w:val="center"/>
              <w:rPr>
                <w:rFonts w:ascii="Times New Roman" w:hAnsi="Times New Roman" w:cs="Times New Roman"/>
                <w:sz w:val="21"/>
                <w:szCs w:val="21"/>
              </w:rPr>
            </w:pPr>
          </w:p>
        </w:tc>
      </w:tr>
      <w:tr w14:paraId="1F80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66D2B4FF">
            <w:pPr>
              <w:spacing w:line="200" w:lineRule="exact"/>
              <w:jc w:val="center"/>
              <w:rPr>
                <w:rFonts w:ascii="Times New Roman" w:hAnsi="Times New Roman" w:cs="Times New Roman"/>
                <w:sz w:val="21"/>
                <w:szCs w:val="21"/>
              </w:rPr>
            </w:pPr>
            <w:r>
              <w:rPr>
                <w:rFonts w:ascii="Times New Roman" w:hAnsi="Times New Roman" w:cs="Times New Roman"/>
                <w:sz w:val="21"/>
                <w:szCs w:val="21"/>
              </w:rPr>
              <w:t>6</w:t>
            </w:r>
          </w:p>
        </w:tc>
        <w:tc>
          <w:tcPr>
            <w:tcW w:w="1516" w:type="pct"/>
            <w:vAlign w:val="center"/>
          </w:tcPr>
          <w:p w14:paraId="3C768DBA">
            <w:pPr>
              <w:spacing w:line="200" w:lineRule="exact"/>
              <w:jc w:val="center"/>
              <w:rPr>
                <w:rFonts w:ascii="Times New Roman" w:hAnsi="Times New Roman" w:cs="Times New Roman"/>
                <w:sz w:val="21"/>
                <w:szCs w:val="21"/>
              </w:rPr>
            </w:pPr>
            <w:r>
              <w:rPr>
                <w:rFonts w:ascii="Times New Roman" w:hAnsi="Times New Roman" w:cs="Times New Roman"/>
                <w:sz w:val="21"/>
                <w:szCs w:val="21"/>
              </w:rPr>
              <w:t>总磷</w:t>
            </w:r>
          </w:p>
        </w:tc>
        <w:tc>
          <w:tcPr>
            <w:tcW w:w="1937" w:type="pct"/>
            <w:vAlign w:val="center"/>
          </w:tcPr>
          <w:p w14:paraId="2B27F269">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.1</w:t>
            </w:r>
          </w:p>
        </w:tc>
        <w:tc>
          <w:tcPr>
            <w:tcW w:w="1209" w:type="pct"/>
            <w:vMerge w:val="continue"/>
            <w:vAlign w:val="center"/>
          </w:tcPr>
          <w:p w14:paraId="368B77D1">
            <w:pPr>
              <w:spacing w:line="200" w:lineRule="exact"/>
              <w:jc w:val="center"/>
              <w:rPr>
                <w:rFonts w:ascii="Times New Roman" w:hAnsi="Times New Roman" w:cs="Times New Roman"/>
                <w:sz w:val="21"/>
                <w:szCs w:val="21"/>
              </w:rPr>
            </w:pPr>
          </w:p>
        </w:tc>
      </w:tr>
      <w:tr w14:paraId="3D85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1BE1FFA7">
            <w:pPr>
              <w:spacing w:line="200" w:lineRule="exact"/>
              <w:jc w:val="center"/>
              <w:rPr>
                <w:rFonts w:ascii="Times New Roman" w:hAnsi="Times New Roman" w:cs="Times New Roman"/>
                <w:sz w:val="21"/>
                <w:szCs w:val="21"/>
              </w:rPr>
            </w:pPr>
            <w:r>
              <w:rPr>
                <w:rFonts w:ascii="Times New Roman" w:hAnsi="Times New Roman" w:cs="Times New Roman"/>
                <w:sz w:val="21"/>
                <w:szCs w:val="21"/>
              </w:rPr>
              <w:t>7</w:t>
            </w:r>
          </w:p>
        </w:tc>
        <w:tc>
          <w:tcPr>
            <w:tcW w:w="1516" w:type="pct"/>
            <w:vAlign w:val="center"/>
          </w:tcPr>
          <w:p w14:paraId="4819756C">
            <w:pPr>
              <w:spacing w:line="200" w:lineRule="exact"/>
              <w:jc w:val="center"/>
              <w:rPr>
                <w:rFonts w:ascii="Times New Roman" w:hAnsi="Times New Roman" w:cs="Times New Roman"/>
                <w:sz w:val="21"/>
                <w:szCs w:val="21"/>
              </w:rPr>
            </w:pPr>
            <w:r>
              <w:rPr>
                <w:rFonts w:ascii="Times New Roman" w:hAnsi="Times New Roman" w:cs="Times New Roman"/>
                <w:sz w:val="21"/>
                <w:szCs w:val="21"/>
              </w:rPr>
              <w:t>铜</w:t>
            </w:r>
          </w:p>
        </w:tc>
        <w:tc>
          <w:tcPr>
            <w:tcW w:w="1937" w:type="pct"/>
            <w:vAlign w:val="center"/>
          </w:tcPr>
          <w:p w14:paraId="13BA7C37">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w:t>
            </w:r>
          </w:p>
        </w:tc>
        <w:tc>
          <w:tcPr>
            <w:tcW w:w="1209" w:type="pct"/>
            <w:vMerge w:val="continue"/>
            <w:vAlign w:val="center"/>
          </w:tcPr>
          <w:p w14:paraId="743C047F">
            <w:pPr>
              <w:spacing w:line="200" w:lineRule="exact"/>
              <w:jc w:val="center"/>
              <w:rPr>
                <w:rFonts w:ascii="Times New Roman" w:hAnsi="Times New Roman" w:cs="Times New Roman"/>
                <w:sz w:val="21"/>
                <w:szCs w:val="21"/>
              </w:rPr>
            </w:pPr>
          </w:p>
        </w:tc>
      </w:tr>
      <w:tr w14:paraId="5F05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4433D076">
            <w:pPr>
              <w:spacing w:line="200" w:lineRule="exact"/>
              <w:jc w:val="center"/>
              <w:rPr>
                <w:rFonts w:ascii="Times New Roman" w:hAnsi="Times New Roman" w:cs="Times New Roman"/>
                <w:sz w:val="21"/>
                <w:szCs w:val="21"/>
              </w:rPr>
            </w:pPr>
            <w:r>
              <w:rPr>
                <w:rFonts w:ascii="Times New Roman" w:hAnsi="Times New Roman" w:cs="Times New Roman"/>
                <w:sz w:val="21"/>
                <w:szCs w:val="21"/>
              </w:rPr>
              <w:t>8</w:t>
            </w:r>
          </w:p>
        </w:tc>
        <w:tc>
          <w:tcPr>
            <w:tcW w:w="1516" w:type="pct"/>
            <w:vAlign w:val="center"/>
          </w:tcPr>
          <w:p w14:paraId="12D109F3">
            <w:pPr>
              <w:spacing w:line="200" w:lineRule="exact"/>
              <w:jc w:val="center"/>
              <w:rPr>
                <w:rFonts w:ascii="Times New Roman" w:hAnsi="Times New Roman" w:cs="Times New Roman"/>
                <w:sz w:val="21"/>
                <w:szCs w:val="21"/>
              </w:rPr>
            </w:pPr>
            <w:r>
              <w:rPr>
                <w:rFonts w:ascii="Times New Roman" w:hAnsi="Times New Roman" w:cs="Times New Roman"/>
                <w:sz w:val="21"/>
                <w:szCs w:val="21"/>
              </w:rPr>
              <w:t>锌</w:t>
            </w:r>
          </w:p>
        </w:tc>
        <w:tc>
          <w:tcPr>
            <w:tcW w:w="1937" w:type="pct"/>
            <w:vAlign w:val="center"/>
          </w:tcPr>
          <w:p w14:paraId="787762E6">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w:t>
            </w:r>
          </w:p>
        </w:tc>
        <w:tc>
          <w:tcPr>
            <w:tcW w:w="1209" w:type="pct"/>
            <w:vMerge w:val="continue"/>
            <w:vAlign w:val="center"/>
          </w:tcPr>
          <w:p w14:paraId="171A1787">
            <w:pPr>
              <w:spacing w:line="200" w:lineRule="exact"/>
              <w:jc w:val="center"/>
              <w:rPr>
                <w:rFonts w:ascii="Times New Roman" w:hAnsi="Times New Roman" w:cs="Times New Roman"/>
                <w:sz w:val="21"/>
                <w:szCs w:val="21"/>
              </w:rPr>
            </w:pPr>
          </w:p>
        </w:tc>
      </w:tr>
      <w:tr w14:paraId="611A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6D5491C6">
            <w:pPr>
              <w:spacing w:line="200" w:lineRule="exact"/>
              <w:jc w:val="center"/>
              <w:rPr>
                <w:rFonts w:ascii="Times New Roman" w:hAnsi="Times New Roman" w:cs="Times New Roman"/>
                <w:sz w:val="21"/>
                <w:szCs w:val="21"/>
              </w:rPr>
            </w:pPr>
            <w:r>
              <w:rPr>
                <w:rFonts w:ascii="Times New Roman" w:hAnsi="Times New Roman" w:cs="Times New Roman"/>
                <w:sz w:val="21"/>
                <w:szCs w:val="21"/>
              </w:rPr>
              <w:t>9</w:t>
            </w:r>
          </w:p>
        </w:tc>
        <w:tc>
          <w:tcPr>
            <w:tcW w:w="1516" w:type="pct"/>
            <w:vAlign w:val="center"/>
          </w:tcPr>
          <w:p w14:paraId="60694400">
            <w:pPr>
              <w:spacing w:line="200" w:lineRule="exact"/>
              <w:jc w:val="center"/>
              <w:rPr>
                <w:rFonts w:ascii="Times New Roman" w:hAnsi="Times New Roman" w:cs="Times New Roman"/>
                <w:sz w:val="21"/>
                <w:szCs w:val="21"/>
              </w:rPr>
            </w:pPr>
            <w:r>
              <w:rPr>
                <w:rFonts w:ascii="Times New Roman" w:hAnsi="Times New Roman" w:cs="Times New Roman"/>
                <w:sz w:val="21"/>
                <w:szCs w:val="21"/>
              </w:rPr>
              <w:t>氟化物</w:t>
            </w:r>
          </w:p>
        </w:tc>
        <w:tc>
          <w:tcPr>
            <w:tcW w:w="1937" w:type="pct"/>
            <w:vAlign w:val="center"/>
          </w:tcPr>
          <w:p w14:paraId="4162A392">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w:t>
            </w:r>
          </w:p>
        </w:tc>
        <w:tc>
          <w:tcPr>
            <w:tcW w:w="1209" w:type="pct"/>
            <w:vMerge w:val="continue"/>
            <w:vAlign w:val="center"/>
          </w:tcPr>
          <w:p w14:paraId="0029DD47">
            <w:pPr>
              <w:spacing w:line="200" w:lineRule="exact"/>
              <w:jc w:val="center"/>
              <w:rPr>
                <w:rFonts w:ascii="Times New Roman" w:hAnsi="Times New Roman" w:cs="Times New Roman"/>
                <w:sz w:val="21"/>
                <w:szCs w:val="21"/>
              </w:rPr>
            </w:pPr>
          </w:p>
        </w:tc>
      </w:tr>
      <w:tr w14:paraId="7C49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5491D39A">
            <w:pPr>
              <w:spacing w:line="20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1516" w:type="pct"/>
            <w:vAlign w:val="center"/>
          </w:tcPr>
          <w:p w14:paraId="796FA39E">
            <w:pPr>
              <w:spacing w:line="200" w:lineRule="exact"/>
              <w:jc w:val="center"/>
              <w:rPr>
                <w:rFonts w:ascii="Times New Roman" w:hAnsi="Times New Roman" w:cs="Times New Roman"/>
                <w:sz w:val="21"/>
                <w:szCs w:val="21"/>
              </w:rPr>
            </w:pPr>
            <w:r>
              <w:rPr>
                <w:rFonts w:ascii="Times New Roman" w:hAnsi="Times New Roman" w:cs="Times New Roman"/>
                <w:sz w:val="21"/>
                <w:szCs w:val="21"/>
              </w:rPr>
              <w:t>砷</w:t>
            </w:r>
          </w:p>
        </w:tc>
        <w:tc>
          <w:tcPr>
            <w:tcW w:w="1937" w:type="pct"/>
            <w:vAlign w:val="center"/>
          </w:tcPr>
          <w:p w14:paraId="4AE4DB16">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.05</w:t>
            </w:r>
          </w:p>
        </w:tc>
        <w:tc>
          <w:tcPr>
            <w:tcW w:w="1209" w:type="pct"/>
            <w:vMerge w:val="continue"/>
            <w:vAlign w:val="center"/>
          </w:tcPr>
          <w:p w14:paraId="48B5AA0B">
            <w:pPr>
              <w:spacing w:line="200" w:lineRule="exact"/>
              <w:jc w:val="center"/>
              <w:rPr>
                <w:rFonts w:ascii="Times New Roman" w:hAnsi="Times New Roman" w:cs="Times New Roman"/>
                <w:sz w:val="21"/>
                <w:szCs w:val="21"/>
              </w:rPr>
            </w:pPr>
          </w:p>
        </w:tc>
      </w:tr>
      <w:tr w14:paraId="5EC7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1F5038DC">
            <w:pPr>
              <w:spacing w:line="200" w:lineRule="exact"/>
              <w:jc w:val="center"/>
              <w:rPr>
                <w:rFonts w:ascii="Times New Roman" w:hAnsi="Times New Roman" w:cs="Times New Roman"/>
                <w:sz w:val="21"/>
                <w:szCs w:val="21"/>
              </w:rPr>
            </w:pPr>
            <w:r>
              <w:rPr>
                <w:rFonts w:ascii="Times New Roman" w:hAnsi="Times New Roman" w:cs="Times New Roman"/>
                <w:sz w:val="21"/>
                <w:szCs w:val="21"/>
              </w:rPr>
              <w:t>11</w:t>
            </w:r>
          </w:p>
        </w:tc>
        <w:tc>
          <w:tcPr>
            <w:tcW w:w="1516" w:type="pct"/>
            <w:vAlign w:val="center"/>
          </w:tcPr>
          <w:p w14:paraId="63A20EA3">
            <w:pPr>
              <w:spacing w:line="200" w:lineRule="exact"/>
              <w:jc w:val="center"/>
              <w:rPr>
                <w:rFonts w:ascii="Times New Roman" w:hAnsi="Times New Roman" w:cs="Times New Roman"/>
                <w:sz w:val="21"/>
                <w:szCs w:val="21"/>
              </w:rPr>
            </w:pPr>
            <w:r>
              <w:rPr>
                <w:rFonts w:ascii="Times New Roman" w:hAnsi="Times New Roman" w:cs="Times New Roman"/>
                <w:sz w:val="21"/>
                <w:szCs w:val="21"/>
              </w:rPr>
              <w:t>汞</w:t>
            </w:r>
          </w:p>
        </w:tc>
        <w:tc>
          <w:tcPr>
            <w:tcW w:w="1937" w:type="pct"/>
            <w:vAlign w:val="center"/>
          </w:tcPr>
          <w:p w14:paraId="5B185E54">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.00005</w:t>
            </w:r>
          </w:p>
        </w:tc>
        <w:tc>
          <w:tcPr>
            <w:tcW w:w="1209" w:type="pct"/>
            <w:vMerge w:val="continue"/>
            <w:vAlign w:val="center"/>
          </w:tcPr>
          <w:p w14:paraId="50E7918F">
            <w:pPr>
              <w:spacing w:line="200" w:lineRule="exact"/>
              <w:jc w:val="center"/>
              <w:rPr>
                <w:rFonts w:ascii="Times New Roman" w:hAnsi="Times New Roman" w:cs="Times New Roman"/>
                <w:sz w:val="21"/>
                <w:szCs w:val="21"/>
              </w:rPr>
            </w:pPr>
          </w:p>
        </w:tc>
      </w:tr>
      <w:tr w14:paraId="18B1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38F55052">
            <w:pPr>
              <w:spacing w:line="200" w:lineRule="exact"/>
              <w:jc w:val="center"/>
              <w:rPr>
                <w:rFonts w:ascii="Times New Roman" w:hAnsi="Times New Roman" w:cs="Times New Roman"/>
                <w:sz w:val="21"/>
                <w:szCs w:val="21"/>
              </w:rPr>
            </w:pPr>
            <w:r>
              <w:rPr>
                <w:rFonts w:ascii="Times New Roman" w:hAnsi="Times New Roman" w:cs="Times New Roman"/>
                <w:sz w:val="21"/>
                <w:szCs w:val="21"/>
              </w:rPr>
              <w:t>12</w:t>
            </w:r>
          </w:p>
        </w:tc>
        <w:tc>
          <w:tcPr>
            <w:tcW w:w="1516" w:type="pct"/>
            <w:vAlign w:val="center"/>
          </w:tcPr>
          <w:p w14:paraId="36173667">
            <w:pPr>
              <w:spacing w:line="200" w:lineRule="exact"/>
              <w:jc w:val="center"/>
              <w:rPr>
                <w:rFonts w:ascii="Times New Roman" w:hAnsi="Times New Roman" w:cs="Times New Roman"/>
                <w:sz w:val="21"/>
                <w:szCs w:val="21"/>
              </w:rPr>
            </w:pPr>
            <w:r>
              <w:rPr>
                <w:rFonts w:ascii="Times New Roman" w:hAnsi="Times New Roman" w:cs="Times New Roman"/>
                <w:sz w:val="21"/>
                <w:szCs w:val="21"/>
              </w:rPr>
              <w:t>六价铬</w:t>
            </w:r>
          </w:p>
        </w:tc>
        <w:tc>
          <w:tcPr>
            <w:tcW w:w="1937" w:type="pct"/>
            <w:vAlign w:val="center"/>
          </w:tcPr>
          <w:p w14:paraId="338ED460">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.05</w:t>
            </w:r>
          </w:p>
        </w:tc>
        <w:tc>
          <w:tcPr>
            <w:tcW w:w="1209" w:type="pct"/>
            <w:vMerge w:val="continue"/>
            <w:vAlign w:val="center"/>
          </w:tcPr>
          <w:p w14:paraId="0976413E">
            <w:pPr>
              <w:spacing w:line="200" w:lineRule="exact"/>
              <w:jc w:val="center"/>
              <w:rPr>
                <w:rFonts w:ascii="Times New Roman" w:hAnsi="Times New Roman" w:cs="Times New Roman"/>
                <w:sz w:val="21"/>
                <w:szCs w:val="21"/>
              </w:rPr>
            </w:pPr>
          </w:p>
        </w:tc>
      </w:tr>
      <w:tr w14:paraId="6BDE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70EA5CCA">
            <w:pPr>
              <w:spacing w:line="200" w:lineRule="exact"/>
              <w:jc w:val="center"/>
              <w:rPr>
                <w:rFonts w:ascii="Times New Roman" w:hAnsi="Times New Roman" w:cs="Times New Roman"/>
                <w:sz w:val="21"/>
                <w:szCs w:val="21"/>
              </w:rPr>
            </w:pPr>
            <w:r>
              <w:rPr>
                <w:rFonts w:ascii="Times New Roman" w:hAnsi="Times New Roman" w:cs="Times New Roman"/>
                <w:sz w:val="21"/>
                <w:szCs w:val="21"/>
              </w:rPr>
              <w:t>13</w:t>
            </w:r>
          </w:p>
        </w:tc>
        <w:tc>
          <w:tcPr>
            <w:tcW w:w="1516" w:type="pct"/>
            <w:vAlign w:val="center"/>
          </w:tcPr>
          <w:p w14:paraId="69F6A897">
            <w:pPr>
              <w:spacing w:line="200" w:lineRule="exact"/>
              <w:jc w:val="center"/>
              <w:rPr>
                <w:rFonts w:ascii="Times New Roman" w:hAnsi="Times New Roman" w:cs="Times New Roman"/>
                <w:sz w:val="21"/>
                <w:szCs w:val="21"/>
              </w:rPr>
            </w:pPr>
            <w:r>
              <w:rPr>
                <w:rFonts w:ascii="Times New Roman" w:hAnsi="Times New Roman" w:cs="Times New Roman"/>
                <w:sz w:val="21"/>
                <w:szCs w:val="21"/>
              </w:rPr>
              <w:t>氰化物</w:t>
            </w:r>
          </w:p>
        </w:tc>
        <w:tc>
          <w:tcPr>
            <w:tcW w:w="1937" w:type="pct"/>
            <w:vAlign w:val="center"/>
          </w:tcPr>
          <w:p w14:paraId="36AEA8C2">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.05</w:t>
            </w:r>
          </w:p>
        </w:tc>
        <w:tc>
          <w:tcPr>
            <w:tcW w:w="1209" w:type="pct"/>
            <w:vMerge w:val="continue"/>
            <w:vAlign w:val="center"/>
          </w:tcPr>
          <w:p w14:paraId="658CF6A3">
            <w:pPr>
              <w:spacing w:line="200" w:lineRule="exact"/>
              <w:jc w:val="center"/>
              <w:rPr>
                <w:rFonts w:ascii="Times New Roman" w:hAnsi="Times New Roman" w:cs="Times New Roman"/>
                <w:sz w:val="21"/>
                <w:szCs w:val="21"/>
              </w:rPr>
            </w:pPr>
          </w:p>
        </w:tc>
      </w:tr>
      <w:tr w14:paraId="7EB1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59D60015">
            <w:pPr>
              <w:spacing w:line="200" w:lineRule="exact"/>
              <w:jc w:val="center"/>
              <w:rPr>
                <w:rFonts w:ascii="Times New Roman" w:hAnsi="Times New Roman" w:cs="Times New Roman"/>
                <w:sz w:val="21"/>
                <w:szCs w:val="21"/>
              </w:rPr>
            </w:pPr>
            <w:r>
              <w:rPr>
                <w:rFonts w:ascii="Times New Roman" w:hAnsi="Times New Roman" w:cs="Times New Roman"/>
                <w:sz w:val="21"/>
                <w:szCs w:val="21"/>
              </w:rPr>
              <w:t>14</w:t>
            </w:r>
          </w:p>
        </w:tc>
        <w:tc>
          <w:tcPr>
            <w:tcW w:w="1516" w:type="pct"/>
            <w:vAlign w:val="center"/>
          </w:tcPr>
          <w:p w14:paraId="01CDFF79">
            <w:pPr>
              <w:spacing w:line="200" w:lineRule="exact"/>
              <w:jc w:val="center"/>
              <w:rPr>
                <w:rFonts w:ascii="Times New Roman" w:hAnsi="Times New Roman" w:cs="Times New Roman"/>
                <w:sz w:val="21"/>
                <w:szCs w:val="21"/>
              </w:rPr>
            </w:pPr>
            <w:r>
              <w:rPr>
                <w:rFonts w:ascii="Times New Roman" w:hAnsi="Times New Roman" w:cs="Times New Roman"/>
                <w:sz w:val="21"/>
                <w:szCs w:val="21"/>
              </w:rPr>
              <w:t>挥发酚</w:t>
            </w:r>
          </w:p>
        </w:tc>
        <w:tc>
          <w:tcPr>
            <w:tcW w:w="1937" w:type="pct"/>
            <w:vAlign w:val="center"/>
          </w:tcPr>
          <w:p w14:paraId="56CE7044">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.002</w:t>
            </w:r>
          </w:p>
        </w:tc>
        <w:tc>
          <w:tcPr>
            <w:tcW w:w="1209" w:type="pct"/>
            <w:vMerge w:val="continue"/>
            <w:vAlign w:val="center"/>
          </w:tcPr>
          <w:p w14:paraId="48B5BA18">
            <w:pPr>
              <w:spacing w:line="200" w:lineRule="exact"/>
              <w:jc w:val="center"/>
              <w:rPr>
                <w:rFonts w:ascii="Times New Roman" w:hAnsi="Times New Roman" w:cs="Times New Roman"/>
                <w:sz w:val="21"/>
                <w:szCs w:val="21"/>
              </w:rPr>
            </w:pPr>
          </w:p>
        </w:tc>
      </w:tr>
      <w:tr w14:paraId="1218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69BD9FF6">
            <w:pPr>
              <w:spacing w:line="200" w:lineRule="exact"/>
              <w:jc w:val="center"/>
              <w:rPr>
                <w:rFonts w:ascii="Times New Roman" w:hAnsi="Times New Roman" w:cs="Times New Roman"/>
                <w:sz w:val="21"/>
                <w:szCs w:val="21"/>
              </w:rPr>
            </w:pPr>
            <w:r>
              <w:rPr>
                <w:rFonts w:ascii="Times New Roman" w:hAnsi="Times New Roman" w:cs="Times New Roman"/>
                <w:sz w:val="21"/>
                <w:szCs w:val="21"/>
              </w:rPr>
              <w:t>15</w:t>
            </w:r>
          </w:p>
        </w:tc>
        <w:tc>
          <w:tcPr>
            <w:tcW w:w="1516" w:type="pct"/>
            <w:vAlign w:val="center"/>
          </w:tcPr>
          <w:p w14:paraId="2AAE93AF">
            <w:pPr>
              <w:spacing w:line="200" w:lineRule="exact"/>
              <w:jc w:val="center"/>
              <w:rPr>
                <w:rFonts w:ascii="Times New Roman" w:hAnsi="Times New Roman" w:cs="Times New Roman"/>
                <w:sz w:val="21"/>
                <w:szCs w:val="21"/>
              </w:rPr>
            </w:pPr>
            <w:r>
              <w:rPr>
                <w:rFonts w:ascii="Times New Roman" w:hAnsi="Times New Roman" w:cs="Times New Roman"/>
                <w:sz w:val="21"/>
                <w:szCs w:val="21"/>
              </w:rPr>
              <w:t>石油类</w:t>
            </w:r>
          </w:p>
        </w:tc>
        <w:tc>
          <w:tcPr>
            <w:tcW w:w="1937" w:type="pct"/>
            <w:vAlign w:val="center"/>
          </w:tcPr>
          <w:p w14:paraId="066468F5">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.05</w:t>
            </w:r>
          </w:p>
        </w:tc>
        <w:tc>
          <w:tcPr>
            <w:tcW w:w="1209" w:type="pct"/>
            <w:vMerge w:val="continue"/>
            <w:vAlign w:val="center"/>
          </w:tcPr>
          <w:p w14:paraId="551B4450">
            <w:pPr>
              <w:spacing w:line="200" w:lineRule="exact"/>
              <w:jc w:val="center"/>
              <w:rPr>
                <w:rFonts w:ascii="Times New Roman" w:hAnsi="Times New Roman" w:cs="Times New Roman"/>
                <w:sz w:val="21"/>
                <w:szCs w:val="21"/>
              </w:rPr>
            </w:pPr>
          </w:p>
        </w:tc>
      </w:tr>
      <w:tr w14:paraId="3FB0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52AF706D">
            <w:pPr>
              <w:spacing w:line="200" w:lineRule="exact"/>
              <w:jc w:val="center"/>
              <w:rPr>
                <w:rFonts w:ascii="Times New Roman" w:hAnsi="Times New Roman" w:cs="Times New Roman"/>
                <w:sz w:val="21"/>
                <w:szCs w:val="21"/>
              </w:rPr>
            </w:pPr>
            <w:r>
              <w:rPr>
                <w:rFonts w:ascii="Times New Roman" w:hAnsi="Times New Roman" w:cs="Times New Roman"/>
                <w:sz w:val="21"/>
                <w:szCs w:val="21"/>
              </w:rPr>
              <w:t>16</w:t>
            </w:r>
          </w:p>
        </w:tc>
        <w:tc>
          <w:tcPr>
            <w:tcW w:w="1516" w:type="pct"/>
            <w:vAlign w:val="center"/>
          </w:tcPr>
          <w:p w14:paraId="2F78E043">
            <w:pPr>
              <w:spacing w:line="200" w:lineRule="exact"/>
              <w:jc w:val="center"/>
              <w:rPr>
                <w:rFonts w:ascii="Times New Roman" w:hAnsi="Times New Roman" w:cs="Times New Roman"/>
                <w:sz w:val="21"/>
                <w:szCs w:val="21"/>
              </w:rPr>
            </w:pPr>
            <w:r>
              <w:rPr>
                <w:rFonts w:ascii="Times New Roman" w:hAnsi="Times New Roman" w:cs="Times New Roman"/>
                <w:sz w:val="21"/>
                <w:szCs w:val="21"/>
              </w:rPr>
              <w:t>硫化物</w:t>
            </w:r>
          </w:p>
        </w:tc>
        <w:tc>
          <w:tcPr>
            <w:tcW w:w="1937" w:type="pct"/>
            <w:vAlign w:val="center"/>
          </w:tcPr>
          <w:p w14:paraId="4B403BF0">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.1</w:t>
            </w:r>
          </w:p>
        </w:tc>
        <w:tc>
          <w:tcPr>
            <w:tcW w:w="1209" w:type="pct"/>
            <w:vMerge w:val="continue"/>
            <w:vAlign w:val="center"/>
          </w:tcPr>
          <w:p w14:paraId="7A48389B">
            <w:pPr>
              <w:spacing w:line="200" w:lineRule="exact"/>
              <w:jc w:val="center"/>
              <w:rPr>
                <w:rFonts w:ascii="Times New Roman" w:hAnsi="Times New Roman" w:cs="Times New Roman"/>
                <w:sz w:val="21"/>
                <w:szCs w:val="21"/>
              </w:rPr>
            </w:pPr>
          </w:p>
        </w:tc>
      </w:tr>
      <w:tr w14:paraId="72B4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72D20A44">
            <w:pPr>
              <w:spacing w:line="200" w:lineRule="exact"/>
              <w:jc w:val="center"/>
              <w:rPr>
                <w:rFonts w:ascii="Times New Roman" w:hAnsi="Times New Roman" w:cs="Times New Roman"/>
                <w:sz w:val="21"/>
                <w:szCs w:val="21"/>
              </w:rPr>
            </w:pPr>
            <w:r>
              <w:rPr>
                <w:rFonts w:ascii="Times New Roman" w:hAnsi="Times New Roman" w:cs="Times New Roman"/>
                <w:sz w:val="21"/>
                <w:szCs w:val="21"/>
              </w:rPr>
              <w:t>17</w:t>
            </w:r>
          </w:p>
        </w:tc>
        <w:tc>
          <w:tcPr>
            <w:tcW w:w="1516" w:type="pct"/>
            <w:vAlign w:val="center"/>
          </w:tcPr>
          <w:p w14:paraId="7EE0CF88">
            <w:pPr>
              <w:spacing w:line="200" w:lineRule="exact"/>
              <w:jc w:val="center"/>
              <w:rPr>
                <w:rFonts w:ascii="Times New Roman" w:hAnsi="Times New Roman" w:cs="Times New Roman"/>
                <w:sz w:val="21"/>
                <w:szCs w:val="21"/>
              </w:rPr>
            </w:pPr>
            <w:r>
              <w:rPr>
                <w:rFonts w:ascii="Times New Roman" w:hAnsi="Times New Roman" w:cs="Times New Roman"/>
                <w:sz w:val="21"/>
                <w:szCs w:val="21"/>
              </w:rPr>
              <w:t>粪大肠菌群</w:t>
            </w:r>
          </w:p>
        </w:tc>
        <w:tc>
          <w:tcPr>
            <w:tcW w:w="1937" w:type="pct"/>
            <w:vAlign w:val="center"/>
          </w:tcPr>
          <w:p w14:paraId="118685ED">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000</w:t>
            </w:r>
          </w:p>
        </w:tc>
        <w:tc>
          <w:tcPr>
            <w:tcW w:w="1209" w:type="pct"/>
            <w:vMerge w:val="continue"/>
            <w:vAlign w:val="center"/>
          </w:tcPr>
          <w:p w14:paraId="70CC8FC4">
            <w:pPr>
              <w:spacing w:line="200" w:lineRule="exact"/>
              <w:jc w:val="center"/>
              <w:rPr>
                <w:rFonts w:ascii="Times New Roman" w:hAnsi="Times New Roman" w:cs="Times New Roman"/>
                <w:sz w:val="21"/>
                <w:szCs w:val="21"/>
              </w:rPr>
            </w:pPr>
          </w:p>
        </w:tc>
      </w:tr>
      <w:tr w14:paraId="2F78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065504F3">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8</w:t>
            </w:r>
          </w:p>
        </w:tc>
        <w:tc>
          <w:tcPr>
            <w:tcW w:w="1516" w:type="pct"/>
            <w:vAlign w:val="center"/>
          </w:tcPr>
          <w:p w14:paraId="06AB91C2">
            <w:pPr>
              <w:spacing w:line="200" w:lineRule="exact"/>
              <w:jc w:val="center"/>
              <w:rPr>
                <w:rFonts w:ascii="Times New Roman" w:hAnsi="Times New Roman" w:cs="Times New Roman"/>
                <w:sz w:val="21"/>
                <w:szCs w:val="21"/>
              </w:rPr>
            </w:pPr>
            <w:r>
              <w:rPr>
                <w:rFonts w:ascii="Times New Roman" w:hAnsi="Times New Roman" w:cs="Times New Roman"/>
                <w:sz w:val="21"/>
                <w:szCs w:val="21"/>
              </w:rPr>
              <w:t>硫酸盐（以SO4</w:t>
            </w:r>
            <w:r>
              <w:rPr>
                <w:rFonts w:ascii="Times New Roman" w:hAnsi="Times New Roman" w:cs="Times New Roman"/>
                <w:sz w:val="21"/>
                <w:szCs w:val="21"/>
                <w:vertAlign w:val="superscript"/>
              </w:rPr>
              <w:t>2-</w:t>
            </w:r>
            <w:r>
              <w:rPr>
                <w:rFonts w:ascii="Times New Roman" w:hAnsi="Times New Roman" w:cs="Times New Roman"/>
                <w:sz w:val="21"/>
                <w:szCs w:val="21"/>
              </w:rPr>
              <w:t>计）</w:t>
            </w:r>
          </w:p>
        </w:tc>
        <w:tc>
          <w:tcPr>
            <w:tcW w:w="1937" w:type="pct"/>
            <w:vAlign w:val="center"/>
          </w:tcPr>
          <w:p w14:paraId="7F036AC8">
            <w:pPr>
              <w:spacing w:line="200" w:lineRule="exact"/>
              <w:jc w:val="center"/>
              <w:rPr>
                <w:rFonts w:ascii="Times New Roman" w:hAnsi="Times New Roman" w:cs="Times New Roman"/>
                <w:sz w:val="21"/>
                <w:szCs w:val="21"/>
              </w:rPr>
            </w:pPr>
            <w:r>
              <w:rPr>
                <w:rFonts w:ascii="Times New Roman" w:hAnsi="Times New Roman" w:cs="Times New Roman"/>
                <w:sz w:val="21"/>
                <w:szCs w:val="21"/>
              </w:rPr>
              <w:t>≤250</w:t>
            </w:r>
          </w:p>
        </w:tc>
        <w:tc>
          <w:tcPr>
            <w:tcW w:w="1209" w:type="pct"/>
            <w:vMerge w:val="restart"/>
            <w:vAlign w:val="center"/>
          </w:tcPr>
          <w:p w14:paraId="41247A69">
            <w:pPr>
              <w:spacing w:line="200" w:lineRule="exact"/>
              <w:jc w:val="center"/>
              <w:rPr>
                <w:rFonts w:ascii="Times New Roman" w:hAnsi="Times New Roman" w:cs="Times New Roman"/>
                <w:sz w:val="21"/>
                <w:szCs w:val="21"/>
              </w:rPr>
            </w:pPr>
            <w:r>
              <w:rPr>
                <w:rFonts w:ascii="Times New Roman" w:hAnsi="Times New Roman" w:cs="Times New Roman"/>
                <w:sz w:val="21"/>
                <w:szCs w:val="21"/>
              </w:rPr>
              <w:t>GB3838-2002表2中补充项目标准值</w:t>
            </w:r>
          </w:p>
        </w:tc>
      </w:tr>
      <w:tr w14:paraId="366B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4AADD422">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9</w:t>
            </w:r>
          </w:p>
        </w:tc>
        <w:tc>
          <w:tcPr>
            <w:tcW w:w="1516" w:type="pct"/>
            <w:vAlign w:val="center"/>
          </w:tcPr>
          <w:p w14:paraId="09B00A93">
            <w:pPr>
              <w:spacing w:line="200" w:lineRule="exact"/>
              <w:jc w:val="center"/>
              <w:rPr>
                <w:rFonts w:ascii="Times New Roman" w:hAnsi="Times New Roman" w:cs="Times New Roman"/>
                <w:sz w:val="21"/>
                <w:szCs w:val="21"/>
              </w:rPr>
            </w:pPr>
            <w:r>
              <w:rPr>
                <w:rFonts w:ascii="Times New Roman" w:hAnsi="Times New Roman" w:cs="Times New Roman"/>
                <w:sz w:val="21"/>
                <w:szCs w:val="21"/>
              </w:rPr>
              <w:t>氯化物（以Cl</w:t>
            </w:r>
            <w:r>
              <w:rPr>
                <w:rFonts w:ascii="Times New Roman" w:hAnsi="Times New Roman" w:cs="Times New Roman"/>
                <w:sz w:val="21"/>
                <w:szCs w:val="21"/>
                <w:vertAlign w:val="superscript"/>
              </w:rPr>
              <w:t>-</w:t>
            </w:r>
            <w:r>
              <w:rPr>
                <w:rFonts w:ascii="Times New Roman" w:hAnsi="Times New Roman" w:cs="Times New Roman"/>
                <w:sz w:val="21"/>
                <w:szCs w:val="21"/>
              </w:rPr>
              <w:t>计）</w:t>
            </w:r>
          </w:p>
        </w:tc>
        <w:tc>
          <w:tcPr>
            <w:tcW w:w="1937" w:type="pct"/>
            <w:vAlign w:val="center"/>
          </w:tcPr>
          <w:p w14:paraId="4192644C">
            <w:pPr>
              <w:spacing w:line="200" w:lineRule="exact"/>
              <w:jc w:val="center"/>
              <w:rPr>
                <w:rFonts w:ascii="Times New Roman" w:hAnsi="Times New Roman" w:cs="Times New Roman"/>
                <w:sz w:val="21"/>
                <w:szCs w:val="21"/>
              </w:rPr>
            </w:pPr>
            <w:r>
              <w:rPr>
                <w:rFonts w:ascii="Times New Roman" w:hAnsi="Times New Roman" w:cs="Times New Roman"/>
                <w:sz w:val="21"/>
                <w:szCs w:val="21"/>
              </w:rPr>
              <w:t>≤250</w:t>
            </w:r>
          </w:p>
        </w:tc>
        <w:tc>
          <w:tcPr>
            <w:tcW w:w="1209" w:type="pct"/>
            <w:vMerge w:val="continue"/>
            <w:vAlign w:val="center"/>
          </w:tcPr>
          <w:p w14:paraId="281E889C">
            <w:pPr>
              <w:spacing w:line="200" w:lineRule="exact"/>
              <w:jc w:val="center"/>
              <w:rPr>
                <w:rFonts w:ascii="Times New Roman" w:hAnsi="Times New Roman" w:cs="Times New Roman"/>
                <w:sz w:val="21"/>
                <w:szCs w:val="21"/>
              </w:rPr>
            </w:pPr>
          </w:p>
        </w:tc>
      </w:tr>
      <w:tr w14:paraId="662B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568ED811">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0</w:t>
            </w:r>
          </w:p>
        </w:tc>
        <w:tc>
          <w:tcPr>
            <w:tcW w:w="1516" w:type="pct"/>
            <w:vAlign w:val="center"/>
          </w:tcPr>
          <w:p w14:paraId="4103F2EC">
            <w:pPr>
              <w:spacing w:line="200" w:lineRule="exact"/>
              <w:jc w:val="center"/>
              <w:rPr>
                <w:rFonts w:ascii="Times New Roman" w:hAnsi="Times New Roman" w:cs="Times New Roman"/>
                <w:sz w:val="21"/>
                <w:szCs w:val="21"/>
              </w:rPr>
            </w:pPr>
            <w:r>
              <w:rPr>
                <w:rFonts w:ascii="Times New Roman" w:hAnsi="Times New Roman" w:cs="Times New Roman"/>
                <w:sz w:val="21"/>
                <w:szCs w:val="21"/>
              </w:rPr>
              <w:t>硝酸盐（以N计）</w:t>
            </w:r>
          </w:p>
        </w:tc>
        <w:tc>
          <w:tcPr>
            <w:tcW w:w="1937" w:type="pct"/>
            <w:vAlign w:val="center"/>
          </w:tcPr>
          <w:p w14:paraId="4F8B0D0B">
            <w:pPr>
              <w:spacing w:line="20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1209" w:type="pct"/>
            <w:vMerge w:val="continue"/>
            <w:vAlign w:val="center"/>
          </w:tcPr>
          <w:p w14:paraId="24803983">
            <w:pPr>
              <w:spacing w:line="200" w:lineRule="exact"/>
              <w:jc w:val="center"/>
              <w:rPr>
                <w:rFonts w:ascii="Times New Roman" w:hAnsi="Times New Roman" w:cs="Times New Roman"/>
                <w:sz w:val="21"/>
                <w:szCs w:val="21"/>
              </w:rPr>
            </w:pPr>
          </w:p>
        </w:tc>
      </w:tr>
      <w:tr w14:paraId="4D6F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1E9AE3EA">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1</w:t>
            </w:r>
          </w:p>
        </w:tc>
        <w:tc>
          <w:tcPr>
            <w:tcW w:w="1516" w:type="pct"/>
            <w:vAlign w:val="center"/>
          </w:tcPr>
          <w:p w14:paraId="3726599B">
            <w:pPr>
              <w:spacing w:line="200" w:lineRule="exact"/>
              <w:jc w:val="center"/>
              <w:rPr>
                <w:rFonts w:ascii="Times New Roman" w:hAnsi="Times New Roman" w:cs="Times New Roman"/>
                <w:sz w:val="21"/>
                <w:szCs w:val="21"/>
              </w:rPr>
            </w:pPr>
            <w:r>
              <w:rPr>
                <w:rFonts w:ascii="Times New Roman" w:hAnsi="Times New Roman" w:cs="Times New Roman"/>
                <w:sz w:val="21"/>
                <w:szCs w:val="21"/>
              </w:rPr>
              <w:t>铁</w:t>
            </w:r>
          </w:p>
        </w:tc>
        <w:tc>
          <w:tcPr>
            <w:tcW w:w="1937" w:type="pct"/>
            <w:vAlign w:val="center"/>
          </w:tcPr>
          <w:p w14:paraId="554861BB">
            <w:pPr>
              <w:spacing w:line="200" w:lineRule="exact"/>
              <w:jc w:val="center"/>
              <w:rPr>
                <w:rFonts w:ascii="Times New Roman" w:hAnsi="Times New Roman" w:cs="Times New Roman"/>
                <w:sz w:val="21"/>
                <w:szCs w:val="21"/>
              </w:rPr>
            </w:pPr>
            <w:r>
              <w:rPr>
                <w:rFonts w:ascii="Times New Roman" w:hAnsi="Times New Roman" w:cs="Times New Roman"/>
                <w:sz w:val="21"/>
                <w:szCs w:val="21"/>
              </w:rPr>
              <w:t>≤0.3</w:t>
            </w:r>
          </w:p>
        </w:tc>
        <w:tc>
          <w:tcPr>
            <w:tcW w:w="1209" w:type="pct"/>
            <w:vMerge w:val="continue"/>
            <w:vAlign w:val="center"/>
          </w:tcPr>
          <w:p w14:paraId="54DA1547">
            <w:pPr>
              <w:spacing w:line="200" w:lineRule="exact"/>
              <w:jc w:val="center"/>
              <w:rPr>
                <w:rFonts w:ascii="Times New Roman" w:hAnsi="Times New Roman" w:cs="Times New Roman"/>
                <w:sz w:val="21"/>
                <w:szCs w:val="21"/>
              </w:rPr>
            </w:pPr>
          </w:p>
        </w:tc>
      </w:tr>
      <w:tr w14:paraId="5343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8" w:type="pct"/>
            <w:vAlign w:val="center"/>
          </w:tcPr>
          <w:p w14:paraId="3E8BF545">
            <w:pPr>
              <w:spacing w:line="20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2</w:t>
            </w:r>
          </w:p>
        </w:tc>
        <w:tc>
          <w:tcPr>
            <w:tcW w:w="1516" w:type="pct"/>
            <w:vAlign w:val="center"/>
          </w:tcPr>
          <w:p w14:paraId="1A4D2731">
            <w:pPr>
              <w:spacing w:line="200" w:lineRule="exact"/>
              <w:jc w:val="center"/>
              <w:rPr>
                <w:rFonts w:ascii="Times New Roman" w:hAnsi="Times New Roman" w:cs="Times New Roman"/>
                <w:sz w:val="21"/>
                <w:szCs w:val="21"/>
              </w:rPr>
            </w:pPr>
            <w:r>
              <w:rPr>
                <w:rFonts w:ascii="Times New Roman" w:hAnsi="Times New Roman" w:cs="Times New Roman"/>
                <w:sz w:val="21"/>
                <w:szCs w:val="21"/>
              </w:rPr>
              <w:t>锰</w:t>
            </w:r>
          </w:p>
        </w:tc>
        <w:tc>
          <w:tcPr>
            <w:tcW w:w="1937" w:type="pct"/>
            <w:vAlign w:val="center"/>
          </w:tcPr>
          <w:p w14:paraId="1CE55573">
            <w:pPr>
              <w:spacing w:line="200" w:lineRule="exact"/>
              <w:jc w:val="center"/>
              <w:rPr>
                <w:rFonts w:ascii="Times New Roman" w:hAnsi="Times New Roman" w:cs="Times New Roman"/>
                <w:sz w:val="21"/>
                <w:szCs w:val="21"/>
              </w:rPr>
            </w:pPr>
            <w:r>
              <w:rPr>
                <w:rFonts w:ascii="Times New Roman" w:hAnsi="Times New Roman" w:cs="Times New Roman"/>
                <w:sz w:val="21"/>
                <w:szCs w:val="21"/>
              </w:rPr>
              <w:t>≤0.1</w:t>
            </w:r>
          </w:p>
        </w:tc>
        <w:tc>
          <w:tcPr>
            <w:tcW w:w="1209" w:type="pct"/>
            <w:vMerge w:val="continue"/>
            <w:vAlign w:val="center"/>
          </w:tcPr>
          <w:p w14:paraId="250BDDAB">
            <w:pPr>
              <w:spacing w:line="200" w:lineRule="exact"/>
              <w:jc w:val="center"/>
              <w:rPr>
                <w:rFonts w:ascii="Times New Roman" w:hAnsi="Times New Roman" w:cs="Times New Roman"/>
                <w:sz w:val="21"/>
                <w:szCs w:val="21"/>
              </w:rPr>
            </w:pPr>
          </w:p>
        </w:tc>
      </w:tr>
    </w:tbl>
    <w:p w14:paraId="65961756">
      <w:pPr>
        <w:spacing w:line="200" w:lineRule="exact"/>
        <w:jc w:val="center"/>
        <w:rPr>
          <w:rFonts w:ascii="Times New Roman" w:hAnsi="Times New Roman" w:cs="Times New Roman"/>
          <w:sz w:val="18"/>
          <w:szCs w:val="18"/>
        </w:rPr>
      </w:pPr>
    </w:p>
    <w:p w14:paraId="4A0A292A">
      <w:pPr>
        <w:pStyle w:val="8"/>
        <w:adjustRightInd w:val="0"/>
        <w:snapToGrid w:val="0"/>
        <w:spacing w:line="360" w:lineRule="auto"/>
        <w:ind w:firstLine="480"/>
        <w:rPr>
          <w:rFonts w:ascii="Times New Roman" w:hAnsi="Times New Roman" w:cs="Times New Roman"/>
          <w:szCs w:val="22"/>
        </w:rPr>
      </w:pPr>
    </w:p>
    <w:bookmarkEnd w:id="165"/>
    <w:bookmarkEnd w:id="166"/>
    <w:bookmarkEnd w:id="167"/>
    <w:bookmarkEnd w:id="168"/>
    <w:bookmarkEnd w:id="169"/>
    <w:bookmarkEnd w:id="170"/>
    <w:p w14:paraId="02DA11D2">
      <w:pPr>
        <w:pStyle w:val="8"/>
        <w:adjustRightInd w:val="0"/>
        <w:snapToGrid w:val="0"/>
        <w:spacing w:line="360" w:lineRule="auto"/>
        <w:ind w:firstLine="480"/>
        <w:jc w:val="both"/>
        <w:rPr>
          <w:rFonts w:ascii="Times New Roman" w:hAnsi="Times New Roman" w:cs="Times New Roman"/>
          <w:szCs w:val="24"/>
        </w:rPr>
      </w:pPr>
      <w:r>
        <w:rPr>
          <w:rFonts w:ascii="Times New Roman" w:hAnsi="Times New Roman" w:cs="Times New Roman"/>
          <w:szCs w:val="24"/>
        </w:rPr>
        <w:t>（3）声环境质量标准</w:t>
      </w:r>
      <w:bookmarkEnd w:id="157"/>
      <w:bookmarkEnd w:id="158"/>
      <w:bookmarkEnd w:id="159"/>
      <w:bookmarkEnd w:id="160"/>
      <w:bookmarkEnd w:id="161"/>
      <w:bookmarkEnd w:id="162"/>
      <w:bookmarkEnd w:id="163"/>
      <w:bookmarkEnd w:id="164"/>
      <w:bookmarkStart w:id="171" w:name="_Toc247448060"/>
      <w:bookmarkStart w:id="172" w:name="_Toc246436452"/>
      <w:bookmarkStart w:id="173" w:name="_Toc247338685"/>
    </w:p>
    <w:p w14:paraId="02EA4570">
      <w:pPr>
        <w:pStyle w:val="8"/>
        <w:adjustRightInd w:val="0"/>
        <w:snapToGrid w:val="0"/>
        <w:spacing w:line="360" w:lineRule="auto"/>
        <w:ind w:firstLine="480"/>
        <w:jc w:val="both"/>
        <w:rPr>
          <w:rFonts w:ascii="Times New Roman" w:hAnsi="Times New Roman" w:cs="Times New Roman"/>
        </w:rPr>
      </w:pPr>
      <w:r>
        <w:rPr>
          <w:rFonts w:ascii="Times New Roman" w:hAnsi="Times New Roman" w:cs="Times New Roman"/>
        </w:rPr>
        <w:t>本次拟建公路沿线尚未进行声环境功能区划。根据《声环境功能区划分技术规范》（GB/T15190-2014）以及《声环境质量标准》（GB3096-2008），沿线所经区域参照《声环境质量标准》（GB3096-2008）2类环境功能区，</w:t>
      </w:r>
      <w:bookmarkStart w:id="174" w:name="_Hlk171603945"/>
      <w:r>
        <w:rPr>
          <w:rFonts w:ascii="Times New Roman" w:hAnsi="Times New Roman" w:cs="Times New Roman"/>
        </w:rPr>
        <w:t>现状声环境执行《声环境质量标准》（GB3096-2008）2类标准要求；公路建成后营运期噪声执行情况如下：其公路两侧边界线外35m范围以内区域执行《声环境质量标准》（GB3096-2008）4a类标准，其他区域执行2类标准</w:t>
      </w:r>
      <w:bookmarkEnd w:id="174"/>
      <w:r>
        <w:rPr>
          <w:rFonts w:ascii="Times New Roman" w:hAnsi="Times New Roman" w:cs="Times New Roman"/>
        </w:rPr>
        <w:t>；营运期噪声标准限值见表2.3-5。</w:t>
      </w:r>
    </w:p>
    <w:p w14:paraId="70768A3E">
      <w:pPr>
        <w:pStyle w:val="22"/>
        <w:adjustRightInd w:val="0"/>
        <w:snapToGrid w:val="0"/>
        <w:ind w:firstLine="240" w:firstLineChars="100"/>
        <w:jc w:val="center"/>
        <w:rPr>
          <w:rFonts w:ascii="黑体" w:hAnsi="黑体" w:cs="Times New Roman"/>
          <w:sz w:val="21"/>
          <w:szCs w:val="24"/>
        </w:rPr>
      </w:pPr>
      <w:r>
        <w:rPr>
          <w:rFonts w:ascii="黑体" w:hAnsi="黑体" w:cs="Times New Roman"/>
          <w:sz w:val="24"/>
          <w:szCs w:val="24"/>
        </w:rPr>
        <w:t>表2.3-5  公路营运期环境噪声评价标准限值</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8"/>
        <w:gridCol w:w="1567"/>
        <w:gridCol w:w="885"/>
        <w:gridCol w:w="1462"/>
        <w:gridCol w:w="1063"/>
        <w:gridCol w:w="1173"/>
      </w:tblGrid>
      <w:tr w14:paraId="02E1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pct"/>
            <w:vMerge w:val="restart"/>
            <w:vAlign w:val="center"/>
          </w:tcPr>
          <w:p w14:paraId="0EA251FA">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标准名称</w:t>
            </w:r>
          </w:p>
        </w:tc>
        <w:tc>
          <w:tcPr>
            <w:tcW w:w="919" w:type="pct"/>
            <w:vMerge w:val="restart"/>
            <w:vAlign w:val="center"/>
          </w:tcPr>
          <w:p w14:paraId="042F8D8F">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道路范围</w:t>
            </w:r>
          </w:p>
        </w:tc>
        <w:tc>
          <w:tcPr>
            <w:tcW w:w="519" w:type="pct"/>
            <w:vMerge w:val="restart"/>
            <w:vAlign w:val="center"/>
          </w:tcPr>
          <w:p w14:paraId="2F566118">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级别</w:t>
            </w:r>
          </w:p>
        </w:tc>
        <w:tc>
          <w:tcPr>
            <w:tcW w:w="857" w:type="pct"/>
            <w:vMerge w:val="restart"/>
            <w:vAlign w:val="center"/>
          </w:tcPr>
          <w:p w14:paraId="1FD7ADC3">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评价因子</w:t>
            </w:r>
          </w:p>
        </w:tc>
        <w:tc>
          <w:tcPr>
            <w:tcW w:w="1311" w:type="pct"/>
            <w:gridSpan w:val="2"/>
            <w:vAlign w:val="center"/>
          </w:tcPr>
          <w:p w14:paraId="3031D5BA">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标准限值(dB)</w:t>
            </w:r>
          </w:p>
        </w:tc>
      </w:tr>
      <w:tr w14:paraId="6E58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 w:type="pct"/>
            <w:vMerge w:val="continue"/>
            <w:vAlign w:val="center"/>
          </w:tcPr>
          <w:p w14:paraId="0E40DC88">
            <w:pPr>
              <w:spacing w:line="240" w:lineRule="exact"/>
              <w:jc w:val="center"/>
              <w:rPr>
                <w:rFonts w:ascii="Times New Roman" w:hAnsi="Times New Roman" w:cs="Times New Roman"/>
                <w:snapToGrid w:val="0"/>
                <w:sz w:val="21"/>
                <w:szCs w:val="18"/>
              </w:rPr>
            </w:pPr>
          </w:p>
        </w:tc>
        <w:tc>
          <w:tcPr>
            <w:tcW w:w="919" w:type="pct"/>
            <w:vMerge w:val="continue"/>
            <w:vAlign w:val="center"/>
          </w:tcPr>
          <w:p w14:paraId="6958FA97">
            <w:pPr>
              <w:spacing w:line="240" w:lineRule="exact"/>
              <w:jc w:val="center"/>
              <w:rPr>
                <w:rFonts w:ascii="Times New Roman" w:hAnsi="Times New Roman" w:cs="Times New Roman"/>
                <w:snapToGrid w:val="0"/>
                <w:sz w:val="21"/>
                <w:szCs w:val="18"/>
              </w:rPr>
            </w:pPr>
          </w:p>
        </w:tc>
        <w:tc>
          <w:tcPr>
            <w:tcW w:w="519" w:type="pct"/>
            <w:vMerge w:val="continue"/>
            <w:vAlign w:val="center"/>
          </w:tcPr>
          <w:p w14:paraId="159251A5">
            <w:pPr>
              <w:spacing w:line="240" w:lineRule="exact"/>
              <w:jc w:val="center"/>
              <w:rPr>
                <w:rFonts w:ascii="Times New Roman" w:hAnsi="Times New Roman" w:cs="Times New Roman"/>
                <w:snapToGrid w:val="0"/>
                <w:sz w:val="21"/>
                <w:szCs w:val="18"/>
              </w:rPr>
            </w:pPr>
          </w:p>
        </w:tc>
        <w:tc>
          <w:tcPr>
            <w:tcW w:w="857" w:type="pct"/>
            <w:vMerge w:val="continue"/>
            <w:vAlign w:val="center"/>
          </w:tcPr>
          <w:p w14:paraId="2952D1CD">
            <w:pPr>
              <w:spacing w:line="240" w:lineRule="exact"/>
              <w:jc w:val="center"/>
              <w:rPr>
                <w:rFonts w:ascii="Times New Roman" w:hAnsi="Times New Roman" w:cs="Times New Roman"/>
                <w:snapToGrid w:val="0"/>
                <w:sz w:val="21"/>
                <w:szCs w:val="18"/>
              </w:rPr>
            </w:pPr>
          </w:p>
        </w:tc>
        <w:tc>
          <w:tcPr>
            <w:tcW w:w="623" w:type="pct"/>
            <w:vAlign w:val="center"/>
          </w:tcPr>
          <w:p w14:paraId="69477B6A">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昼间</w:t>
            </w:r>
          </w:p>
        </w:tc>
        <w:tc>
          <w:tcPr>
            <w:tcW w:w="688" w:type="pct"/>
            <w:vAlign w:val="center"/>
          </w:tcPr>
          <w:p w14:paraId="76567875">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夜间</w:t>
            </w:r>
          </w:p>
        </w:tc>
      </w:tr>
      <w:tr w14:paraId="48E4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394" w:type="pct"/>
            <w:vMerge w:val="restart"/>
            <w:vAlign w:val="center"/>
          </w:tcPr>
          <w:p w14:paraId="4378EDB2">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《声环境质量标准》GB3096-2008</w:t>
            </w:r>
          </w:p>
        </w:tc>
        <w:tc>
          <w:tcPr>
            <w:tcW w:w="919" w:type="pct"/>
            <w:vAlign w:val="center"/>
          </w:tcPr>
          <w:p w14:paraId="11438FC5">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公路两侧边界线外35m范围以内区域</w:t>
            </w:r>
          </w:p>
        </w:tc>
        <w:tc>
          <w:tcPr>
            <w:tcW w:w="519" w:type="pct"/>
            <w:vAlign w:val="center"/>
          </w:tcPr>
          <w:p w14:paraId="67EF44B1">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2类</w:t>
            </w:r>
          </w:p>
        </w:tc>
        <w:tc>
          <w:tcPr>
            <w:tcW w:w="857" w:type="pct"/>
            <w:vMerge w:val="restart"/>
            <w:vAlign w:val="center"/>
          </w:tcPr>
          <w:p w14:paraId="612B291E">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等效声级LAeq</w:t>
            </w:r>
          </w:p>
        </w:tc>
        <w:tc>
          <w:tcPr>
            <w:tcW w:w="623" w:type="pct"/>
            <w:vAlign w:val="center"/>
          </w:tcPr>
          <w:p w14:paraId="4FD5568A">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60</w:t>
            </w:r>
          </w:p>
        </w:tc>
        <w:tc>
          <w:tcPr>
            <w:tcW w:w="688" w:type="pct"/>
            <w:vAlign w:val="center"/>
          </w:tcPr>
          <w:p w14:paraId="4665C286">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50</w:t>
            </w:r>
          </w:p>
        </w:tc>
      </w:tr>
      <w:tr w14:paraId="7D62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394" w:type="pct"/>
            <w:vMerge w:val="continue"/>
            <w:vAlign w:val="center"/>
          </w:tcPr>
          <w:p w14:paraId="0005CB69">
            <w:pPr>
              <w:spacing w:line="240" w:lineRule="exact"/>
              <w:jc w:val="center"/>
              <w:rPr>
                <w:rFonts w:ascii="Times New Roman" w:hAnsi="Times New Roman" w:cs="Times New Roman"/>
                <w:snapToGrid w:val="0"/>
                <w:sz w:val="21"/>
                <w:szCs w:val="18"/>
              </w:rPr>
            </w:pPr>
          </w:p>
        </w:tc>
        <w:tc>
          <w:tcPr>
            <w:tcW w:w="919" w:type="pct"/>
            <w:vAlign w:val="center"/>
          </w:tcPr>
          <w:p w14:paraId="79593822">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其他区域</w:t>
            </w:r>
          </w:p>
        </w:tc>
        <w:tc>
          <w:tcPr>
            <w:tcW w:w="519" w:type="pct"/>
            <w:vAlign w:val="center"/>
          </w:tcPr>
          <w:p w14:paraId="6ECB6B02">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4a类</w:t>
            </w:r>
          </w:p>
        </w:tc>
        <w:tc>
          <w:tcPr>
            <w:tcW w:w="857" w:type="pct"/>
            <w:vMerge w:val="continue"/>
            <w:vAlign w:val="center"/>
          </w:tcPr>
          <w:p w14:paraId="0CD520B1">
            <w:pPr>
              <w:spacing w:line="240" w:lineRule="exact"/>
              <w:jc w:val="center"/>
              <w:rPr>
                <w:rFonts w:ascii="Times New Roman" w:hAnsi="Times New Roman" w:cs="Times New Roman"/>
                <w:snapToGrid w:val="0"/>
                <w:sz w:val="21"/>
                <w:szCs w:val="18"/>
              </w:rPr>
            </w:pPr>
          </w:p>
        </w:tc>
        <w:tc>
          <w:tcPr>
            <w:tcW w:w="623" w:type="pct"/>
            <w:vAlign w:val="center"/>
          </w:tcPr>
          <w:p w14:paraId="6753EE9B">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70</w:t>
            </w:r>
          </w:p>
        </w:tc>
        <w:tc>
          <w:tcPr>
            <w:tcW w:w="688" w:type="pct"/>
            <w:vAlign w:val="center"/>
          </w:tcPr>
          <w:p w14:paraId="19F59504">
            <w:pPr>
              <w:spacing w:line="240" w:lineRule="exact"/>
              <w:jc w:val="center"/>
              <w:rPr>
                <w:rFonts w:ascii="Times New Roman" w:hAnsi="Times New Roman" w:cs="Times New Roman"/>
                <w:snapToGrid w:val="0"/>
                <w:sz w:val="21"/>
                <w:szCs w:val="18"/>
              </w:rPr>
            </w:pPr>
            <w:r>
              <w:rPr>
                <w:rFonts w:ascii="Times New Roman" w:hAnsi="Times New Roman" w:cs="Times New Roman"/>
                <w:snapToGrid w:val="0"/>
                <w:sz w:val="21"/>
                <w:szCs w:val="18"/>
              </w:rPr>
              <w:t>55</w:t>
            </w:r>
          </w:p>
        </w:tc>
      </w:tr>
      <w:bookmarkEnd w:id="171"/>
      <w:bookmarkEnd w:id="172"/>
      <w:bookmarkEnd w:id="173"/>
    </w:tbl>
    <w:p w14:paraId="44D80CDB">
      <w:pPr>
        <w:spacing w:line="360" w:lineRule="auto"/>
        <w:ind w:firstLine="480"/>
        <w:jc w:val="both"/>
        <w:rPr>
          <w:rFonts w:ascii="Times New Roman" w:hAnsi="Times New Roman" w:cs="Times New Roman"/>
        </w:rPr>
      </w:pPr>
      <w:r>
        <w:rPr>
          <w:rFonts w:ascii="Times New Roman" w:hAnsi="Times New Roman" w:cs="Times New Roman"/>
        </w:rPr>
        <w:t>（4）土壤</w:t>
      </w:r>
      <w:r>
        <w:rPr>
          <w:rFonts w:hint="eastAsia" w:ascii="Times New Roman" w:hAnsi="Times New Roman" w:cs="Times New Roman"/>
        </w:rPr>
        <w:t>及地下水</w:t>
      </w:r>
      <w:r>
        <w:rPr>
          <w:rFonts w:ascii="Times New Roman" w:hAnsi="Times New Roman" w:cs="Times New Roman"/>
        </w:rPr>
        <w:t>环境质量标准</w:t>
      </w:r>
    </w:p>
    <w:p w14:paraId="2F720BE5">
      <w:pPr>
        <w:spacing w:line="360" w:lineRule="auto"/>
        <w:ind w:firstLine="480"/>
        <w:jc w:val="both"/>
        <w:rPr>
          <w:rFonts w:ascii="Times New Roman" w:hAnsi="Times New Roman" w:cs="Times New Roman"/>
        </w:rPr>
      </w:pPr>
      <w:r>
        <w:rPr>
          <w:rFonts w:hint="eastAsia" w:ascii="Times New Roman" w:hAnsi="Times New Roman" w:cs="Times New Roman"/>
        </w:rPr>
        <w:t>本项目属于公路工程建筑，对照《环境影响评价技术导则</w:t>
      </w:r>
      <w:r>
        <w:rPr>
          <w:rFonts w:ascii="Times New Roman" w:hAnsi="Times New Roman" w:cs="Times New Roman"/>
        </w:rPr>
        <w:t xml:space="preserve"> 地下水环境》（HJ 610-2016）</w:t>
      </w:r>
      <w:r>
        <w:rPr>
          <w:rFonts w:hint="eastAsia" w:ascii="Times New Roman" w:hAnsi="Times New Roman" w:cs="Times New Roman"/>
        </w:rPr>
        <w:t>中的附录</w:t>
      </w:r>
      <w:r>
        <w:rPr>
          <w:rFonts w:ascii="Times New Roman" w:hAnsi="Times New Roman" w:cs="Times New Roman"/>
        </w:rPr>
        <w:t xml:space="preserve"> A，项目属于Ⅳ类项目，不开展地下水环境影响评价；</w:t>
      </w:r>
      <w:r>
        <w:rPr>
          <w:rFonts w:hint="eastAsia" w:ascii="Times New Roman" w:hAnsi="Times New Roman" w:cs="Times New Roman"/>
        </w:rPr>
        <w:t>根据《环境影响评价技术导则—公路建设项目》（</w:t>
      </w:r>
      <w:r>
        <w:rPr>
          <w:rFonts w:ascii="Times New Roman" w:hAnsi="Times New Roman" w:cs="Times New Roman"/>
        </w:rPr>
        <w:t>HJ1358—2024），地下水环境影响评价应分别对加油站区域和其他区段确定评价等级，等级判定应符合下列规定：</w:t>
      </w:r>
    </w:p>
    <w:p w14:paraId="453F1DF8">
      <w:pPr>
        <w:spacing w:line="360" w:lineRule="auto"/>
        <w:ind w:firstLine="480"/>
        <w:jc w:val="both"/>
        <w:rPr>
          <w:rFonts w:ascii="Times New Roman" w:hAnsi="Times New Roman" w:cs="Times New Roman"/>
        </w:rPr>
      </w:pPr>
      <w:r>
        <w:rPr>
          <w:rFonts w:ascii="Times New Roman" w:hAnsi="Times New Roman" w:cs="Times New Roman"/>
        </w:rPr>
        <w:t>a）加油站选址涉及HJ 610中地下水“敏感”区域或未按照要求采取严格的防泄漏、防渗等环保措施的，按照HJ 610的相关规定确定评价等级；其他加油站不必进行评价等级判定；</w:t>
      </w:r>
    </w:p>
    <w:p w14:paraId="216D7B67">
      <w:pPr>
        <w:spacing w:line="360" w:lineRule="auto"/>
        <w:ind w:firstLine="480"/>
        <w:jc w:val="both"/>
        <w:rPr>
          <w:rFonts w:ascii="Times New Roman" w:hAnsi="Times New Roman" w:cs="Times New Roman"/>
        </w:rPr>
      </w:pPr>
      <w:r>
        <w:rPr>
          <w:rFonts w:ascii="Times New Roman" w:hAnsi="Times New Roman" w:cs="Times New Roman"/>
        </w:rPr>
        <w:t>b）其他区段，不必进行评价等级判定。</w:t>
      </w:r>
    </w:p>
    <w:p w14:paraId="0023DCC3">
      <w:pPr>
        <w:spacing w:line="360" w:lineRule="auto"/>
        <w:ind w:firstLine="480"/>
        <w:jc w:val="both"/>
        <w:rPr>
          <w:rFonts w:ascii="Times New Roman" w:hAnsi="Times New Roman" w:cs="Times New Roman"/>
        </w:rPr>
      </w:pPr>
      <w:r>
        <w:rPr>
          <w:rFonts w:hint="eastAsia" w:ascii="Times New Roman" w:hAnsi="Times New Roman" w:cs="Times New Roman"/>
        </w:rPr>
        <w:t>本项目线路建设内容不涉及加油站，因此，不对地下水进行评价等级判定。</w:t>
      </w:r>
    </w:p>
    <w:p w14:paraId="7AD8DD1C">
      <w:pPr>
        <w:spacing w:line="360" w:lineRule="auto"/>
        <w:ind w:firstLine="480"/>
        <w:jc w:val="both"/>
        <w:rPr>
          <w:rFonts w:ascii="Times New Roman" w:hAnsi="Times New Roman" w:cs="Times New Roman"/>
        </w:rPr>
      </w:pPr>
      <w:r>
        <w:rPr>
          <w:rFonts w:ascii="Times New Roman" w:hAnsi="Times New Roman" w:cs="Times New Roman"/>
        </w:rPr>
        <w:t>对照《环境影响评价技术导则土壤环境（试行）》（HJ964-2018）</w:t>
      </w:r>
      <w:r>
        <w:rPr>
          <w:rFonts w:hint="eastAsia" w:ascii="Times New Roman" w:hAnsi="Times New Roman" w:cs="Times New Roman"/>
        </w:rPr>
        <w:t>中附录</w:t>
      </w:r>
      <w:r>
        <w:rPr>
          <w:rFonts w:ascii="Times New Roman" w:hAnsi="Times New Roman" w:cs="Times New Roman"/>
        </w:rPr>
        <w:t xml:space="preserve"> A，项目属于“交通运输仓储邮政业 其他”，</w:t>
      </w:r>
      <w:r>
        <w:rPr>
          <w:rFonts w:hint="eastAsia" w:ascii="Times New Roman" w:hAnsi="Times New Roman" w:cs="Times New Roman"/>
        </w:rPr>
        <w:t>为Ⅳ类项目，Ⅳ类建设项目可不开展土壤环境影响评价；根据《环境影响评价技术导则—公路建设项目》（</w:t>
      </w:r>
      <w:r>
        <w:rPr>
          <w:rFonts w:ascii="Times New Roman" w:hAnsi="Times New Roman" w:cs="Times New Roman"/>
        </w:rPr>
        <w:t>HJ1358—2024），土壤环境影响评价应分别对加油站区域和其他区段确定评价等级，等级判定应符合下列规定：</w:t>
      </w:r>
    </w:p>
    <w:p w14:paraId="6CA764D2">
      <w:pPr>
        <w:spacing w:line="360" w:lineRule="auto"/>
        <w:ind w:firstLine="480"/>
        <w:jc w:val="both"/>
        <w:rPr>
          <w:rFonts w:ascii="Times New Roman" w:hAnsi="Times New Roman" w:cs="Times New Roman"/>
        </w:rPr>
      </w:pPr>
      <w:r>
        <w:rPr>
          <w:rFonts w:ascii="Times New Roman" w:hAnsi="Times New Roman" w:cs="Times New Roman"/>
        </w:rPr>
        <w:t>a）加油站周边土壤环境敏感程度为HJ 964中“敏感”且未按照要求采取严格防泄漏、防渗等环保措施的，按照HJ 964中污染影响型的相关规定确定评价等级；其他加油站不必进行评价等级判定；</w:t>
      </w:r>
    </w:p>
    <w:p w14:paraId="6CD3B8DC">
      <w:pPr>
        <w:spacing w:line="360" w:lineRule="auto"/>
        <w:ind w:firstLine="480"/>
        <w:jc w:val="both"/>
        <w:rPr>
          <w:rFonts w:ascii="Times New Roman" w:hAnsi="Times New Roman" w:cs="Times New Roman"/>
        </w:rPr>
      </w:pPr>
      <w:r>
        <w:rPr>
          <w:rFonts w:ascii="Times New Roman" w:hAnsi="Times New Roman" w:cs="Times New Roman"/>
        </w:rPr>
        <w:t>b）其他区段，不必进行评价等级判定。</w:t>
      </w:r>
    </w:p>
    <w:p w14:paraId="1167B168">
      <w:pPr>
        <w:spacing w:line="360" w:lineRule="auto"/>
        <w:ind w:firstLine="480"/>
        <w:jc w:val="both"/>
        <w:rPr>
          <w:rFonts w:ascii="Times New Roman" w:hAnsi="Times New Roman" w:cs="Times New Roman"/>
        </w:rPr>
      </w:pPr>
      <w:r>
        <w:rPr>
          <w:rFonts w:hint="eastAsia" w:ascii="Times New Roman" w:hAnsi="Times New Roman" w:cs="Times New Roman"/>
        </w:rPr>
        <w:t>本项目线路建设内容不涉及加油站，因此，不对土壤进行评价等级判定。</w:t>
      </w:r>
    </w:p>
    <w:p w14:paraId="520DA265">
      <w:pPr>
        <w:spacing w:line="360" w:lineRule="auto"/>
        <w:ind w:firstLine="480"/>
        <w:jc w:val="both"/>
        <w:rPr>
          <w:rFonts w:ascii="Times New Roman" w:hAnsi="Times New Roman" w:cs="Times New Roman"/>
        </w:rPr>
      </w:pPr>
      <w:r>
        <w:rPr>
          <w:rFonts w:hint="eastAsia" w:ascii="Times New Roman" w:hAnsi="Times New Roman" w:cs="Times New Roman"/>
        </w:rPr>
        <w:t>因此本项目不开展土壤环境影响评价和地下水环境影响评价。</w:t>
      </w:r>
    </w:p>
    <w:p w14:paraId="701BDEB2">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2.3.2.2污染物排放标准</w:t>
      </w:r>
    </w:p>
    <w:p w14:paraId="783B42FA">
      <w:pPr>
        <w:adjustRightInd w:val="0"/>
        <w:snapToGrid w:val="0"/>
        <w:spacing w:line="360" w:lineRule="auto"/>
        <w:ind w:firstLine="480" w:firstLineChars="200"/>
        <w:jc w:val="both"/>
        <w:rPr>
          <w:rFonts w:ascii="Times New Roman" w:hAnsi="Times New Roman" w:cs="Times New Roman"/>
        </w:rPr>
      </w:pPr>
      <w:bookmarkStart w:id="175" w:name="_Toc246436463"/>
      <w:bookmarkStart w:id="176" w:name="_Toc247338696"/>
      <w:bookmarkStart w:id="177" w:name="_Toc247448071"/>
      <w:r>
        <w:rPr>
          <w:rFonts w:ascii="Times New Roman" w:hAnsi="Times New Roman" w:cs="Times New Roman"/>
        </w:rPr>
        <w:t>（一）废气</w:t>
      </w:r>
    </w:p>
    <w:p w14:paraId="14857BD1">
      <w:pPr>
        <w:pStyle w:val="8"/>
        <w:adjustRightInd w:val="0"/>
        <w:snapToGrid w:val="0"/>
        <w:spacing w:line="360" w:lineRule="auto"/>
        <w:ind w:firstLine="480"/>
        <w:jc w:val="both"/>
        <w:rPr>
          <w:rFonts w:ascii="Times New Roman" w:hAnsi="Times New Roman" w:cs="Times New Roman"/>
          <w:szCs w:val="24"/>
        </w:rPr>
      </w:pPr>
      <w:r>
        <w:rPr>
          <w:rFonts w:ascii="Times New Roman" w:hAnsi="Times New Roman" w:cs="Times New Roman"/>
          <w:szCs w:val="24"/>
        </w:rPr>
        <w:t>（1）施工期：</w:t>
      </w:r>
    </w:p>
    <w:p w14:paraId="5FEBB24D">
      <w:pPr>
        <w:pStyle w:val="8"/>
        <w:adjustRightInd w:val="0"/>
        <w:snapToGrid w:val="0"/>
        <w:spacing w:line="360" w:lineRule="auto"/>
        <w:ind w:firstLine="480"/>
        <w:jc w:val="both"/>
        <w:rPr>
          <w:rFonts w:ascii="Times New Roman" w:hAnsi="Times New Roman" w:cs="Times New Roman"/>
          <w:szCs w:val="24"/>
        </w:rPr>
      </w:pPr>
      <w:r>
        <w:rPr>
          <w:rFonts w:hint="eastAsia"/>
          <w:szCs w:val="24"/>
        </w:rPr>
        <w:t>①</w:t>
      </w:r>
      <w:r>
        <w:rPr>
          <w:rFonts w:ascii="Times New Roman" w:hAnsi="Times New Roman" w:cs="Times New Roman"/>
          <w:szCs w:val="24"/>
        </w:rPr>
        <w:t>项目施工产生的沥青烟气排放执行《大气污染物综合排放标准》（GB16297-1996）中的二级标准；水稳、水泥混凝土拌合站排放的粉尘执行</w:t>
      </w:r>
      <w:r>
        <w:rPr>
          <w:rFonts w:ascii="Times New Roman" w:hAnsi="Times New Roman" w:cs="Times New Roman"/>
          <w:bCs/>
          <w:szCs w:val="24"/>
        </w:rPr>
        <w:t>《水泥工业大气污染物排放标准》（GB4915-2013）中表1散装水泥中转站及水泥制品生产排放限值（颗粒物≤20毫克/立方米）要求。</w:t>
      </w:r>
    </w:p>
    <w:p w14:paraId="702428B5">
      <w:pPr>
        <w:pStyle w:val="8"/>
        <w:adjustRightInd w:val="0"/>
        <w:snapToGrid w:val="0"/>
        <w:spacing w:line="360" w:lineRule="auto"/>
        <w:ind w:firstLine="480"/>
        <w:jc w:val="both"/>
        <w:rPr>
          <w:rFonts w:ascii="Times New Roman" w:hAnsi="Times New Roman" w:cs="Times New Roman"/>
          <w:szCs w:val="24"/>
        </w:rPr>
      </w:pPr>
      <w:r>
        <w:rPr>
          <w:rFonts w:hint="eastAsia"/>
          <w:szCs w:val="24"/>
        </w:rPr>
        <w:t>②</w:t>
      </w:r>
      <w:r>
        <w:rPr>
          <w:rFonts w:ascii="Times New Roman" w:hAnsi="Times New Roman" w:cs="Times New Roman"/>
          <w:szCs w:val="24"/>
        </w:rPr>
        <w:t>施工扬尘大气污染物排放执行《大气污染物综合排放标准》（GB16297-1996）新污染源大气污染物排放限值中的无组织颗粒物排放监控限值。</w:t>
      </w:r>
    </w:p>
    <w:p w14:paraId="363AA7CF">
      <w:pPr>
        <w:pStyle w:val="8"/>
        <w:adjustRightInd w:val="0"/>
        <w:snapToGrid w:val="0"/>
        <w:spacing w:line="360" w:lineRule="auto"/>
        <w:ind w:firstLine="480"/>
        <w:jc w:val="both"/>
        <w:rPr>
          <w:rFonts w:ascii="Times New Roman" w:hAnsi="Times New Roman" w:cs="Times New Roman"/>
          <w:szCs w:val="24"/>
        </w:rPr>
      </w:pPr>
      <w:r>
        <w:rPr>
          <w:rFonts w:ascii="Times New Roman" w:hAnsi="Times New Roman" w:cs="Times New Roman"/>
          <w:szCs w:val="24"/>
        </w:rPr>
        <w:t>具体标准值见表2.3-6。</w:t>
      </w:r>
    </w:p>
    <w:p w14:paraId="03447403">
      <w:pPr>
        <w:pStyle w:val="22"/>
        <w:adjustRightInd w:val="0"/>
        <w:snapToGrid w:val="0"/>
        <w:ind w:firstLine="240" w:firstLineChars="100"/>
        <w:jc w:val="center"/>
        <w:rPr>
          <w:rFonts w:ascii="黑体" w:hAnsi="黑体" w:cs="Times New Roman"/>
          <w:sz w:val="21"/>
          <w:szCs w:val="24"/>
        </w:rPr>
      </w:pPr>
      <w:r>
        <w:rPr>
          <w:rFonts w:ascii="黑体" w:hAnsi="黑体" w:cs="Times New Roman"/>
          <w:sz w:val="24"/>
          <w:szCs w:val="24"/>
        </w:rPr>
        <w:t>表2.3-6 大气污染物综合排放标准</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234"/>
        <w:gridCol w:w="1009"/>
        <w:gridCol w:w="1212"/>
        <w:gridCol w:w="714"/>
        <w:gridCol w:w="1386"/>
        <w:gridCol w:w="1943"/>
      </w:tblGrid>
      <w:tr w14:paraId="778E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714" w:type="pct"/>
            <w:vMerge w:val="restart"/>
            <w:shd w:val="clear" w:color="auto" w:fill="auto"/>
            <w:vAlign w:val="center"/>
          </w:tcPr>
          <w:p w14:paraId="74235953">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污染物</w:t>
            </w:r>
          </w:p>
        </w:tc>
        <w:tc>
          <w:tcPr>
            <w:tcW w:w="834" w:type="pct"/>
            <w:vMerge w:val="restart"/>
            <w:shd w:val="clear" w:color="auto" w:fill="auto"/>
            <w:vAlign w:val="center"/>
          </w:tcPr>
          <w:p w14:paraId="0B26B4E0">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最高允许排放浓度mg/m</w:t>
            </w:r>
            <w:r>
              <w:rPr>
                <w:rFonts w:ascii="Times New Roman" w:hAnsi="Times New Roman" w:cs="Times New Roman"/>
                <w:snapToGrid w:val="0"/>
                <w:sz w:val="21"/>
                <w:szCs w:val="21"/>
                <w:vertAlign w:val="superscript"/>
              </w:rPr>
              <w:t>3</w:t>
            </w:r>
          </w:p>
        </w:tc>
        <w:tc>
          <w:tcPr>
            <w:tcW w:w="1523" w:type="pct"/>
            <w:gridSpan w:val="2"/>
            <w:shd w:val="clear" w:color="auto" w:fill="auto"/>
            <w:vAlign w:val="center"/>
          </w:tcPr>
          <w:p w14:paraId="66F5B92F">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最高允许排放速率kg/h</w:t>
            </w:r>
          </w:p>
        </w:tc>
        <w:tc>
          <w:tcPr>
            <w:tcW w:w="1451" w:type="pct"/>
            <w:gridSpan w:val="2"/>
            <w:shd w:val="clear" w:color="auto" w:fill="auto"/>
            <w:vAlign w:val="center"/>
          </w:tcPr>
          <w:p w14:paraId="7BCE28AC">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无组织排放监控浓度值</w:t>
            </w:r>
          </w:p>
        </w:tc>
        <w:tc>
          <w:tcPr>
            <w:tcW w:w="478" w:type="pct"/>
            <w:vMerge w:val="restart"/>
            <w:shd w:val="clear" w:color="auto" w:fill="auto"/>
            <w:vAlign w:val="center"/>
          </w:tcPr>
          <w:p w14:paraId="2EFB3E34">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标准依据</w:t>
            </w:r>
          </w:p>
        </w:tc>
      </w:tr>
      <w:tr w14:paraId="28BE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jc w:val="center"/>
        </w:trPr>
        <w:tc>
          <w:tcPr>
            <w:tcW w:w="714" w:type="pct"/>
            <w:vMerge w:val="continue"/>
            <w:shd w:val="clear" w:color="auto" w:fill="auto"/>
            <w:vAlign w:val="center"/>
          </w:tcPr>
          <w:p w14:paraId="230D24FD">
            <w:pPr>
              <w:spacing w:line="240" w:lineRule="exact"/>
              <w:jc w:val="center"/>
              <w:rPr>
                <w:rFonts w:ascii="Times New Roman" w:hAnsi="Times New Roman" w:cs="Times New Roman"/>
                <w:snapToGrid w:val="0"/>
                <w:sz w:val="21"/>
                <w:szCs w:val="21"/>
              </w:rPr>
            </w:pPr>
          </w:p>
        </w:tc>
        <w:tc>
          <w:tcPr>
            <w:tcW w:w="834" w:type="pct"/>
            <w:vMerge w:val="continue"/>
            <w:shd w:val="clear" w:color="auto" w:fill="auto"/>
            <w:vAlign w:val="center"/>
          </w:tcPr>
          <w:p w14:paraId="4A50C278">
            <w:pPr>
              <w:spacing w:line="240" w:lineRule="exact"/>
              <w:jc w:val="center"/>
              <w:rPr>
                <w:rFonts w:ascii="Times New Roman" w:hAnsi="Times New Roman" w:cs="Times New Roman"/>
                <w:snapToGrid w:val="0"/>
                <w:sz w:val="21"/>
                <w:szCs w:val="21"/>
              </w:rPr>
            </w:pPr>
          </w:p>
        </w:tc>
        <w:tc>
          <w:tcPr>
            <w:tcW w:w="702" w:type="pct"/>
            <w:shd w:val="clear" w:color="auto" w:fill="auto"/>
            <w:vAlign w:val="center"/>
          </w:tcPr>
          <w:p w14:paraId="17415727">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排气筒高度m</w:t>
            </w:r>
          </w:p>
        </w:tc>
        <w:tc>
          <w:tcPr>
            <w:tcW w:w="820" w:type="pct"/>
            <w:shd w:val="clear" w:color="auto" w:fill="auto"/>
            <w:vAlign w:val="center"/>
          </w:tcPr>
          <w:p w14:paraId="40B939AD">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二级</w:t>
            </w:r>
          </w:p>
        </w:tc>
        <w:tc>
          <w:tcPr>
            <w:tcW w:w="529" w:type="pct"/>
            <w:shd w:val="clear" w:color="auto" w:fill="auto"/>
            <w:vAlign w:val="center"/>
          </w:tcPr>
          <w:p w14:paraId="1CE678C4">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监控点</w:t>
            </w:r>
          </w:p>
        </w:tc>
        <w:tc>
          <w:tcPr>
            <w:tcW w:w="923" w:type="pct"/>
            <w:shd w:val="clear" w:color="auto" w:fill="auto"/>
            <w:vAlign w:val="center"/>
          </w:tcPr>
          <w:p w14:paraId="50B3C5A7">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浓度mg/m</w:t>
            </w:r>
            <w:r>
              <w:rPr>
                <w:rFonts w:ascii="Times New Roman" w:hAnsi="Times New Roman" w:cs="Times New Roman"/>
                <w:snapToGrid w:val="0"/>
                <w:sz w:val="21"/>
                <w:szCs w:val="21"/>
                <w:vertAlign w:val="superscript"/>
              </w:rPr>
              <w:t>3</w:t>
            </w:r>
          </w:p>
        </w:tc>
        <w:tc>
          <w:tcPr>
            <w:tcW w:w="478" w:type="pct"/>
            <w:vMerge w:val="continue"/>
            <w:shd w:val="clear" w:color="auto" w:fill="auto"/>
            <w:vAlign w:val="center"/>
          </w:tcPr>
          <w:p w14:paraId="1BB27854">
            <w:pPr>
              <w:spacing w:line="240" w:lineRule="exact"/>
              <w:jc w:val="center"/>
              <w:rPr>
                <w:rFonts w:ascii="Times New Roman" w:hAnsi="Times New Roman" w:cs="Times New Roman"/>
                <w:snapToGrid w:val="0"/>
                <w:sz w:val="21"/>
                <w:szCs w:val="21"/>
              </w:rPr>
            </w:pPr>
          </w:p>
        </w:tc>
      </w:tr>
      <w:tr w14:paraId="4641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14" w:type="pct"/>
            <w:vMerge w:val="restart"/>
            <w:shd w:val="clear" w:color="auto" w:fill="auto"/>
            <w:vAlign w:val="center"/>
          </w:tcPr>
          <w:p w14:paraId="3FC249FF">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沥青烟</w:t>
            </w:r>
          </w:p>
        </w:tc>
        <w:tc>
          <w:tcPr>
            <w:tcW w:w="834" w:type="pct"/>
            <w:vMerge w:val="restart"/>
            <w:shd w:val="clear" w:color="auto" w:fill="auto"/>
            <w:vAlign w:val="center"/>
          </w:tcPr>
          <w:p w14:paraId="1B9D8598">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40（熔炼、浸涂）</w:t>
            </w:r>
          </w:p>
        </w:tc>
        <w:tc>
          <w:tcPr>
            <w:tcW w:w="702" w:type="pct"/>
            <w:shd w:val="clear" w:color="auto" w:fill="auto"/>
            <w:vAlign w:val="center"/>
          </w:tcPr>
          <w:p w14:paraId="051AD66A">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15</w:t>
            </w:r>
          </w:p>
        </w:tc>
        <w:tc>
          <w:tcPr>
            <w:tcW w:w="820" w:type="pct"/>
            <w:shd w:val="clear" w:color="auto" w:fill="auto"/>
            <w:vAlign w:val="center"/>
          </w:tcPr>
          <w:p w14:paraId="71A04AD7">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0.18</w:t>
            </w:r>
          </w:p>
        </w:tc>
        <w:tc>
          <w:tcPr>
            <w:tcW w:w="1451" w:type="pct"/>
            <w:gridSpan w:val="2"/>
            <w:vMerge w:val="restart"/>
            <w:shd w:val="clear" w:color="auto" w:fill="auto"/>
            <w:vAlign w:val="center"/>
          </w:tcPr>
          <w:p w14:paraId="2D640BFF">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生产设备不得有明显的无组织排放存在</w:t>
            </w:r>
          </w:p>
        </w:tc>
        <w:tc>
          <w:tcPr>
            <w:tcW w:w="478" w:type="pct"/>
            <w:vMerge w:val="restart"/>
            <w:shd w:val="clear" w:color="auto" w:fill="auto"/>
            <w:vAlign w:val="center"/>
          </w:tcPr>
          <w:p w14:paraId="722D1312">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《大气污染物综合排放标准》（GB16297-1996）中的二级标准</w:t>
            </w:r>
          </w:p>
        </w:tc>
      </w:tr>
      <w:tr w14:paraId="706F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714" w:type="pct"/>
            <w:vMerge w:val="continue"/>
            <w:shd w:val="clear" w:color="auto" w:fill="auto"/>
            <w:vAlign w:val="center"/>
          </w:tcPr>
          <w:p w14:paraId="5ADCA090">
            <w:pPr>
              <w:spacing w:line="240" w:lineRule="exact"/>
              <w:jc w:val="center"/>
              <w:rPr>
                <w:rFonts w:ascii="Times New Roman" w:hAnsi="Times New Roman" w:cs="Times New Roman"/>
                <w:snapToGrid w:val="0"/>
                <w:sz w:val="21"/>
                <w:szCs w:val="21"/>
              </w:rPr>
            </w:pPr>
          </w:p>
        </w:tc>
        <w:tc>
          <w:tcPr>
            <w:tcW w:w="834" w:type="pct"/>
            <w:vMerge w:val="continue"/>
            <w:shd w:val="clear" w:color="auto" w:fill="auto"/>
            <w:vAlign w:val="center"/>
          </w:tcPr>
          <w:p w14:paraId="5D08A275">
            <w:pPr>
              <w:spacing w:line="240" w:lineRule="exact"/>
              <w:jc w:val="center"/>
              <w:rPr>
                <w:rFonts w:ascii="Times New Roman" w:hAnsi="Times New Roman" w:cs="Times New Roman"/>
                <w:snapToGrid w:val="0"/>
                <w:sz w:val="21"/>
                <w:szCs w:val="21"/>
              </w:rPr>
            </w:pPr>
          </w:p>
        </w:tc>
        <w:tc>
          <w:tcPr>
            <w:tcW w:w="702" w:type="pct"/>
            <w:shd w:val="clear" w:color="auto" w:fill="auto"/>
            <w:vAlign w:val="center"/>
          </w:tcPr>
          <w:p w14:paraId="2F4D3CCB">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20</w:t>
            </w:r>
          </w:p>
        </w:tc>
        <w:tc>
          <w:tcPr>
            <w:tcW w:w="820" w:type="pct"/>
            <w:shd w:val="clear" w:color="auto" w:fill="auto"/>
            <w:vAlign w:val="center"/>
          </w:tcPr>
          <w:p w14:paraId="41220CDD">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0.30</w:t>
            </w:r>
          </w:p>
        </w:tc>
        <w:tc>
          <w:tcPr>
            <w:tcW w:w="1451" w:type="pct"/>
            <w:gridSpan w:val="2"/>
            <w:vMerge w:val="continue"/>
            <w:shd w:val="clear" w:color="auto" w:fill="auto"/>
            <w:vAlign w:val="center"/>
          </w:tcPr>
          <w:p w14:paraId="52546150">
            <w:pPr>
              <w:spacing w:line="240" w:lineRule="exact"/>
              <w:jc w:val="center"/>
              <w:rPr>
                <w:rFonts w:ascii="Times New Roman" w:hAnsi="Times New Roman" w:cs="Times New Roman"/>
                <w:snapToGrid w:val="0"/>
                <w:sz w:val="21"/>
                <w:szCs w:val="21"/>
              </w:rPr>
            </w:pPr>
          </w:p>
        </w:tc>
        <w:tc>
          <w:tcPr>
            <w:tcW w:w="478" w:type="pct"/>
            <w:vMerge w:val="continue"/>
            <w:shd w:val="clear" w:color="auto" w:fill="auto"/>
            <w:vAlign w:val="center"/>
          </w:tcPr>
          <w:p w14:paraId="0A260A8A">
            <w:pPr>
              <w:spacing w:line="240" w:lineRule="exact"/>
              <w:jc w:val="center"/>
              <w:rPr>
                <w:rFonts w:ascii="Times New Roman" w:hAnsi="Times New Roman" w:cs="Times New Roman"/>
                <w:snapToGrid w:val="0"/>
                <w:sz w:val="21"/>
                <w:szCs w:val="21"/>
              </w:rPr>
            </w:pPr>
          </w:p>
        </w:tc>
      </w:tr>
      <w:tr w14:paraId="765B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14" w:type="pct"/>
            <w:vMerge w:val="continue"/>
            <w:shd w:val="clear" w:color="auto" w:fill="auto"/>
            <w:vAlign w:val="center"/>
          </w:tcPr>
          <w:p w14:paraId="6E6303E9">
            <w:pPr>
              <w:spacing w:line="240" w:lineRule="exact"/>
              <w:jc w:val="center"/>
              <w:rPr>
                <w:rFonts w:ascii="Times New Roman" w:hAnsi="Times New Roman" w:cs="Times New Roman"/>
                <w:snapToGrid w:val="0"/>
                <w:sz w:val="21"/>
                <w:szCs w:val="21"/>
              </w:rPr>
            </w:pPr>
          </w:p>
        </w:tc>
        <w:tc>
          <w:tcPr>
            <w:tcW w:w="834" w:type="pct"/>
            <w:vMerge w:val="restart"/>
            <w:shd w:val="clear" w:color="auto" w:fill="auto"/>
            <w:vAlign w:val="center"/>
          </w:tcPr>
          <w:p w14:paraId="6799EDC4">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75（建筑搅拌）</w:t>
            </w:r>
          </w:p>
        </w:tc>
        <w:tc>
          <w:tcPr>
            <w:tcW w:w="702" w:type="pct"/>
            <w:shd w:val="clear" w:color="auto" w:fill="auto"/>
            <w:vAlign w:val="center"/>
          </w:tcPr>
          <w:p w14:paraId="1743563E">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50</w:t>
            </w:r>
          </w:p>
        </w:tc>
        <w:tc>
          <w:tcPr>
            <w:tcW w:w="820" w:type="pct"/>
            <w:shd w:val="clear" w:color="auto" w:fill="auto"/>
            <w:vAlign w:val="center"/>
          </w:tcPr>
          <w:p w14:paraId="0D503A6E">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3.6</w:t>
            </w:r>
          </w:p>
        </w:tc>
        <w:tc>
          <w:tcPr>
            <w:tcW w:w="1451" w:type="pct"/>
            <w:gridSpan w:val="2"/>
            <w:vMerge w:val="restart"/>
            <w:shd w:val="clear" w:color="auto" w:fill="auto"/>
            <w:vAlign w:val="center"/>
          </w:tcPr>
          <w:p w14:paraId="59DE4063">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478" w:type="pct"/>
            <w:vMerge w:val="continue"/>
            <w:shd w:val="clear" w:color="auto" w:fill="auto"/>
            <w:vAlign w:val="center"/>
          </w:tcPr>
          <w:p w14:paraId="3E58F92C">
            <w:pPr>
              <w:spacing w:line="240" w:lineRule="exact"/>
              <w:jc w:val="center"/>
              <w:rPr>
                <w:rFonts w:ascii="Times New Roman" w:hAnsi="Times New Roman" w:cs="Times New Roman"/>
                <w:snapToGrid w:val="0"/>
                <w:sz w:val="21"/>
                <w:szCs w:val="21"/>
              </w:rPr>
            </w:pPr>
          </w:p>
        </w:tc>
      </w:tr>
      <w:tr w14:paraId="7BA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exact"/>
          <w:jc w:val="center"/>
        </w:trPr>
        <w:tc>
          <w:tcPr>
            <w:tcW w:w="714" w:type="pct"/>
            <w:vMerge w:val="continue"/>
            <w:shd w:val="clear" w:color="auto" w:fill="auto"/>
            <w:vAlign w:val="center"/>
          </w:tcPr>
          <w:p w14:paraId="3BC79FF3">
            <w:pPr>
              <w:spacing w:line="240" w:lineRule="exact"/>
              <w:jc w:val="center"/>
              <w:rPr>
                <w:rFonts w:ascii="Times New Roman" w:hAnsi="Times New Roman" w:cs="Times New Roman"/>
                <w:snapToGrid w:val="0"/>
                <w:sz w:val="21"/>
                <w:szCs w:val="21"/>
              </w:rPr>
            </w:pPr>
          </w:p>
        </w:tc>
        <w:tc>
          <w:tcPr>
            <w:tcW w:w="834" w:type="pct"/>
            <w:vMerge w:val="continue"/>
            <w:shd w:val="clear" w:color="auto" w:fill="auto"/>
            <w:vAlign w:val="center"/>
          </w:tcPr>
          <w:p w14:paraId="7450041E">
            <w:pPr>
              <w:spacing w:line="240" w:lineRule="exact"/>
              <w:jc w:val="center"/>
              <w:rPr>
                <w:rFonts w:ascii="Times New Roman" w:hAnsi="Times New Roman" w:cs="Times New Roman"/>
                <w:snapToGrid w:val="0"/>
                <w:sz w:val="21"/>
                <w:szCs w:val="21"/>
              </w:rPr>
            </w:pPr>
          </w:p>
        </w:tc>
        <w:tc>
          <w:tcPr>
            <w:tcW w:w="702" w:type="pct"/>
            <w:shd w:val="clear" w:color="auto" w:fill="auto"/>
            <w:vAlign w:val="center"/>
          </w:tcPr>
          <w:p w14:paraId="3CBAE0BE">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60</w:t>
            </w:r>
          </w:p>
        </w:tc>
        <w:tc>
          <w:tcPr>
            <w:tcW w:w="820" w:type="pct"/>
            <w:shd w:val="clear" w:color="auto" w:fill="auto"/>
            <w:vAlign w:val="center"/>
          </w:tcPr>
          <w:p w14:paraId="684CBDF3">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5.6</w:t>
            </w:r>
          </w:p>
        </w:tc>
        <w:tc>
          <w:tcPr>
            <w:tcW w:w="1451" w:type="pct"/>
            <w:gridSpan w:val="2"/>
            <w:vMerge w:val="continue"/>
            <w:shd w:val="clear" w:color="auto" w:fill="auto"/>
            <w:vAlign w:val="center"/>
          </w:tcPr>
          <w:p w14:paraId="632006D1">
            <w:pPr>
              <w:spacing w:line="240" w:lineRule="exact"/>
              <w:jc w:val="center"/>
              <w:rPr>
                <w:rFonts w:ascii="Times New Roman" w:hAnsi="Times New Roman" w:cs="Times New Roman"/>
                <w:snapToGrid w:val="0"/>
                <w:sz w:val="21"/>
                <w:szCs w:val="21"/>
              </w:rPr>
            </w:pPr>
          </w:p>
        </w:tc>
        <w:tc>
          <w:tcPr>
            <w:tcW w:w="478" w:type="pct"/>
            <w:vMerge w:val="continue"/>
            <w:shd w:val="clear" w:color="auto" w:fill="auto"/>
            <w:vAlign w:val="center"/>
          </w:tcPr>
          <w:p w14:paraId="5EB25D36">
            <w:pPr>
              <w:spacing w:line="240" w:lineRule="exact"/>
              <w:jc w:val="center"/>
              <w:rPr>
                <w:rFonts w:ascii="Times New Roman" w:hAnsi="Times New Roman" w:cs="Times New Roman"/>
                <w:snapToGrid w:val="0"/>
                <w:sz w:val="21"/>
                <w:szCs w:val="21"/>
              </w:rPr>
            </w:pPr>
          </w:p>
        </w:tc>
      </w:tr>
      <w:tr w14:paraId="57E6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14" w:type="pct"/>
            <w:shd w:val="clear" w:color="auto" w:fill="auto"/>
            <w:vAlign w:val="center"/>
          </w:tcPr>
          <w:p w14:paraId="7A05C2BB">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粉尘</w:t>
            </w:r>
          </w:p>
        </w:tc>
        <w:tc>
          <w:tcPr>
            <w:tcW w:w="834" w:type="pct"/>
            <w:shd w:val="clear" w:color="auto" w:fill="auto"/>
            <w:vAlign w:val="center"/>
          </w:tcPr>
          <w:p w14:paraId="4A0C85D5">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120</w:t>
            </w:r>
          </w:p>
        </w:tc>
        <w:tc>
          <w:tcPr>
            <w:tcW w:w="702" w:type="pct"/>
            <w:shd w:val="clear" w:color="auto" w:fill="auto"/>
            <w:vAlign w:val="center"/>
          </w:tcPr>
          <w:p w14:paraId="5D7706A2">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820" w:type="pct"/>
            <w:shd w:val="clear" w:color="auto" w:fill="auto"/>
            <w:vAlign w:val="center"/>
          </w:tcPr>
          <w:p w14:paraId="3A464EEB">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529" w:type="pct"/>
            <w:vMerge w:val="restart"/>
            <w:shd w:val="clear" w:color="auto" w:fill="auto"/>
            <w:vAlign w:val="center"/>
          </w:tcPr>
          <w:p w14:paraId="364E4D96">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周界外浓度最高点</w:t>
            </w:r>
          </w:p>
        </w:tc>
        <w:tc>
          <w:tcPr>
            <w:tcW w:w="923" w:type="pct"/>
            <w:shd w:val="clear" w:color="auto" w:fill="auto"/>
            <w:vAlign w:val="center"/>
          </w:tcPr>
          <w:p w14:paraId="75034084">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1.0</w:t>
            </w:r>
          </w:p>
        </w:tc>
        <w:tc>
          <w:tcPr>
            <w:tcW w:w="478" w:type="pct"/>
            <w:vMerge w:val="continue"/>
            <w:shd w:val="clear" w:color="auto" w:fill="auto"/>
            <w:vAlign w:val="center"/>
          </w:tcPr>
          <w:p w14:paraId="18CEFDAB">
            <w:pPr>
              <w:spacing w:line="240" w:lineRule="exact"/>
              <w:jc w:val="center"/>
              <w:rPr>
                <w:rFonts w:ascii="Times New Roman" w:hAnsi="Times New Roman" w:cs="Times New Roman"/>
                <w:snapToGrid w:val="0"/>
                <w:sz w:val="21"/>
                <w:szCs w:val="21"/>
              </w:rPr>
            </w:pPr>
          </w:p>
        </w:tc>
      </w:tr>
      <w:tr w14:paraId="15A5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714" w:type="pct"/>
            <w:shd w:val="clear" w:color="auto" w:fill="auto"/>
            <w:vAlign w:val="center"/>
          </w:tcPr>
          <w:p w14:paraId="38C07375">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苯并α芘</w:t>
            </w:r>
          </w:p>
        </w:tc>
        <w:tc>
          <w:tcPr>
            <w:tcW w:w="834" w:type="pct"/>
            <w:shd w:val="clear" w:color="auto" w:fill="auto"/>
            <w:vAlign w:val="center"/>
          </w:tcPr>
          <w:p w14:paraId="4A1A31E2">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0.3×10</w:t>
            </w:r>
            <w:r>
              <w:rPr>
                <w:rFonts w:ascii="Times New Roman" w:hAnsi="Times New Roman" w:cs="Times New Roman"/>
                <w:snapToGrid w:val="0"/>
                <w:sz w:val="21"/>
                <w:szCs w:val="21"/>
                <w:vertAlign w:val="superscript"/>
              </w:rPr>
              <w:t>-3</w:t>
            </w:r>
          </w:p>
        </w:tc>
        <w:tc>
          <w:tcPr>
            <w:tcW w:w="702" w:type="pct"/>
            <w:shd w:val="clear" w:color="auto" w:fill="auto"/>
            <w:vAlign w:val="center"/>
          </w:tcPr>
          <w:p w14:paraId="69F897E5">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15</w:t>
            </w:r>
          </w:p>
        </w:tc>
        <w:tc>
          <w:tcPr>
            <w:tcW w:w="820" w:type="pct"/>
            <w:shd w:val="clear" w:color="auto" w:fill="auto"/>
            <w:vAlign w:val="center"/>
          </w:tcPr>
          <w:p w14:paraId="00E82282">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529" w:type="pct"/>
            <w:vMerge w:val="continue"/>
            <w:shd w:val="clear" w:color="auto" w:fill="auto"/>
            <w:vAlign w:val="center"/>
          </w:tcPr>
          <w:p w14:paraId="6480816F">
            <w:pPr>
              <w:spacing w:line="240" w:lineRule="exact"/>
              <w:jc w:val="center"/>
              <w:rPr>
                <w:rFonts w:ascii="Times New Roman" w:hAnsi="Times New Roman" w:cs="Times New Roman"/>
                <w:snapToGrid w:val="0"/>
                <w:sz w:val="21"/>
                <w:szCs w:val="21"/>
              </w:rPr>
            </w:pPr>
          </w:p>
        </w:tc>
        <w:tc>
          <w:tcPr>
            <w:tcW w:w="923" w:type="pct"/>
            <w:shd w:val="clear" w:color="auto" w:fill="auto"/>
            <w:vAlign w:val="center"/>
          </w:tcPr>
          <w:p w14:paraId="30F25F9C">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0.05×10</w:t>
            </w:r>
            <w:r>
              <w:rPr>
                <w:rFonts w:ascii="Times New Roman" w:hAnsi="Times New Roman" w:cs="Times New Roman"/>
                <w:snapToGrid w:val="0"/>
                <w:sz w:val="21"/>
                <w:szCs w:val="21"/>
                <w:vertAlign w:val="superscript"/>
              </w:rPr>
              <w:t>-3</w:t>
            </w:r>
          </w:p>
        </w:tc>
        <w:tc>
          <w:tcPr>
            <w:tcW w:w="478" w:type="pct"/>
            <w:vMerge w:val="continue"/>
            <w:shd w:val="clear" w:color="auto" w:fill="auto"/>
            <w:vAlign w:val="center"/>
          </w:tcPr>
          <w:p w14:paraId="5D4AB245">
            <w:pPr>
              <w:spacing w:line="240" w:lineRule="exact"/>
              <w:jc w:val="center"/>
              <w:rPr>
                <w:rFonts w:ascii="Times New Roman" w:hAnsi="Times New Roman" w:cs="Times New Roman"/>
                <w:snapToGrid w:val="0"/>
                <w:sz w:val="21"/>
                <w:szCs w:val="21"/>
              </w:rPr>
            </w:pPr>
          </w:p>
        </w:tc>
      </w:tr>
      <w:tr w14:paraId="11DA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714" w:type="pct"/>
            <w:shd w:val="clear" w:color="auto" w:fill="auto"/>
            <w:vAlign w:val="center"/>
          </w:tcPr>
          <w:p w14:paraId="19E80422">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非甲烷总烃</w:t>
            </w:r>
          </w:p>
        </w:tc>
        <w:tc>
          <w:tcPr>
            <w:tcW w:w="834" w:type="pct"/>
            <w:shd w:val="clear" w:color="auto" w:fill="auto"/>
            <w:vAlign w:val="center"/>
          </w:tcPr>
          <w:p w14:paraId="74F348BE">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120</w:t>
            </w:r>
          </w:p>
        </w:tc>
        <w:tc>
          <w:tcPr>
            <w:tcW w:w="702" w:type="pct"/>
            <w:shd w:val="clear" w:color="auto" w:fill="auto"/>
            <w:vAlign w:val="center"/>
          </w:tcPr>
          <w:p w14:paraId="343A8A4C">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820" w:type="pct"/>
            <w:shd w:val="clear" w:color="auto" w:fill="auto"/>
            <w:vAlign w:val="center"/>
          </w:tcPr>
          <w:p w14:paraId="44D86764">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w:t>
            </w:r>
          </w:p>
        </w:tc>
        <w:tc>
          <w:tcPr>
            <w:tcW w:w="529" w:type="pct"/>
            <w:vMerge w:val="continue"/>
            <w:shd w:val="clear" w:color="auto" w:fill="auto"/>
            <w:vAlign w:val="center"/>
          </w:tcPr>
          <w:p w14:paraId="3D0342BE">
            <w:pPr>
              <w:spacing w:line="240" w:lineRule="exact"/>
              <w:jc w:val="center"/>
              <w:rPr>
                <w:rFonts w:ascii="Times New Roman" w:hAnsi="Times New Roman" w:cs="Times New Roman"/>
                <w:snapToGrid w:val="0"/>
                <w:sz w:val="21"/>
                <w:szCs w:val="21"/>
              </w:rPr>
            </w:pPr>
          </w:p>
        </w:tc>
        <w:tc>
          <w:tcPr>
            <w:tcW w:w="923" w:type="pct"/>
            <w:shd w:val="clear" w:color="auto" w:fill="auto"/>
            <w:vAlign w:val="center"/>
          </w:tcPr>
          <w:p w14:paraId="41243D94">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4.0</w:t>
            </w:r>
          </w:p>
        </w:tc>
        <w:tc>
          <w:tcPr>
            <w:tcW w:w="478" w:type="pct"/>
            <w:vMerge w:val="continue"/>
            <w:shd w:val="clear" w:color="auto" w:fill="auto"/>
            <w:vAlign w:val="center"/>
          </w:tcPr>
          <w:p w14:paraId="265B2657">
            <w:pPr>
              <w:spacing w:line="240" w:lineRule="exact"/>
              <w:jc w:val="center"/>
              <w:rPr>
                <w:rFonts w:ascii="Times New Roman" w:hAnsi="Times New Roman" w:cs="Times New Roman"/>
                <w:snapToGrid w:val="0"/>
                <w:sz w:val="21"/>
                <w:szCs w:val="21"/>
              </w:rPr>
            </w:pPr>
          </w:p>
        </w:tc>
      </w:tr>
      <w:tr w14:paraId="63D8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000" w:type="pct"/>
            <w:gridSpan w:val="7"/>
            <w:shd w:val="clear" w:color="auto" w:fill="auto"/>
            <w:vAlign w:val="center"/>
          </w:tcPr>
          <w:p w14:paraId="0D467A8E">
            <w:pPr>
              <w:pStyle w:val="22"/>
              <w:adjustRightInd w:val="0"/>
              <w:snapToGrid w:val="0"/>
              <w:spacing w:line="240" w:lineRule="exact"/>
              <w:jc w:val="center"/>
              <w:rPr>
                <w:rFonts w:ascii="Times New Roman" w:hAnsi="Times New Roman" w:cs="Times New Roman"/>
                <w:snapToGrid w:val="0"/>
                <w:sz w:val="21"/>
                <w:szCs w:val="21"/>
              </w:rPr>
            </w:pPr>
            <w:r>
              <w:rPr>
                <w:rFonts w:ascii="Times New Roman" w:hAnsi="Times New Roman" w:cs="Times New Roman"/>
                <w:sz w:val="24"/>
                <w:szCs w:val="21"/>
              </w:rPr>
              <w:t>水泥工业大气污染物排放标准单位：mg/m</w:t>
            </w:r>
            <w:r>
              <w:rPr>
                <w:rFonts w:ascii="Times New Roman" w:hAnsi="Times New Roman" w:cs="Times New Roman"/>
                <w:sz w:val="24"/>
                <w:szCs w:val="21"/>
                <w:vertAlign w:val="superscript"/>
              </w:rPr>
              <w:t>3</w:t>
            </w:r>
          </w:p>
        </w:tc>
      </w:tr>
      <w:tr w14:paraId="188A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48" w:type="pct"/>
            <w:gridSpan w:val="2"/>
            <w:shd w:val="clear" w:color="auto" w:fill="auto"/>
            <w:vAlign w:val="center"/>
          </w:tcPr>
          <w:p w14:paraId="7E2218AF">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生产过程</w:t>
            </w:r>
          </w:p>
        </w:tc>
        <w:tc>
          <w:tcPr>
            <w:tcW w:w="1523" w:type="pct"/>
            <w:gridSpan w:val="2"/>
            <w:shd w:val="clear" w:color="auto" w:fill="auto"/>
            <w:vAlign w:val="center"/>
          </w:tcPr>
          <w:p w14:paraId="7D19FA51">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生产设备</w:t>
            </w:r>
          </w:p>
        </w:tc>
        <w:tc>
          <w:tcPr>
            <w:tcW w:w="1930" w:type="pct"/>
            <w:gridSpan w:val="3"/>
            <w:shd w:val="clear" w:color="auto" w:fill="auto"/>
            <w:vAlign w:val="center"/>
          </w:tcPr>
          <w:p w14:paraId="68A4E24B">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颗粒物</w:t>
            </w:r>
          </w:p>
        </w:tc>
      </w:tr>
      <w:tr w14:paraId="4675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548" w:type="pct"/>
            <w:gridSpan w:val="2"/>
            <w:shd w:val="clear" w:color="auto" w:fill="auto"/>
            <w:vAlign w:val="center"/>
          </w:tcPr>
          <w:p w14:paraId="0DDC6D5E">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水泥制品生产</w:t>
            </w:r>
          </w:p>
        </w:tc>
        <w:tc>
          <w:tcPr>
            <w:tcW w:w="1523" w:type="pct"/>
            <w:gridSpan w:val="2"/>
            <w:shd w:val="clear" w:color="auto" w:fill="auto"/>
            <w:vAlign w:val="center"/>
          </w:tcPr>
          <w:p w14:paraId="5C5C6552">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水泥仓及其他通风生产设备</w:t>
            </w:r>
          </w:p>
        </w:tc>
        <w:tc>
          <w:tcPr>
            <w:tcW w:w="1930" w:type="pct"/>
            <w:gridSpan w:val="3"/>
            <w:shd w:val="clear" w:color="auto" w:fill="auto"/>
            <w:vAlign w:val="center"/>
          </w:tcPr>
          <w:p w14:paraId="5FA7E124">
            <w:pPr>
              <w:spacing w:line="240" w:lineRule="exact"/>
              <w:jc w:val="center"/>
              <w:rPr>
                <w:rFonts w:ascii="Times New Roman" w:hAnsi="Times New Roman" w:cs="Times New Roman"/>
                <w:snapToGrid w:val="0"/>
                <w:sz w:val="21"/>
                <w:szCs w:val="21"/>
              </w:rPr>
            </w:pPr>
            <w:r>
              <w:rPr>
                <w:rFonts w:ascii="Times New Roman" w:hAnsi="Times New Roman" w:cs="Times New Roman"/>
                <w:snapToGrid w:val="0"/>
                <w:sz w:val="21"/>
                <w:szCs w:val="21"/>
              </w:rPr>
              <w:t>20</w:t>
            </w:r>
          </w:p>
        </w:tc>
      </w:tr>
    </w:tbl>
    <w:p w14:paraId="11A37007">
      <w:pPr>
        <w:pStyle w:val="734"/>
        <w:spacing w:line="360" w:lineRule="auto"/>
        <w:jc w:val="both"/>
        <w:rPr>
          <w:rFonts w:ascii="Times New Roman" w:hAnsi="Times New Roman" w:cs="Times New Roman"/>
        </w:rPr>
      </w:pPr>
      <w:r>
        <w:rPr>
          <w:rFonts w:ascii="Times New Roman" w:hAnsi="Times New Roman" w:cs="Times New Roman"/>
        </w:rPr>
        <w:t>（二）废水</w:t>
      </w:r>
      <w:bookmarkEnd w:id="175"/>
      <w:bookmarkEnd w:id="176"/>
      <w:bookmarkEnd w:id="177"/>
    </w:p>
    <w:p w14:paraId="460D7C9B">
      <w:pPr>
        <w:pStyle w:val="734"/>
        <w:spacing w:line="360" w:lineRule="auto"/>
        <w:jc w:val="both"/>
        <w:rPr>
          <w:rFonts w:ascii="Times New Roman" w:hAnsi="Times New Roman" w:cs="Times New Roman"/>
        </w:rPr>
      </w:pPr>
      <w:bookmarkStart w:id="178" w:name="_Toc247338699"/>
      <w:bookmarkStart w:id="179" w:name="_Toc246436466"/>
      <w:bookmarkStart w:id="180" w:name="_Toc247448074"/>
      <w:r>
        <w:rPr>
          <w:rFonts w:ascii="Times New Roman" w:hAnsi="Times New Roman" w:cs="Times New Roman"/>
        </w:rPr>
        <w:t>对于施工期生产废水的处理，在施工场地内设置废水沉淀池，将废水集中收集排入沉淀池，经沉淀处理后回用于场区洒水降尘或蒸发消耗。</w:t>
      </w:r>
    </w:p>
    <w:p w14:paraId="6CBF5A7E">
      <w:pPr>
        <w:pStyle w:val="734"/>
        <w:spacing w:line="360" w:lineRule="auto"/>
        <w:jc w:val="both"/>
        <w:rPr>
          <w:rFonts w:ascii="Times New Roman" w:hAnsi="Times New Roman" w:cs="Times New Roman"/>
        </w:rPr>
      </w:pPr>
      <w:r>
        <w:rPr>
          <w:rFonts w:hint="eastAsia" w:ascii="Times New Roman" w:hAnsi="Times New Roman" w:cs="Times New Roman"/>
        </w:rPr>
        <w:t>施工期生活污水采用一体化化粪池处理，施工生活污水执行《污水综合排放标准》（</w:t>
      </w:r>
      <w:r>
        <w:rPr>
          <w:rFonts w:ascii="Times New Roman" w:hAnsi="Times New Roman" w:cs="Times New Roman"/>
        </w:rPr>
        <w:t>GB8978—1996）三级标准</w:t>
      </w:r>
      <w:r>
        <w:rPr>
          <w:rFonts w:hint="eastAsia" w:ascii="Times New Roman" w:hAnsi="Times New Roman" w:cs="Times New Roman"/>
        </w:rPr>
        <w:t>。</w:t>
      </w:r>
    </w:p>
    <w:p w14:paraId="4D05AF6E">
      <w:pPr>
        <w:pStyle w:val="734"/>
        <w:spacing w:line="360" w:lineRule="auto"/>
        <w:jc w:val="both"/>
        <w:rPr>
          <w:rFonts w:ascii="Times New Roman" w:hAnsi="Times New Roman" w:cs="Times New Roman"/>
        </w:rPr>
      </w:pPr>
      <w:r>
        <w:rPr>
          <w:rFonts w:ascii="Times New Roman" w:hAnsi="Times New Roman" w:cs="Times New Roman"/>
        </w:rPr>
        <w:t>（三）噪声</w:t>
      </w:r>
      <w:bookmarkEnd w:id="178"/>
      <w:bookmarkEnd w:id="179"/>
      <w:bookmarkEnd w:id="180"/>
    </w:p>
    <w:p w14:paraId="6E27F5C3">
      <w:pPr>
        <w:pStyle w:val="734"/>
        <w:spacing w:line="360" w:lineRule="auto"/>
        <w:jc w:val="both"/>
        <w:rPr>
          <w:rFonts w:ascii="Times New Roman" w:hAnsi="Times New Roman" w:cs="Times New Roman"/>
        </w:rPr>
      </w:pPr>
      <w:bookmarkStart w:id="181" w:name="_Toc232174677"/>
      <w:bookmarkStart w:id="182" w:name="_Toc247338700"/>
      <w:bookmarkStart w:id="183" w:name="_Toc236649050"/>
      <w:bookmarkStart w:id="184" w:name="_Toc236793742"/>
      <w:bookmarkStart w:id="185" w:name="_Toc232833526"/>
      <w:bookmarkStart w:id="186" w:name="_Toc233281741"/>
      <w:bookmarkStart w:id="187" w:name="_Toc246436467"/>
      <w:bookmarkStart w:id="188" w:name="_Toc247448075"/>
      <w:r>
        <w:rPr>
          <w:rFonts w:ascii="Times New Roman" w:hAnsi="Times New Roman" w:cs="Times New Roman"/>
        </w:rPr>
        <w:t>施工期噪声执行《建筑施工场界环境噪声排放标准》（GB12523-2011），即昼间≤70dB(A)，夜间≤55dB(A)。根据</w:t>
      </w:r>
      <w:r>
        <w:fldChar w:fldCharType="begin"/>
      </w:r>
      <w:r>
        <w:instrText xml:space="preserve"> HYPERLINK "http://www.zhb.gov.cn/gkml/hbb/bgg/201112/W020111222564464175052.pdf" </w:instrText>
      </w:r>
      <w:r>
        <w:fldChar w:fldCharType="separate"/>
      </w:r>
      <w:r>
        <w:rPr>
          <w:rFonts w:ascii="Times New Roman" w:hAnsi="Times New Roman" w:cs="Times New Roman"/>
        </w:rPr>
        <w:t>GB12523-2011</w:t>
      </w:r>
      <w:r>
        <w:rPr>
          <w:rFonts w:ascii="Times New Roman" w:hAnsi="Times New Roman" w:cs="Times New Roman"/>
        </w:rPr>
        <w:fldChar w:fldCharType="end"/>
      </w:r>
      <w:r>
        <w:rPr>
          <w:rFonts w:ascii="Times New Roman" w:hAnsi="Times New Roman" w:cs="Times New Roman"/>
        </w:rPr>
        <w:t>中4.2要求，夜间噪声最大声级超过限值的幅度不得高于15dB(A)。</w:t>
      </w:r>
    </w:p>
    <w:p w14:paraId="0E0C1BC6">
      <w:pPr>
        <w:spacing w:line="360" w:lineRule="auto"/>
        <w:ind w:firstLine="480" w:firstLineChars="200"/>
        <w:jc w:val="both"/>
        <w:rPr>
          <w:rFonts w:ascii="Times New Roman" w:hAnsi="Times New Roman" w:cs="Times New Roman"/>
        </w:rPr>
      </w:pPr>
      <w:r>
        <w:rPr>
          <w:rFonts w:ascii="Times New Roman" w:hAnsi="Times New Roman" w:cs="Times New Roman"/>
        </w:rPr>
        <w:t>营运期道路沿线区域，相邻2类标准适用区域距离拟建道路边界线35m内执行《声环境质量标准》（GB3096-2008）中的4a类标准（昼间≤70dB(A)，夜间≤55dB(A)）；其他区域根据实际情况执行《声环境质量标准》（GB3096-2008）中的2类标准（昼间≤60dB(A)，夜间≤50dB(A)）。</w:t>
      </w:r>
    </w:p>
    <w:p w14:paraId="01923DFF">
      <w:pPr>
        <w:pStyle w:val="734"/>
        <w:spacing w:line="360" w:lineRule="auto"/>
        <w:jc w:val="both"/>
        <w:rPr>
          <w:rFonts w:ascii="Times New Roman" w:hAnsi="Times New Roman" w:cs="Times New Roman"/>
        </w:rPr>
      </w:pPr>
      <w:r>
        <w:rPr>
          <w:rFonts w:ascii="Times New Roman" w:hAnsi="Times New Roman" w:cs="Times New Roman"/>
        </w:rPr>
        <w:t>（四）固体废物</w:t>
      </w:r>
      <w:bookmarkEnd w:id="181"/>
      <w:bookmarkEnd w:id="182"/>
      <w:bookmarkEnd w:id="183"/>
      <w:bookmarkEnd w:id="184"/>
      <w:bookmarkEnd w:id="185"/>
      <w:bookmarkEnd w:id="186"/>
      <w:bookmarkEnd w:id="187"/>
      <w:bookmarkEnd w:id="188"/>
    </w:p>
    <w:p w14:paraId="6261028D">
      <w:pPr>
        <w:pStyle w:val="734"/>
        <w:spacing w:line="360" w:lineRule="auto"/>
        <w:jc w:val="both"/>
        <w:rPr>
          <w:rFonts w:ascii="Times New Roman" w:hAnsi="Times New Roman" w:cs="Times New Roman"/>
        </w:rPr>
      </w:pPr>
      <w:r>
        <w:rPr>
          <w:rFonts w:ascii="Times New Roman" w:hAnsi="Times New Roman" w:cs="Times New Roman"/>
        </w:rPr>
        <w:t>本项目一般固体废物的处置执行《一般工业固体废物贮存和填埋污染控制标准》（GB18599-2020）中的有关规定。</w:t>
      </w:r>
    </w:p>
    <w:p w14:paraId="3EABCDCA">
      <w:pPr>
        <w:pStyle w:val="3"/>
        <w:adjustRightInd w:val="0"/>
        <w:snapToGrid w:val="0"/>
        <w:spacing w:before="156" w:after="156" w:line="240" w:lineRule="auto"/>
        <w:rPr>
          <w:rFonts w:ascii="Times New Roman" w:hAnsi="Times New Roman" w:cs="Times New Roman"/>
        </w:rPr>
      </w:pPr>
      <w:bookmarkStart w:id="189" w:name="_Toc4507840"/>
      <w:bookmarkStart w:id="190" w:name="_Toc187675411"/>
      <w:bookmarkStart w:id="191" w:name="_Toc98413487"/>
      <w:r>
        <w:rPr>
          <w:rFonts w:ascii="Times New Roman" w:hAnsi="Times New Roman" w:cs="Times New Roman"/>
        </w:rPr>
        <w:t>2.4评价工作等级和评价范围</w:t>
      </w:r>
      <w:bookmarkEnd w:id="189"/>
      <w:bookmarkEnd w:id="190"/>
      <w:bookmarkEnd w:id="191"/>
    </w:p>
    <w:p w14:paraId="60029945">
      <w:pPr>
        <w:pStyle w:val="4"/>
        <w:adjustRightInd w:val="0"/>
        <w:snapToGrid w:val="0"/>
        <w:spacing w:before="156" w:after="156" w:line="240" w:lineRule="auto"/>
        <w:rPr>
          <w:rFonts w:ascii="Times New Roman" w:hAnsi="Times New Roman" w:cs="Times New Roman"/>
        </w:rPr>
      </w:pPr>
      <w:bookmarkStart w:id="192" w:name="_Toc98414170"/>
      <w:bookmarkStart w:id="193" w:name="_Toc34989534"/>
      <w:bookmarkStart w:id="194" w:name="_Toc57826700"/>
      <w:bookmarkStart w:id="195" w:name="_Toc98413488"/>
      <w:bookmarkStart w:id="196" w:name="_Toc97464593"/>
      <w:r>
        <w:rPr>
          <w:rFonts w:ascii="Times New Roman" w:hAnsi="Times New Roman" w:cs="Times New Roman"/>
        </w:rPr>
        <w:t>2.4.1评价工作等级</w:t>
      </w:r>
      <w:bookmarkEnd w:id="192"/>
      <w:bookmarkEnd w:id="193"/>
      <w:bookmarkEnd w:id="194"/>
      <w:bookmarkEnd w:id="195"/>
      <w:bookmarkEnd w:id="196"/>
    </w:p>
    <w:p w14:paraId="5EBED291">
      <w:pPr>
        <w:pStyle w:val="5"/>
        <w:snapToGrid w:val="0"/>
        <w:spacing w:before="156" w:after="156" w:line="240" w:lineRule="auto"/>
        <w:rPr>
          <w:rFonts w:ascii="Times New Roman" w:hAnsi="Times New Roman" w:cs="Times New Roman"/>
          <w:i w:val="0"/>
        </w:rPr>
      </w:pPr>
      <w:bookmarkStart w:id="197" w:name="_Hlk172286531"/>
      <w:bookmarkStart w:id="198" w:name="_Toc232833576"/>
      <w:bookmarkStart w:id="199" w:name="_Toc236649055"/>
      <w:bookmarkStart w:id="200" w:name="_Toc232174727"/>
      <w:bookmarkStart w:id="201" w:name="_Toc233281791"/>
      <w:bookmarkStart w:id="202" w:name="_Toc236649100"/>
      <w:bookmarkStart w:id="203" w:name="_Toc247448157"/>
      <w:bookmarkStart w:id="204" w:name="_Toc247338782"/>
      <w:bookmarkStart w:id="205" w:name="_Toc236793792"/>
      <w:bookmarkStart w:id="206" w:name="_Toc247448123"/>
      <w:bookmarkStart w:id="207" w:name="_Toc246436515"/>
      <w:bookmarkStart w:id="208" w:name="_Toc246436549"/>
      <w:bookmarkStart w:id="209" w:name="_Toc236793747"/>
      <w:bookmarkStart w:id="210" w:name="_Toc247338748"/>
      <w:bookmarkStart w:id="211" w:name="_Toc233281746"/>
      <w:r>
        <w:rPr>
          <w:rFonts w:ascii="Times New Roman" w:hAnsi="Times New Roman" w:cs="Times New Roman"/>
          <w:i w:val="0"/>
        </w:rPr>
        <w:t>2.4.1.1生态环境评价工作等级</w:t>
      </w:r>
    </w:p>
    <w:p w14:paraId="59A0F119">
      <w:pPr>
        <w:spacing w:line="360" w:lineRule="auto"/>
        <w:ind w:firstLine="482"/>
        <w:rPr>
          <w:rFonts w:ascii="Times New Roman" w:hAnsi="Times New Roman" w:cs="Times New Roman"/>
        </w:rPr>
      </w:pPr>
      <w:r>
        <w:rPr>
          <w:rFonts w:ascii="Times New Roman" w:hAnsi="Times New Roman" w:cs="Times New Roman"/>
        </w:rPr>
        <w:t>根据《环境影响评价技术导则 公路建设项目（HJ1358-2024）》7.1.1节，生态影响评价等级判定见下表：</w:t>
      </w:r>
    </w:p>
    <w:p w14:paraId="0E4E1F8E">
      <w:pPr>
        <w:jc w:val="center"/>
        <w:rPr>
          <w:rFonts w:ascii="黑体" w:hAnsi="黑体" w:eastAsia="黑体" w:cs="Times New Roman"/>
          <w:sz w:val="21"/>
        </w:rPr>
      </w:pPr>
      <w:r>
        <w:rPr>
          <w:rFonts w:ascii="黑体" w:hAnsi="黑体" w:eastAsia="黑体" w:cs="Times New Roman"/>
        </w:rPr>
        <w:t>表2.4-1  生态影响评价工作等级划的原则及项目等级的判定</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206"/>
        <w:gridCol w:w="3541"/>
      </w:tblGrid>
      <w:tr w14:paraId="5F7B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shd w:val="clear" w:color="auto" w:fill="auto"/>
            <w:vAlign w:val="center"/>
          </w:tcPr>
          <w:p w14:paraId="661D4B66">
            <w:pPr>
              <w:spacing w:line="200" w:lineRule="exact"/>
              <w:jc w:val="center"/>
              <w:rPr>
                <w:rFonts w:ascii="Times New Roman" w:hAnsi="Times New Roman" w:cs="Times New Roman"/>
                <w:sz w:val="21"/>
                <w:szCs w:val="18"/>
              </w:rPr>
            </w:pPr>
            <w:r>
              <w:rPr>
                <w:rFonts w:ascii="Times New Roman" w:hAnsi="Times New Roman" w:cs="Times New Roman"/>
                <w:sz w:val="21"/>
                <w:szCs w:val="18"/>
              </w:rPr>
              <w:t>序号</w:t>
            </w:r>
          </w:p>
        </w:tc>
        <w:tc>
          <w:tcPr>
            <w:tcW w:w="2466" w:type="pct"/>
            <w:vAlign w:val="center"/>
          </w:tcPr>
          <w:p w14:paraId="0CE26678">
            <w:pPr>
              <w:spacing w:line="200" w:lineRule="exact"/>
              <w:jc w:val="center"/>
              <w:rPr>
                <w:rFonts w:ascii="Times New Roman" w:hAnsi="Times New Roman" w:cs="Times New Roman"/>
                <w:sz w:val="21"/>
                <w:szCs w:val="18"/>
              </w:rPr>
            </w:pPr>
            <w:r>
              <w:rPr>
                <w:rFonts w:ascii="Times New Roman" w:hAnsi="Times New Roman" w:cs="Times New Roman"/>
                <w:sz w:val="21"/>
                <w:szCs w:val="18"/>
              </w:rPr>
              <w:t>划分原则</w:t>
            </w:r>
          </w:p>
        </w:tc>
        <w:tc>
          <w:tcPr>
            <w:tcW w:w="2076" w:type="pct"/>
            <w:shd w:val="clear" w:color="auto" w:fill="auto"/>
            <w:vAlign w:val="center"/>
          </w:tcPr>
          <w:p w14:paraId="6481B7F9">
            <w:pPr>
              <w:spacing w:line="200" w:lineRule="exact"/>
              <w:jc w:val="center"/>
              <w:rPr>
                <w:rFonts w:ascii="Times New Roman" w:hAnsi="Times New Roman" w:cs="Times New Roman"/>
                <w:sz w:val="21"/>
                <w:szCs w:val="18"/>
              </w:rPr>
            </w:pPr>
            <w:r>
              <w:rPr>
                <w:rFonts w:ascii="Times New Roman" w:hAnsi="Times New Roman" w:cs="Times New Roman"/>
                <w:sz w:val="21"/>
                <w:szCs w:val="18"/>
              </w:rPr>
              <w:t>是否涉及</w:t>
            </w:r>
          </w:p>
        </w:tc>
      </w:tr>
      <w:tr w14:paraId="09637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58" w:type="pct"/>
            <w:shd w:val="clear" w:color="auto" w:fill="auto"/>
            <w:vAlign w:val="center"/>
          </w:tcPr>
          <w:p w14:paraId="28022971">
            <w:pPr>
              <w:spacing w:line="200" w:lineRule="exact"/>
              <w:jc w:val="center"/>
              <w:rPr>
                <w:rFonts w:ascii="Times New Roman" w:hAnsi="Times New Roman" w:cs="Times New Roman"/>
                <w:sz w:val="21"/>
                <w:szCs w:val="18"/>
              </w:rPr>
            </w:pPr>
            <w:r>
              <w:rPr>
                <w:rFonts w:ascii="Times New Roman" w:hAnsi="Times New Roman" w:cs="Times New Roman"/>
                <w:sz w:val="21"/>
                <w:szCs w:val="18"/>
              </w:rPr>
              <w:t>1</w:t>
            </w:r>
          </w:p>
        </w:tc>
        <w:tc>
          <w:tcPr>
            <w:tcW w:w="2466" w:type="pct"/>
            <w:vAlign w:val="center"/>
          </w:tcPr>
          <w:p w14:paraId="75FCAF29">
            <w:pPr>
              <w:spacing w:line="200" w:lineRule="exact"/>
              <w:jc w:val="both"/>
              <w:rPr>
                <w:rFonts w:ascii="Times New Roman" w:hAnsi="Times New Roman" w:cs="Times New Roman"/>
                <w:sz w:val="21"/>
                <w:szCs w:val="18"/>
              </w:rPr>
            </w:pPr>
            <w:r>
              <w:rPr>
                <w:rFonts w:ascii="Times New Roman" w:hAnsi="Times New Roman" w:cs="Times New Roman"/>
                <w:sz w:val="21"/>
                <w:szCs w:val="18"/>
              </w:rPr>
              <w:t>涉及国家公园、自然保护区、世界自然遗产、重要生境时，评价等级为一级</w:t>
            </w:r>
          </w:p>
        </w:tc>
        <w:tc>
          <w:tcPr>
            <w:tcW w:w="2076" w:type="pct"/>
            <w:shd w:val="clear" w:color="auto" w:fill="auto"/>
            <w:vAlign w:val="center"/>
          </w:tcPr>
          <w:p w14:paraId="79D8B34C">
            <w:pPr>
              <w:spacing w:line="200" w:lineRule="exact"/>
              <w:jc w:val="both"/>
              <w:rPr>
                <w:rFonts w:ascii="Times New Roman" w:hAnsi="Times New Roman" w:cs="Times New Roman"/>
                <w:sz w:val="21"/>
                <w:szCs w:val="18"/>
              </w:rPr>
            </w:pPr>
            <w:r>
              <w:rPr>
                <w:rFonts w:ascii="Times New Roman" w:hAnsi="Times New Roman" w:cs="Times New Roman"/>
                <w:sz w:val="21"/>
                <w:szCs w:val="18"/>
              </w:rPr>
              <w:t>否</w:t>
            </w:r>
          </w:p>
        </w:tc>
      </w:tr>
      <w:tr w14:paraId="3C8B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shd w:val="clear" w:color="auto" w:fill="auto"/>
            <w:vAlign w:val="center"/>
          </w:tcPr>
          <w:p w14:paraId="46F6F472">
            <w:pPr>
              <w:spacing w:line="200" w:lineRule="exact"/>
              <w:jc w:val="center"/>
              <w:rPr>
                <w:rFonts w:ascii="Times New Roman" w:hAnsi="Times New Roman" w:cs="Times New Roman"/>
                <w:sz w:val="21"/>
                <w:szCs w:val="18"/>
              </w:rPr>
            </w:pPr>
            <w:r>
              <w:rPr>
                <w:rFonts w:ascii="Times New Roman" w:hAnsi="Times New Roman" w:cs="Times New Roman"/>
                <w:sz w:val="21"/>
                <w:szCs w:val="18"/>
              </w:rPr>
              <w:t>2</w:t>
            </w:r>
          </w:p>
        </w:tc>
        <w:tc>
          <w:tcPr>
            <w:tcW w:w="2466" w:type="pct"/>
            <w:vAlign w:val="center"/>
          </w:tcPr>
          <w:p w14:paraId="0B0C98E0">
            <w:pPr>
              <w:spacing w:line="200" w:lineRule="exact"/>
              <w:jc w:val="both"/>
              <w:rPr>
                <w:rFonts w:ascii="Times New Roman" w:hAnsi="Times New Roman" w:cs="Times New Roman"/>
                <w:sz w:val="21"/>
                <w:szCs w:val="18"/>
              </w:rPr>
            </w:pPr>
            <w:r>
              <w:rPr>
                <w:rFonts w:ascii="Times New Roman" w:hAnsi="Times New Roman" w:cs="Times New Roman"/>
                <w:sz w:val="21"/>
                <w:szCs w:val="18"/>
              </w:rPr>
              <w:t>涉及自然公园时，评价等级为二级</w:t>
            </w:r>
          </w:p>
        </w:tc>
        <w:tc>
          <w:tcPr>
            <w:tcW w:w="2076" w:type="pct"/>
            <w:shd w:val="clear" w:color="auto" w:fill="auto"/>
            <w:vAlign w:val="center"/>
          </w:tcPr>
          <w:p w14:paraId="7D518C95">
            <w:pPr>
              <w:spacing w:line="200" w:lineRule="exact"/>
              <w:jc w:val="both"/>
              <w:rPr>
                <w:rFonts w:ascii="Times New Roman" w:hAnsi="Times New Roman" w:cs="Times New Roman"/>
                <w:sz w:val="21"/>
                <w:szCs w:val="18"/>
              </w:rPr>
            </w:pPr>
            <w:r>
              <w:rPr>
                <w:rFonts w:ascii="Times New Roman" w:hAnsi="Times New Roman" w:cs="Times New Roman"/>
                <w:sz w:val="21"/>
                <w:szCs w:val="18"/>
              </w:rPr>
              <w:t>否</w:t>
            </w:r>
          </w:p>
        </w:tc>
      </w:tr>
      <w:tr w14:paraId="538B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vMerge w:val="restart"/>
            <w:shd w:val="clear" w:color="auto" w:fill="auto"/>
            <w:vAlign w:val="center"/>
          </w:tcPr>
          <w:p w14:paraId="42656314">
            <w:pPr>
              <w:spacing w:line="200" w:lineRule="exact"/>
              <w:jc w:val="center"/>
              <w:rPr>
                <w:rFonts w:ascii="Times New Roman" w:hAnsi="Times New Roman" w:cs="Times New Roman"/>
                <w:sz w:val="21"/>
                <w:szCs w:val="18"/>
              </w:rPr>
            </w:pPr>
            <w:r>
              <w:rPr>
                <w:rFonts w:ascii="Times New Roman" w:hAnsi="Times New Roman" w:cs="Times New Roman"/>
                <w:sz w:val="21"/>
                <w:szCs w:val="18"/>
              </w:rPr>
              <w:t>3</w:t>
            </w:r>
          </w:p>
        </w:tc>
        <w:tc>
          <w:tcPr>
            <w:tcW w:w="2466" w:type="pct"/>
            <w:vAlign w:val="center"/>
          </w:tcPr>
          <w:p w14:paraId="4696C670">
            <w:pPr>
              <w:spacing w:line="200" w:lineRule="exact"/>
              <w:jc w:val="both"/>
              <w:rPr>
                <w:rFonts w:ascii="Times New Roman" w:hAnsi="Times New Roman" w:cs="Times New Roman"/>
                <w:sz w:val="21"/>
                <w:szCs w:val="18"/>
              </w:rPr>
            </w:pPr>
            <w:r>
              <w:rPr>
                <w:rFonts w:ascii="Times New Roman" w:hAnsi="Times New Roman" w:cs="Times New Roman"/>
                <w:sz w:val="21"/>
                <w:szCs w:val="18"/>
              </w:rPr>
              <w:t>涉及生态保护红线</w:t>
            </w:r>
          </w:p>
        </w:tc>
        <w:tc>
          <w:tcPr>
            <w:tcW w:w="2076" w:type="pct"/>
            <w:shd w:val="clear" w:color="auto" w:fill="auto"/>
            <w:vAlign w:val="center"/>
          </w:tcPr>
          <w:p w14:paraId="21479E2A">
            <w:pPr>
              <w:spacing w:line="200" w:lineRule="exact"/>
              <w:jc w:val="both"/>
              <w:rPr>
                <w:rFonts w:ascii="Times New Roman" w:hAnsi="Times New Roman" w:cs="Times New Roman"/>
                <w:sz w:val="21"/>
                <w:szCs w:val="18"/>
              </w:rPr>
            </w:pPr>
            <w:r>
              <w:rPr>
                <w:rFonts w:ascii="Times New Roman" w:hAnsi="Times New Roman" w:cs="Times New Roman"/>
                <w:sz w:val="21"/>
                <w:szCs w:val="18"/>
              </w:rPr>
              <w:t>否</w:t>
            </w:r>
          </w:p>
        </w:tc>
      </w:tr>
      <w:tr w14:paraId="3635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458" w:type="pct"/>
            <w:vMerge w:val="continue"/>
            <w:shd w:val="clear" w:color="auto" w:fill="auto"/>
            <w:vAlign w:val="center"/>
          </w:tcPr>
          <w:p w14:paraId="2A80F9F9">
            <w:pPr>
              <w:spacing w:line="200" w:lineRule="exact"/>
              <w:jc w:val="center"/>
              <w:rPr>
                <w:rFonts w:ascii="Times New Roman" w:hAnsi="Times New Roman" w:cs="Times New Roman"/>
                <w:sz w:val="21"/>
                <w:szCs w:val="18"/>
              </w:rPr>
            </w:pPr>
          </w:p>
        </w:tc>
        <w:tc>
          <w:tcPr>
            <w:tcW w:w="2466" w:type="pct"/>
            <w:vAlign w:val="center"/>
          </w:tcPr>
          <w:p w14:paraId="31028B24">
            <w:pPr>
              <w:spacing w:line="200" w:lineRule="exact"/>
              <w:jc w:val="both"/>
              <w:rPr>
                <w:rFonts w:ascii="Times New Roman" w:hAnsi="Times New Roman" w:cs="Times New Roman"/>
                <w:sz w:val="21"/>
                <w:szCs w:val="18"/>
              </w:rPr>
            </w:pPr>
            <w:r>
              <w:rPr>
                <w:rFonts w:ascii="Times New Roman" w:hAnsi="Times New Roman" w:cs="Times New Roman"/>
                <w:sz w:val="21"/>
                <w:szCs w:val="18"/>
              </w:rPr>
              <w:t>占地规模大于20km</w:t>
            </w:r>
            <w:r>
              <w:rPr>
                <w:rFonts w:ascii="Times New Roman" w:hAnsi="Times New Roman" w:cs="Times New Roman"/>
                <w:sz w:val="21"/>
                <w:szCs w:val="18"/>
                <w:vertAlign w:val="superscript"/>
              </w:rPr>
              <w:t>2</w:t>
            </w:r>
            <w:r>
              <w:rPr>
                <w:rFonts w:ascii="Times New Roman" w:hAnsi="Times New Roman" w:cs="Times New Roman"/>
                <w:sz w:val="21"/>
                <w:szCs w:val="18"/>
              </w:rPr>
              <w:t>时（包括永久和临时占用陆域和水域）</w:t>
            </w:r>
          </w:p>
        </w:tc>
        <w:tc>
          <w:tcPr>
            <w:tcW w:w="2076" w:type="pct"/>
            <w:shd w:val="clear" w:color="auto" w:fill="auto"/>
            <w:vAlign w:val="center"/>
          </w:tcPr>
          <w:p w14:paraId="49A0BB12">
            <w:pPr>
              <w:spacing w:line="200" w:lineRule="exact"/>
              <w:jc w:val="both"/>
              <w:rPr>
                <w:rFonts w:ascii="Times New Roman" w:hAnsi="Times New Roman" w:cs="Times New Roman"/>
                <w:sz w:val="21"/>
                <w:szCs w:val="18"/>
              </w:rPr>
            </w:pPr>
            <w:r>
              <w:rPr>
                <w:rFonts w:ascii="Times New Roman" w:hAnsi="Times New Roman" w:cs="Times New Roman"/>
                <w:sz w:val="21"/>
                <w:szCs w:val="18"/>
              </w:rPr>
              <w:t>本项目永久占地和临时占地面积共计约1.14km</w:t>
            </w:r>
            <w:r>
              <w:rPr>
                <w:rFonts w:ascii="Times New Roman" w:hAnsi="Times New Roman" w:cs="Times New Roman"/>
                <w:sz w:val="21"/>
                <w:szCs w:val="18"/>
                <w:vertAlign w:val="superscript"/>
              </w:rPr>
              <w:t>2</w:t>
            </w:r>
            <w:r>
              <w:rPr>
                <w:rFonts w:ascii="Times New Roman" w:hAnsi="Times New Roman" w:cs="Times New Roman"/>
                <w:sz w:val="21"/>
                <w:szCs w:val="18"/>
              </w:rPr>
              <w:t>，占地规模小于20km</w:t>
            </w:r>
            <w:r>
              <w:rPr>
                <w:rFonts w:ascii="Times New Roman" w:hAnsi="Times New Roman" w:cs="Times New Roman"/>
                <w:sz w:val="21"/>
                <w:szCs w:val="18"/>
                <w:vertAlign w:val="superscript"/>
              </w:rPr>
              <w:t>2</w:t>
            </w:r>
          </w:p>
        </w:tc>
      </w:tr>
      <w:tr w14:paraId="1430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458" w:type="pct"/>
            <w:vMerge w:val="continue"/>
            <w:shd w:val="clear" w:color="auto" w:fill="auto"/>
            <w:vAlign w:val="center"/>
          </w:tcPr>
          <w:p w14:paraId="3C21718A">
            <w:pPr>
              <w:spacing w:line="200" w:lineRule="exact"/>
              <w:jc w:val="center"/>
              <w:rPr>
                <w:rFonts w:ascii="Times New Roman" w:hAnsi="Times New Roman" w:cs="Times New Roman"/>
                <w:sz w:val="21"/>
                <w:szCs w:val="18"/>
              </w:rPr>
            </w:pPr>
          </w:p>
        </w:tc>
        <w:tc>
          <w:tcPr>
            <w:tcW w:w="2466" w:type="pct"/>
            <w:vAlign w:val="center"/>
          </w:tcPr>
          <w:p w14:paraId="6A0DA17C">
            <w:pPr>
              <w:spacing w:line="200" w:lineRule="exact"/>
              <w:jc w:val="both"/>
              <w:rPr>
                <w:rFonts w:ascii="Times New Roman" w:hAnsi="Times New Roman" w:cs="Times New Roman"/>
                <w:sz w:val="21"/>
                <w:szCs w:val="18"/>
              </w:rPr>
            </w:pPr>
            <w:r>
              <w:rPr>
                <w:rFonts w:ascii="Times New Roman" w:hAnsi="Times New Roman" w:cs="Times New Roman"/>
                <w:sz w:val="21"/>
                <w:szCs w:val="18"/>
              </w:rPr>
              <w:t>根据HJ610、HJ964判断地下水水位或土壤影响范围内分布有天然林、公益林、湿地等生态保护目标的建设项目，生态影响评价等级不低于二级</w:t>
            </w:r>
          </w:p>
        </w:tc>
        <w:tc>
          <w:tcPr>
            <w:tcW w:w="2076" w:type="pct"/>
            <w:shd w:val="clear" w:color="auto" w:fill="auto"/>
            <w:vAlign w:val="center"/>
          </w:tcPr>
          <w:p w14:paraId="27F8F089">
            <w:pPr>
              <w:spacing w:line="200" w:lineRule="exact"/>
              <w:jc w:val="both"/>
              <w:rPr>
                <w:rFonts w:ascii="Times New Roman" w:hAnsi="Times New Roman" w:cs="Times New Roman"/>
                <w:sz w:val="21"/>
                <w:szCs w:val="18"/>
              </w:rPr>
            </w:pPr>
            <w:r>
              <w:rPr>
                <w:rFonts w:ascii="Times New Roman" w:hAnsi="Times New Roman" w:cs="Times New Roman"/>
                <w:sz w:val="21"/>
                <w:szCs w:val="18"/>
              </w:rPr>
              <w:t>根据HJ964、HJ964判断，本项目公路不涉及加油站、不开展土壤和地下水环境影响评价。</w:t>
            </w:r>
          </w:p>
        </w:tc>
      </w:tr>
      <w:tr w14:paraId="2C17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58" w:type="pct"/>
            <w:vMerge w:val="continue"/>
            <w:shd w:val="clear" w:color="auto" w:fill="auto"/>
            <w:vAlign w:val="center"/>
          </w:tcPr>
          <w:p w14:paraId="20D6FE54">
            <w:pPr>
              <w:spacing w:line="200" w:lineRule="exact"/>
              <w:jc w:val="center"/>
              <w:rPr>
                <w:rFonts w:ascii="Times New Roman" w:hAnsi="Times New Roman" w:cs="Times New Roman"/>
                <w:sz w:val="21"/>
                <w:szCs w:val="18"/>
              </w:rPr>
            </w:pPr>
          </w:p>
        </w:tc>
        <w:tc>
          <w:tcPr>
            <w:tcW w:w="2466" w:type="pct"/>
            <w:vAlign w:val="center"/>
          </w:tcPr>
          <w:p w14:paraId="72E79B9A">
            <w:pPr>
              <w:spacing w:line="200" w:lineRule="exact"/>
              <w:jc w:val="both"/>
              <w:rPr>
                <w:rFonts w:ascii="Times New Roman" w:hAnsi="Times New Roman" w:cs="Times New Roman"/>
                <w:sz w:val="21"/>
                <w:szCs w:val="18"/>
              </w:rPr>
            </w:pPr>
            <w:r>
              <w:rPr>
                <w:rFonts w:ascii="Times New Roman" w:hAnsi="Times New Roman" w:cs="Times New Roman"/>
                <w:sz w:val="21"/>
                <w:szCs w:val="18"/>
              </w:rPr>
              <w:t>改扩建项目的占地范围以新增占地（包括陆域和水域）确定。</w:t>
            </w:r>
          </w:p>
        </w:tc>
        <w:tc>
          <w:tcPr>
            <w:tcW w:w="2076" w:type="pct"/>
            <w:shd w:val="clear" w:color="auto" w:fill="auto"/>
            <w:vAlign w:val="center"/>
          </w:tcPr>
          <w:p w14:paraId="3A4960E7">
            <w:pPr>
              <w:spacing w:line="200" w:lineRule="exact"/>
              <w:jc w:val="both"/>
              <w:rPr>
                <w:rFonts w:ascii="Times New Roman" w:hAnsi="Times New Roman" w:cs="Times New Roman"/>
                <w:sz w:val="21"/>
                <w:szCs w:val="18"/>
              </w:rPr>
            </w:pPr>
            <w:r>
              <w:rPr>
                <w:rFonts w:ascii="Times New Roman" w:hAnsi="Times New Roman" w:cs="Times New Roman"/>
                <w:sz w:val="21"/>
                <w:szCs w:val="18"/>
              </w:rPr>
              <w:t>本项目不属于改扩建项目，为新建项目</w:t>
            </w:r>
          </w:p>
        </w:tc>
      </w:tr>
      <w:tr w14:paraId="4C95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58" w:type="pct"/>
            <w:shd w:val="clear" w:color="auto" w:fill="auto"/>
            <w:vAlign w:val="center"/>
          </w:tcPr>
          <w:p w14:paraId="12C2EADD">
            <w:pPr>
              <w:spacing w:line="200" w:lineRule="exact"/>
              <w:jc w:val="center"/>
              <w:rPr>
                <w:rFonts w:ascii="Times New Roman" w:hAnsi="Times New Roman" w:cs="Times New Roman"/>
                <w:sz w:val="21"/>
                <w:szCs w:val="18"/>
              </w:rPr>
            </w:pPr>
            <w:r>
              <w:rPr>
                <w:rFonts w:ascii="Times New Roman" w:hAnsi="Times New Roman" w:cs="Times New Roman"/>
                <w:sz w:val="21"/>
                <w:szCs w:val="18"/>
              </w:rPr>
              <w:t>4</w:t>
            </w:r>
          </w:p>
        </w:tc>
        <w:tc>
          <w:tcPr>
            <w:tcW w:w="2466" w:type="pct"/>
            <w:vAlign w:val="center"/>
          </w:tcPr>
          <w:p w14:paraId="5AB8DF26">
            <w:pPr>
              <w:spacing w:line="200" w:lineRule="exact"/>
              <w:jc w:val="both"/>
              <w:rPr>
                <w:rFonts w:ascii="Times New Roman" w:hAnsi="Times New Roman" w:cs="Times New Roman"/>
                <w:sz w:val="21"/>
                <w:szCs w:val="18"/>
              </w:rPr>
            </w:pPr>
            <w:r>
              <w:rPr>
                <w:rFonts w:hint="eastAsia" w:cs="Times New Roman"/>
                <w:sz w:val="21"/>
                <w:szCs w:val="18"/>
              </w:rPr>
              <w:t>除1</w:t>
            </w:r>
            <w:r>
              <w:rPr>
                <w:rFonts w:cs="Times New Roman"/>
                <w:sz w:val="21"/>
                <w:szCs w:val="18"/>
              </w:rPr>
              <w:t>.2.3</w:t>
            </w:r>
            <w:r>
              <w:rPr>
                <w:rFonts w:hint="eastAsia" w:cs="Times New Roman"/>
                <w:sz w:val="21"/>
                <w:szCs w:val="18"/>
              </w:rPr>
              <w:t>条之外的</w:t>
            </w:r>
            <w:r>
              <w:rPr>
                <w:rFonts w:ascii="Times New Roman" w:hAnsi="Times New Roman" w:cs="Times New Roman"/>
                <w:sz w:val="21"/>
                <w:szCs w:val="18"/>
              </w:rPr>
              <w:t>其他情形，评价等级为三级</w:t>
            </w:r>
          </w:p>
        </w:tc>
        <w:tc>
          <w:tcPr>
            <w:tcW w:w="2076" w:type="pct"/>
            <w:shd w:val="clear" w:color="auto" w:fill="auto"/>
            <w:vAlign w:val="center"/>
          </w:tcPr>
          <w:p w14:paraId="01559DDC">
            <w:pPr>
              <w:spacing w:line="200" w:lineRule="exact"/>
              <w:jc w:val="both"/>
              <w:rPr>
                <w:rFonts w:ascii="Times New Roman" w:hAnsi="Times New Roman" w:cs="Times New Roman"/>
                <w:sz w:val="21"/>
                <w:szCs w:val="18"/>
              </w:rPr>
            </w:pPr>
            <w:r>
              <w:rPr>
                <w:rFonts w:ascii="Times New Roman" w:hAnsi="Times New Roman" w:cs="Times New Roman"/>
                <w:sz w:val="21"/>
                <w:szCs w:val="18"/>
              </w:rPr>
              <w:t>本项目属于其他情形</w:t>
            </w:r>
          </w:p>
        </w:tc>
      </w:tr>
    </w:tbl>
    <w:p w14:paraId="2442553B">
      <w:pPr>
        <w:spacing w:line="360" w:lineRule="auto"/>
        <w:ind w:firstLine="480"/>
        <w:jc w:val="both"/>
        <w:rPr>
          <w:rFonts w:ascii="Times New Roman" w:hAnsi="Times New Roman" w:cs="Times New Roman"/>
        </w:rPr>
      </w:pPr>
      <w:r>
        <w:rPr>
          <w:rFonts w:ascii="Times New Roman" w:hAnsi="Times New Roman" w:cs="Times New Roman"/>
        </w:rPr>
        <w:t>根据上表可知，本项目属于生态环境影响评价工作等级判定的</w:t>
      </w:r>
      <w:r>
        <w:rPr>
          <w:rFonts w:hint="eastAsia" w:ascii="Times New Roman" w:hAnsi="Times New Roman" w:cs="Times New Roman"/>
        </w:rPr>
        <w:t>“</w:t>
      </w:r>
      <w:r>
        <w:rPr>
          <w:rFonts w:ascii="Times New Roman" w:hAnsi="Times New Roman" w:cs="Times New Roman"/>
        </w:rPr>
        <w:t>其他情形</w:t>
      </w:r>
      <w:r>
        <w:rPr>
          <w:rFonts w:hint="eastAsia" w:ascii="Times New Roman" w:hAnsi="Times New Roman" w:cs="Times New Roman"/>
        </w:rPr>
        <w:t>”</w:t>
      </w:r>
      <w:r>
        <w:rPr>
          <w:rFonts w:ascii="Times New Roman" w:hAnsi="Times New Roman" w:cs="Times New Roman"/>
        </w:rPr>
        <w:t>，确定评价等级为三级。</w:t>
      </w:r>
      <w:bookmarkEnd w:id="197"/>
    </w:p>
    <w:p w14:paraId="1FCC9173">
      <w:pPr>
        <w:pStyle w:val="5"/>
        <w:snapToGrid w:val="0"/>
        <w:spacing w:before="156" w:after="156" w:line="240" w:lineRule="auto"/>
        <w:jc w:val="both"/>
        <w:rPr>
          <w:rFonts w:ascii="Times New Roman" w:hAnsi="Times New Roman" w:cs="Times New Roman"/>
          <w:i w:val="0"/>
        </w:rPr>
      </w:pPr>
      <w:bookmarkStart w:id="212" w:name="_Toc232174892"/>
      <w:bookmarkStart w:id="213" w:name="_Toc232833741"/>
      <w:bookmarkStart w:id="214" w:name="_Toc236649245"/>
      <w:bookmarkStart w:id="215" w:name="_Toc236793937"/>
      <w:bookmarkStart w:id="216" w:name="_Toc233281956"/>
      <w:bookmarkStart w:id="217" w:name="_Toc246436634"/>
      <w:bookmarkStart w:id="218" w:name="_Toc247338867"/>
      <w:bookmarkStart w:id="219" w:name="_Toc247448242"/>
      <w:r>
        <w:rPr>
          <w:rFonts w:ascii="Times New Roman" w:hAnsi="Times New Roman" w:cs="Times New Roman"/>
          <w:i w:val="0"/>
        </w:rPr>
        <w:t>2.4.1.2声环境评价工作等级</w:t>
      </w:r>
      <w:bookmarkEnd w:id="212"/>
      <w:bookmarkEnd w:id="213"/>
      <w:bookmarkEnd w:id="214"/>
      <w:bookmarkEnd w:id="215"/>
      <w:bookmarkEnd w:id="216"/>
      <w:bookmarkEnd w:id="217"/>
      <w:bookmarkEnd w:id="218"/>
      <w:bookmarkEnd w:id="219"/>
    </w:p>
    <w:p w14:paraId="05F4BA87">
      <w:pPr>
        <w:spacing w:line="360" w:lineRule="auto"/>
        <w:ind w:firstLine="480" w:firstLineChars="200"/>
        <w:jc w:val="both"/>
        <w:rPr>
          <w:rFonts w:ascii="Times New Roman" w:hAnsi="Times New Roman" w:cs="Times New Roman"/>
        </w:rPr>
      </w:pPr>
      <w:bookmarkStart w:id="220" w:name="_Toc246436636"/>
      <w:bookmarkStart w:id="221" w:name="_Toc247448244"/>
      <w:bookmarkStart w:id="222" w:name="_Toc247338869"/>
      <w:r>
        <w:rPr>
          <w:rFonts w:ascii="Times New Roman" w:hAnsi="Times New Roman" w:cs="Times New Roman"/>
        </w:rPr>
        <w:t>根据《环境影响评价技术导则 公路建设项目（HJ1358-2024）》7.1.2节，</w:t>
      </w:r>
      <w:r>
        <w:rPr>
          <w:rFonts w:hint="eastAsia" w:ascii="Times New Roman" w:hAnsi="Times New Roman" w:cs="Times New Roman"/>
        </w:rPr>
        <w:t>声环境影响评价等级依据《环境影响评价技术导则－声环境》（</w:t>
      </w:r>
      <w:r>
        <w:rPr>
          <w:rFonts w:ascii="Times New Roman" w:hAnsi="Times New Roman" w:cs="Times New Roman"/>
        </w:rPr>
        <w:t xml:space="preserve">HJ2.4—2021）判定： </w:t>
      </w:r>
    </w:p>
    <w:p w14:paraId="18A4870A">
      <w:pPr>
        <w:spacing w:line="360" w:lineRule="auto"/>
        <w:ind w:firstLine="480" w:firstLineChars="200"/>
        <w:jc w:val="both"/>
        <w:rPr>
          <w:rFonts w:ascii="Times New Roman" w:hAnsi="Times New Roman" w:cs="Times New Roman"/>
        </w:rPr>
      </w:pPr>
      <w:r>
        <w:rPr>
          <w:rFonts w:ascii="Times New Roman" w:hAnsi="Times New Roman" w:cs="Times New Roman"/>
        </w:rPr>
        <w:t>a）评价范围内有适用于GB 3096规定的0类声环境功能区域，或项目建设前后评价范围内声环境保护目标噪声级增量达5dB（A）以上（不含5dB（A）），或受噪声影响人口数量显著增加时，按一级评价；</w:t>
      </w:r>
    </w:p>
    <w:p w14:paraId="7ADD54BC">
      <w:pPr>
        <w:spacing w:line="360" w:lineRule="auto"/>
        <w:ind w:firstLine="480" w:firstLineChars="200"/>
        <w:jc w:val="both"/>
        <w:rPr>
          <w:rFonts w:ascii="Times New Roman" w:hAnsi="Times New Roman" w:cs="Times New Roman"/>
        </w:rPr>
      </w:pPr>
      <w:r>
        <w:rPr>
          <w:rFonts w:ascii="Times New Roman" w:hAnsi="Times New Roman" w:cs="Times New Roman"/>
        </w:rPr>
        <w:t>b）项目所处的声环境功能区为GB 3096规定的1类、2类地区，或项目建设前后评价范围内声环境保护目标噪声级增量达3dB（A）～5dB（A），或受噪声影响人口数量增加较多时，按二级评价；</w:t>
      </w:r>
    </w:p>
    <w:p w14:paraId="1808A2CA">
      <w:pPr>
        <w:spacing w:line="360" w:lineRule="auto"/>
        <w:ind w:firstLine="480" w:firstLineChars="200"/>
        <w:jc w:val="both"/>
        <w:rPr>
          <w:rFonts w:ascii="Times New Roman" w:hAnsi="Times New Roman" w:cs="Times New Roman"/>
        </w:rPr>
      </w:pPr>
      <w:r>
        <w:rPr>
          <w:rFonts w:ascii="Times New Roman" w:hAnsi="Times New Roman" w:cs="Times New Roman"/>
        </w:rPr>
        <w:t>c）项目所处的声环境功能区为GB 3096规定的3类、4类地区，或项目建设前后评价范围内声环境保护目标噪声级增量在3dB（A）以下（不含3dB（A）），且受噪声影响人口数量变化不大时，按三级评价；</w:t>
      </w:r>
    </w:p>
    <w:p w14:paraId="1E59E7D7">
      <w:pPr>
        <w:spacing w:line="360" w:lineRule="auto"/>
        <w:ind w:firstLine="480" w:firstLineChars="200"/>
        <w:jc w:val="both"/>
        <w:rPr>
          <w:rFonts w:ascii="Times New Roman" w:hAnsi="Times New Roman" w:cs="Times New Roman"/>
        </w:rPr>
      </w:pPr>
      <w:r>
        <w:rPr>
          <w:rFonts w:ascii="Times New Roman" w:hAnsi="Times New Roman" w:cs="Times New Roman"/>
        </w:rPr>
        <w:t>d）当项目符合两个等级的划分原则时，按较高等级评价。</w:t>
      </w:r>
    </w:p>
    <w:p w14:paraId="7A1FEF61">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本项目所处的声环境功能区为</w:t>
      </w:r>
      <w:r>
        <w:rPr>
          <w:rFonts w:ascii="Times New Roman" w:hAnsi="Times New Roman" w:cs="Times New Roman"/>
        </w:rPr>
        <w:t>GB3096规定的2类地区，建设项目建设前后评价范围内敏感目标噪声级增量高于5dB（A）以上，根据《环境影响评价技术导则 声环境》（HJ2.4-2021），</w:t>
      </w:r>
      <w:r>
        <w:rPr>
          <w:rFonts w:hint="eastAsia" w:ascii="Times New Roman" w:hAnsi="Times New Roman" w:cs="Times New Roman"/>
        </w:rPr>
        <w:t>确定声环境影响评价等级为一级。</w:t>
      </w:r>
      <w:r>
        <w:rPr>
          <w:rFonts w:ascii="Times New Roman" w:hAnsi="Times New Roman" w:cs="Times New Roman"/>
        </w:rPr>
        <w:t>详见表2.4-2。</w:t>
      </w:r>
    </w:p>
    <w:p w14:paraId="362F58FF">
      <w:pPr>
        <w:ind w:firstLine="480" w:firstLineChars="200"/>
        <w:jc w:val="center"/>
        <w:rPr>
          <w:rFonts w:ascii="黑体" w:hAnsi="黑体" w:eastAsia="黑体" w:cs="Times New Roman"/>
        </w:rPr>
      </w:pPr>
      <w:r>
        <w:rPr>
          <w:rFonts w:ascii="黑体" w:hAnsi="黑体" w:eastAsia="黑体" w:cs="Times New Roman"/>
        </w:rPr>
        <w:t>表2.4-2  声环境评价工作等级判定表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8"/>
        <w:gridCol w:w="3964"/>
        <w:gridCol w:w="1306"/>
      </w:tblGrid>
      <w:tr w14:paraId="5926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910" w:type="pct"/>
            <w:shd w:val="clear" w:color="auto" w:fill="auto"/>
            <w:vAlign w:val="center"/>
          </w:tcPr>
          <w:p w14:paraId="5175F2BF">
            <w:pPr>
              <w:spacing w:line="200" w:lineRule="exact"/>
              <w:jc w:val="center"/>
              <w:rPr>
                <w:rFonts w:ascii="Times New Roman" w:hAnsi="Times New Roman" w:cs="Times New Roman"/>
                <w:sz w:val="21"/>
                <w:szCs w:val="18"/>
              </w:rPr>
            </w:pPr>
            <w:r>
              <w:rPr>
                <w:rFonts w:hint="eastAsia" w:ascii="Times New Roman" w:hAnsi="Times New Roman" w:cs="Times New Roman"/>
                <w:sz w:val="21"/>
                <w:szCs w:val="18"/>
              </w:rPr>
              <w:t>声环境功能类别</w:t>
            </w:r>
          </w:p>
        </w:tc>
        <w:tc>
          <w:tcPr>
            <w:tcW w:w="2324" w:type="pct"/>
            <w:vAlign w:val="center"/>
          </w:tcPr>
          <w:p w14:paraId="34EE677F">
            <w:pPr>
              <w:spacing w:line="200" w:lineRule="exact"/>
              <w:jc w:val="center"/>
              <w:rPr>
                <w:rFonts w:ascii="Times New Roman" w:hAnsi="Times New Roman" w:cs="Times New Roman"/>
                <w:sz w:val="21"/>
                <w:szCs w:val="18"/>
              </w:rPr>
            </w:pPr>
            <w:r>
              <w:rPr>
                <w:rFonts w:hint="eastAsia" w:ascii="Times New Roman" w:hAnsi="Times New Roman" w:cs="Times New Roman"/>
                <w:sz w:val="21"/>
                <w:szCs w:val="18"/>
              </w:rPr>
              <w:t>敏感目标噪声级增加量</w:t>
            </w:r>
          </w:p>
        </w:tc>
        <w:tc>
          <w:tcPr>
            <w:tcW w:w="766" w:type="pct"/>
            <w:shd w:val="clear" w:color="auto" w:fill="auto"/>
            <w:vAlign w:val="center"/>
          </w:tcPr>
          <w:p w14:paraId="1C35DB2F">
            <w:pPr>
              <w:spacing w:line="200" w:lineRule="exact"/>
              <w:jc w:val="center"/>
              <w:rPr>
                <w:rFonts w:ascii="Times New Roman" w:hAnsi="Times New Roman" w:cs="Times New Roman"/>
                <w:sz w:val="21"/>
                <w:szCs w:val="18"/>
              </w:rPr>
            </w:pPr>
            <w:r>
              <w:rPr>
                <w:rFonts w:hint="eastAsia" w:ascii="Times New Roman" w:hAnsi="Times New Roman" w:cs="Times New Roman"/>
                <w:sz w:val="21"/>
                <w:szCs w:val="18"/>
              </w:rPr>
              <w:t>评价等级</w:t>
            </w:r>
          </w:p>
        </w:tc>
      </w:tr>
      <w:tr w14:paraId="4D89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910" w:type="pct"/>
            <w:shd w:val="clear" w:color="auto" w:fill="auto"/>
            <w:vAlign w:val="center"/>
          </w:tcPr>
          <w:p w14:paraId="2EEF9B15">
            <w:pPr>
              <w:spacing w:line="200" w:lineRule="exact"/>
              <w:jc w:val="center"/>
              <w:rPr>
                <w:rFonts w:ascii="Times New Roman" w:hAnsi="Times New Roman" w:cs="Times New Roman"/>
                <w:sz w:val="21"/>
                <w:szCs w:val="18"/>
              </w:rPr>
            </w:pPr>
            <w:r>
              <w:rPr>
                <w:rFonts w:ascii="Times New Roman" w:hAnsi="Times New Roman" w:cs="Times New Roman"/>
                <w:sz w:val="21"/>
                <w:szCs w:val="18"/>
              </w:rPr>
              <w:t>2类</w:t>
            </w:r>
          </w:p>
        </w:tc>
        <w:tc>
          <w:tcPr>
            <w:tcW w:w="2324" w:type="pct"/>
            <w:vAlign w:val="center"/>
          </w:tcPr>
          <w:p w14:paraId="391D4F5E">
            <w:pPr>
              <w:spacing w:line="200" w:lineRule="exact"/>
              <w:jc w:val="center"/>
              <w:rPr>
                <w:rFonts w:ascii="Times New Roman" w:hAnsi="Times New Roman" w:cs="Times New Roman"/>
                <w:sz w:val="21"/>
                <w:szCs w:val="18"/>
              </w:rPr>
            </w:pPr>
            <w:r>
              <w:rPr>
                <w:rFonts w:ascii="Times New Roman" w:hAnsi="Times New Roman" w:cs="Times New Roman"/>
                <w:sz w:val="21"/>
                <w:szCs w:val="18"/>
              </w:rPr>
              <w:t>&gt;5dB（A）</w:t>
            </w:r>
          </w:p>
        </w:tc>
        <w:tc>
          <w:tcPr>
            <w:tcW w:w="766" w:type="pct"/>
            <w:shd w:val="clear" w:color="auto" w:fill="auto"/>
            <w:vAlign w:val="center"/>
          </w:tcPr>
          <w:p w14:paraId="5F9AB7C7">
            <w:pPr>
              <w:spacing w:line="200" w:lineRule="exact"/>
              <w:jc w:val="center"/>
              <w:rPr>
                <w:rFonts w:ascii="Times New Roman" w:hAnsi="Times New Roman" w:cs="Times New Roman"/>
                <w:sz w:val="21"/>
                <w:szCs w:val="18"/>
              </w:rPr>
            </w:pPr>
            <w:r>
              <w:rPr>
                <w:rFonts w:hint="eastAsia" w:ascii="Times New Roman" w:hAnsi="Times New Roman" w:cs="Times New Roman"/>
                <w:sz w:val="21"/>
                <w:szCs w:val="18"/>
              </w:rPr>
              <w:t>一级</w:t>
            </w:r>
          </w:p>
        </w:tc>
      </w:tr>
      <w:bookmarkEnd w:id="220"/>
      <w:bookmarkEnd w:id="221"/>
      <w:bookmarkEnd w:id="222"/>
    </w:tbl>
    <w:p w14:paraId="2160437E">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2.4.1.</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Start w:id="223" w:name="_Toc236793935"/>
      <w:bookmarkStart w:id="224" w:name="_Toc233281954"/>
      <w:bookmarkStart w:id="225" w:name="_Toc247448240"/>
      <w:bookmarkStart w:id="226" w:name="_Toc246436632"/>
      <w:bookmarkStart w:id="227" w:name="_Toc236649243"/>
      <w:bookmarkStart w:id="228" w:name="_Toc247338865"/>
      <w:r>
        <w:rPr>
          <w:rFonts w:ascii="Times New Roman" w:hAnsi="Times New Roman" w:cs="Times New Roman"/>
          <w:i w:val="0"/>
        </w:rPr>
        <w:t>3地表水环境评价工作等级</w:t>
      </w:r>
      <w:bookmarkEnd w:id="223"/>
      <w:bookmarkEnd w:id="224"/>
      <w:bookmarkEnd w:id="225"/>
      <w:bookmarkEnd w:id="226"/>
      <w:bookmarkEnd w:id="227"/>
      <w:bookmarkEnd w:id="228"/>
    </w:p>
    <w:p w14:paraId="1C3FAA92">
      <w:pPr>
        <w:spacing w:line="360" w:lineRule="auto"/>
        <w:ind w:firstLine="480" w:firstLineChars="200"/>
        <w:jc w:val="both"/>
        <w:rPr>
          <w:rFonts w:ascii="Times New Roman" w:hAnsi="Times New Roman" w:cs="Times New Roman"/>
        </w:rPr>
      </w:pPr>
      <w:bookmarkStart w:id="229" w:name="_Toc246436633"/>
      <w:bookmarkStart w:id="230" w:name="_Toc247338866"/>
      <w:bookmarkStart w:id="231" w:name="_Toc247448241"/>
      <w:r>
        <w:rPr>
          <w:rFonts w:hint="eastAsia" w:ascii="Times New Roman" w:hAnsi="Times New Roman" w:cs="Times New Roman"/>
        </w:rPr>
        <w:t>项目施工期产生施工废水和生活污水，施工废水经沉淀池沉淀处理后回用于施工，不外排；施工期生活污水经一体化化粪池处理后用于场地洒水降尘，不外排。</w:t>
      </w:r>
    </w:p>
    <w:p w14:paraId="01076633">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本项目运营期不设收费站，无生活污水；</w:t>
      </w:r>
      <w:r>
        <w:rPr>
          <w:rFonts w:ascii="Times New Roman" w:hAnsi="Times New Roman" w:cs="Times New Roman"/>
        </w:rPr>
        <w:t>营运期以降水条件下的路面径流为主，产生量很小，形式简单，污染物浓度低。</w:t>
      </w:r>
    </w:p>
    <w:p w14:paraId="56D7F058">
      <w:pPr>
        <w:spacing w:line="360" w:lineRule="auto"/>
        <w:ind w:firstLine="480" w:firstLineChars="200"/>
        <w:jc w:val="both"/>
        <w:rPr>
          <w:rFonts w:ascii="Times New Roman" w:hAnsi="Times New Roman" w:cs="Times New Roman"/>
        </w:rPr>
      </w:pPr>
      <w:r>
        <w:rPr>
          <w:rFonts w:hint="eastAsia" w:ascii="Times New Roman" w:hAnsi="Times New Roman" w:cs="Times New Roman"/>
        </w:rPr>
        <w:t>根据《环境影响评价技术导则</w:t>
      </w:r>
      <w:r>
        <w:rPr>
          <w:rFonts w:ascii="Times New Roman" w:hAnsi="Times New Roman" w:cs="Times New Roman"/>
        </w:rPr>
        <w:t xml:space="preserve"> 地表水环境》（HJ2.3-2018），</w:t>
      </w:r>
      <w:r>
        <w:rPr>
          <w:rFonts w:hint="eastAsia" w:ascii="Times New Roman" w:hAnsi="Times New Roman" w:cs="Times New Roman"/>
        </w:rPr>
        <w:t>水环境影响评价等级确定为三级</w:t>
      </w:r>
      <w:r>
        <w:rPr>
          <w:rFonts w:ascii="Times New Roman" w:hAnsi="Times New Roman" w:cs="Times New Roman"/>
        </w:rPr>
        <w:t>B。</w:t>
      </w:r>
    </w:p>
    <w:bookmarkEnd w:id="229"/>
    <w:bookmarkEnd w:id="230"/>
    <w:bookmarkEnd w:id="231"/>
    <w:p w14:paraId="79B19FB8">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2.4.1.4地下水环境影响评价等级</w:t>
      </w:r>
    </w:p>
    <w:p w14:paraId="2E496196">
      <w:pPr>
        <w:spacing w:line="360" w:lineRule="auto"/>
        <w:ind w:firstLine="480" w:firstLineChars="200"/>
        <w:jc w:val="both"/>
        <w:rPr>
          <w:rFonts w:ascii="Times New Roman" w:hAnsi="Times New Roman" w:cs="Times New Roman"/>
        </w:rPr>
      </w:pPr>
      <w:r>
        <w:rPr>
          <w:rFonts w:ascii="Times New Roman" w:hAnsi="Times New Roman" w:cs="Times New Roman"/>
        </w:rPr>
        <w:t>根据《环境影响评价技术导则 公路建设项目（HJ1358-2024）》7.1.4节，本项目不设置加油站，不必进行地下水环境影响评价等级判定。</w:t>
      </w:r>
    </w:p>
    <w:p w14:paraId="50318830">
      <w:pPr>
        <w:pStyle w:val="5"/>
        <w:snapToGrid w:val="0"/>
        <w:spacing w:before="156" w:after="156" w:line="240" w:lineRule="auto"/>
        <w:jc w:val="both"/>
        <w:rPr>
          <w:rFonts w:ascii="Times New Roman" w:hAnsi="Times New Roman" w:cs="Times New Roman"/>
          <w:i w:val="0"/>
        </w:rPr>
      </w:pPr>
      <w:r>
        <w:rPr>
          <w:rFonts w:ascii="Times New Roman" w:hAnsi="Times New Roman" w:cs="Times New Roman"/>
          <w:i w:val="0"/>
        </w:rPr>
        <w:t>2.4.1.5土壤评价工作等级</w:t>
      </w:r>
    </w:p>
    <w:p w14:paraId="17428B55">
      <w:pPr>
        <w:adjustRightInd w:val="0"/>
        <w:snapToGrid w:val="0"/>
        <w:spacing w:line="360" w:lineRule="auto"/>
        <w:ind w:firstLine="480" w:firstLineChars="200"/>
        <w:jc w:val="both"/>
        <w:rPr>
          <w:rFonts w:ascii="Times New Roman" w:hAnsi="Times New Roman" w:cs="Times New Roman"/>
        </w:rPr>
      </w:pPr>
      <w:r>
        <w:rPr>
          <w:rFonts w:ascii="Times New Roman" w:hAnsi="Times New Roman" w:cs="Times New Roman"/>
        </w:rPr>
        <w:t>根据《环境影响评价技术导则 公路建设项目（HJ1358-2024）》7.1.5节，本项目不设置加油站，不必进行土壤环境影响评价等级判定</w:t>
      </w:r>
      <w:r>
        <w:rPr>
          <w:rFonts w:hint="eastAsia" w:ascii="Times New Roman" w:hAnsi="Times New Roman" w:cs="Times New Roman"/>
        </w:rPr>
        <w:t>。</w:t>
      </w:r>
    </w:p>
    <w:p w14:paraId="6EE7F2F3">
      <w:pPr>
        <w:pStyle w:val="5"/>
        <w:snapToGrid w:val="0"/>
        <w:spacing w:before="156" w:after="156" w:line="240" w:lineRule="auto"/>
        <w:jc w:val="both"/>
        <w:rPr>
          <w:rFonts w:ascii="Times New Roman" w:hAnsi="Times New Roman" w:cs="Times New Roman"/>
        </w:rPr>
      </w:pPr>
      <w:r>
        <w:rPr>
          <w:rFonts w:hint="eastAsia" w:ascii="Times New Roman" w:hAnsi="Times New Roman" w:cs="Times New Roman"/>
          <w:i w:val="0"/>
        </w:rPr>
        <w:t>2</w:t>
      </w:r>
      <w:r>
        <w:rPr>
          <w:rFonts w:ascii="Times New Roman" w:hAnsi="Times New Roman" w:cs="Times New Roman"/>
          <w:i w:val="0"/>
        </w:rPr>
        <w:t>.4.1.6</w:t>
      </w:r>
      <w:r>
        <w:rPr>
          <w:rFonts w:hint="eastAsia" w:ascii="Times New Roman" w:hAnsi="Times New Roman" w:cs="Times New Roman"/>
          <w:i w:val="0"/>
        </w:rPr>
        <w:t>环境空气评价工作等级</w:t>
      </w:r>
    </w:p>
    <w:p w14:paraId="53604186">
      <w:pPr>
        <w:adjustRightInd w:val="0"/>
        <w:snapToGrid w:val="0"/>
        <w:spacing w:line="360" w:lineRule="auto"/>
        <w:ind w:firstLine="480" w:firstLineChars="200"/>
        <w:jc w:val="both"/>
        <w:rPr>
          <w:rFonts w:ascii="Times New Roman" w:hAnsi="Times New Roman" w:cs="Times New Roman"/>
        </w:rPr>
      </w:pPr>
      <w:r>
        <w:rPr>
          <w:rFonts w:hint="eastAsia" w:ascii="Times New Roman" w:hAnsi="Times New Roman" w:cs="Times New Roman"/>
        </w:rPr>
        <w:t>根据《环境影响评价技术导则—公路建设项目》（</w:t>
      </w:r>
      <w:r>
        <w:rPr>
          <w:rFonts w:ascii="Times New Roman" w:hAnsi="Times New Roman" w:cs="Times New Roman"/>
        </w:rPr>
        <w:t>HJ1358—2024），大气环境影响评价不进行评价等级判定。</w:t>
      </w:r>
    </w:p>
    <w:p w14:paraId="2EBE853A">
      <w:pPr>
        <w:pStyle w:val="5"/>
        <w:snapToGrid w:val="0"/>
        <w:spacing w:before="156" w:after="156" w:line="240" w:lineRule="auto"/>
        <w:jc w:val="both"/>
        <w:rPr>
          <w:rFonts w:ascii="Times New Roman" w:hAnsi="Times New Roman" w:cs="Times New Roman"/>
        </w:rPr>
      </w:pPr>
      <w:r>
        <w:rPr>
          <w:rFonts w:hint="eastAsia" w:ascii="Times New Roman" w:hAnsi="Times New Roman" w:cs="Times New Roman"/>
          <w:i w:val="0"/>
        </w:rPr>
        <w:t>2</w:t>
      </w:r>
      <w:r>
        <w:rPr>
          <w:rFonts w:ascii="Times New Roman" w:hAnsi="Times New Roman" w:cs="Times New Roman"/>
          <w:i w:val="0"/>
        </w:rPr>
        <w:t>.4.1.7</w:t>
      </w:r>
      <w:r>
        <w:rPr>
          <w:rFonts w:hint="eastAsia" w:ascii="Times New Roman" w:hAnsi="Times New Roman" w:cs="Times New Roman"/>
          <w:i w:val="0"/>
        </w:rPr>
        <w:t>环境风险评价工作等级</w:t>
      </w:r>
    </w:p>
    <w:p w14:paraId="5E09C9DA">
      <w:pPr>
        <w:adjustRightInd w:val="0"/>
        <w:snapToGrid w:val="0"/>
        <w:spacing w:line="360" w:lineRule="auto"/>
        <w:ind w:firstLine="480" w:firstLineChars="200"/>
        <w:jc w:val="both"/>
        <w:rPr>
          <w:rFonts w:ascii="Times New Roman" w:hAnsi="Times New Roman" w:cs="Times New Roman"/>
        </w:rPr>
      </w:pPr>
      <w:r>
        <w:rPr>
          <w:rFonts w:hint="eastAsia" w:ascii="Times New Roman" w:hAnsi="Times New Roman" w:cs="Times New Roman"/>
        </w:rPr>
        <w:t>根据《环境影响评价技术导则—公路建设项目》（</w:t>
      </w:r>
      <w:r>
        <w:rPr>
          <w:rFonts w:ascii="Times New Roman" w:hAnsi="Times New Roman" w:cs="Times New Roman"/>
        </w:rPr>
        <w:t>HJ1358—2024），环境风险影响评价不进行评价等级判定。</w:t>
      </w:r>
    </w:p>
    <w:p w14:paraId="38918A7C">
      <w:pPr>
        <w:pStyle w:val="4"/>
        <w:adjustRightInd w:val="0"/>
        <w:snapToGrid w:val="0"/>
        <w:spacing w:before="156" w:after="156" w:line="240" w:lineRule="auto"/>
        <w:rPr>
          <w:rFonts w:ascii="Times New Roman" w:hAnsi="Times New Roman" w:cs="Times New Roman"/>
        </w:rPr>
      </w:pPr>
      <w:r>
        <w:rPr>
          <w:rFonts w:ascii="Times New Roman" w:hAnsi="Times New Roman" w:cs="Times New Roman"/>
        </w:rPr>
        <w:t>2.4.2评价范围</w:t>
      </w:r>
      <w:bookmarkEnd w:id="143"/>
      <w:bookmarkEnd w:id="144"/>
      <w:bookmarkEnd w:id="145"/>
      <w:bookmarkEnd w:id="146"/>
      <w:bookmarkEnd w:id="147"/>
    </w:p>
    <w:p w14:paraId="427A8C2A">
      <w:pPr>
        <w:spacing w:line="360" w:lineRule="auto"/>
        <w:ind w:firstLine="480" w:firstLineChars="200"/>
        <w:jc w:val="both"/>
        <w:rPr>
          <w:rFonts w:ascii="Times New Roman" w:hAnsi="Times New Roman" w:cs="Times New Roman"/>
        </w:rPr>
      </w:pPr>
      <w:bookmarkStart w:id="232" w:name="_Toc4507841"/>
      <w:r>
        <w:rPr>
          <w:rFonts w:ascii="Times New Roman" w:hAnsi="Times New Roman" w:cs="Times New Roman"/>
        </w:rPr>
        <w:t>根据拟建公路施工期和营运期对环境的影响特点和各路段的自然环境特征，确定本项目的环境影响评价范围见表2.4-3。</w:t>
      </w:r>
    </w:p>
    <w:p w14:paraId="72600E48">
      <w:pPr>
        <w:ind w:firstLine="480" w:firstLineChars="200"/>
        <w:jc w:val="center"/>
        <w:rPr>
          <w:rFonts w:ascii="黑体" w:hAnsi="黑体" w:eastAsia="黑体" w:cs="Times New Roman"/>
          <w:sz w:val="32"/>
        </w:rPr>
      </w:pPr>
      <w:r>
        <w:rPr>
          <w:rFonts w:ascii="黑体" w:hAnsi="黑体" w:eastAsia="黑体" w:cs="Times New Roman"/>
        </w:rPr>
        <w:t>表2.4-3     拟建公路环境影响评价范围一览表</w:t>
      </w:r>
    </w:p>
    <w:tbl>
      <w:tblPr>
        <w:tblStyle w:val="8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5"/>
        <w:gridCol w:w="7045"/>
      </w:tblGrid>
      <w:tr w14:paraId="6B00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vAlign w:val="center"/>
          </w:tcPr>
          <w:p w14:paraId="6A10D6FE">
            <w:pPr>
              <w:pStyle w:val="167"/>
              <w:spacing w:before="0" w:after="0"/>
              <w:jc w:val="both"/>
              <w:rPr>
                <w:rFonts w:ascii="Times New Roman" w:hAnsi="Times New Roman" w:eastAsia="宋体" w:cs="Times New Roman"/>
                <w:sz w:val="21"/>
                <w:szCs w:val="21"/>
              </w:rPr>
            </w:pPr>
            <w:r>
              <w:rPr>
                <w:rFonts w:ascii="Times New Roman" w:hAnsi="Times New Roman" w:eastAsia="宋体" w:cs="Times New Roman"/>
                <w:sz w:val="21"/>
                <w:szCs w:val="21"/>
              </w:rPr>
              <w:t>评价内容</w:t>
            </w:r>
          </w:p>
        </w:tc>
        <w:tc>
          <w:tcPr>
            <w:tcW w:w="4234" w:type="pct"/>
            <w:vAlign w:val="center"/>
          </w:tcPr>
          <w:p w14:paraId="2314AB69">
            <w:pPr>
              <w:pStyle w:val="167"/>
              <w:spacing w:before="0" w:after="0"/>
              <w:jc w:val="both"/>
              <w:rPr>
                <w:rFonts w:ascii="Times New Roman" w:hAnsi="Times New Roman" w:eastAsia="宋体" w:cs="Times New Roman"/>
                <w:sz w:val="21"/>
                <w:szCs w:val="21"/>
              </w:rPr>
            </w:pPr>
            <w:r>
              <w:rPr>
                <w:rFonts w:ascii="Times New Roman" w:hAnsi="Times New Roman" w:eastAsia="宋体" w:cs="Times New Roman"/>
                <w:sz w:val="21"/>
                <w:szCs w:val="21"/>
              </w:rPr>
              <w:t>评价范围</w:t>
            </w:r>
          </w:p>
        </w:tc>
      </w:tr>
      <w:tr w14:paraId="019D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vAlign w:val="center"/>
          </w:tcPr>
          <w:p w14:paraId="13E727D6">
            <w:pPr>
              <w:pStyle w:val="167"/>
              <w:spacing w:before="0" w:after="0"/>
              <w:jc w:val="both"/>
              <w:rPr>
                <w:rFonts w:ascii="Times New Roman" w:hAnsi="Times New Roman" w:eastAsia="宋体" w:cs="Times New Roman"/>
                <w:sz w:val="21"/>
                <w:szCs w:val="21"/>
              </w:rPr>
            </w:pPr>
            <w:r>
              <w:rPr>
                <w:rFonts w:ascii="Times New Roman" w:hAnsi="Times New Roman" w:eastAsia="宋体" w:cs="Times New Roman"/>
                <w:sz w:val="21"/>
                <w:szCs w:val="21"/>
              </w:rPr>
              <w:t>生态环境</w:t>
            </w:r>
          </w:p>
        </w:tc>
        <w:tc>
          <w:tcPr>
            <w:tcW w:w="4234" w:type="pct"/>
            <w:vAlign w:val="center"/>
          </w:tcPr>
          <w:p w14:paraId="25EFF52A">
            <w:pPr>
              <w:pStyle w:val="167"/>
              <w:spacing w:before="0" w:after="0"/>
              <w:jc w:val="both"/>
              <w:rPr>
                <w:rFonts w:ascii="Times New Roman" w:hAnsi="Times New Roman" w:eastAsia="宋体" w:cs="Times New Roman"/>
                <w:sz w:val="21"/>
                <w:szCs w:val="21"/>
              </w:rPr>
            </w:pPr>
            <w:r>
              <w:rPr>
                <w:rFonts w:ascii="Times New Roman" w:hAnsi="Times New Roman" w:eastAsia="宋体" w:cs="Times New Roman"/>
                <w:sz w:val="21"/>
                <w:szCs w:val="21"/>
              </w:rPr>
              <w:t>公路中心线两侧各300m以内区域</w:t>
            </w:r>
            <w:r>
              <w:rPr>
                <w:rFonts w:hint="eastAsia" w:ascii="Times New Roman" w:hAnsi="Times New Roman" w:eastAsia="宋体" w:cs="Times New Roman"/>
                <w:sz w:val="21"/>
                <w:szCs w:val="21"/>
              </w:rPr>
              <w:t>及</w:t>
            </w:r>
            <w:r>
              <w:rPr>
                <w:rFonts w:ascii="Times New Roman" w:hAnsi="Times New Roman" w:eastAsia="宋体" w:cs="Times New Roman"/>
                <w:sz w:val="21"/>
                <w:szCs w:val="21"/>
              </w:rPr>
              <w:t>公路沿线动土范围</w:t>
            </w:r>
            <w:r>
              <w:rPr>
                <w:rFonts w:hint="eastAsia" w:ascii="Times New Roman" w:hAnsi="Times New Roman" w:eastAsia="宋体" w:cs="Times New Roman"/>
                <w:sz w:val="21"/>
                <w:szCs w:val="21"/>
              </w:rPr>
              <w:t>，临时用地以用地边界外扩</w:t>
            </w:r>
            <w:r>
              <w:rPr>
                <w:rFonts w:ascii="Times New Roman" w:hAnsi="Times New Roman" w:eastAsia="宋体" w:cs="Times New Roman"/>
                <w:sz w:val="21"/>
                <w:szCs w:val="21"/>
              </w:rPr>
              <w:t>200 m为参考评价范围</w:t>
            </w:r>
            <w:r>
              <w:rPr>
                <w:rFonts w:hint="eastAsia" w:ascii="Times New Roman" w:hAnsi="Times New Roman" w:eastAsia="宋体" w:cs="Times New Roman"/>
                <w:sz w:val="21"/>
                <w:szCs w:val="21"/>
              </w:rPr>
              <w:t>。</w:t>
            </w:r>
          </w:p>
        </w:tc>
      </w:tr>
      <w:tr w14:paraId="3B55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vAlign w:val="center"/>
          </w:tcPr>
          <w:p w14:paraId="0380CDA1">
            <w:pPr>
              <w:pStyle w:val="167"/>
              <w:spacing w:before="0" w:after="0"/>
              <w:jc w:val="both"/>
              <w:rPr>
                <w:rFonts w:ascii="Times New Roman" w:hAnsi="Times New Roman" w:eastAsia="宋体" w:cs="Times New Roman"/>
                <w:sz w:val="21"/>
                <w:szCs w:val="21"/>
              </w:rPr>
            </w:pPr>
            <w:r>
              <w:rPr>
                <w:rFonts w:ascii="Times New Roman" w:hAnsi="Times New Roman" w:eastAsia="宋体" w:cs="Times New Roman"/>
                <w:sz w:val="21"/>
                <w:szCs w:val="21"/>
              </w:rPr>
              <w:t>声环境</w:t>
            </w:r>
          </w:p>
        </w:tc>
        <w:tc>
          <w:tcPr>
            <w:tcW w:w="4234" w:type="pct"/>
            <w:vAlign w:val="center"/>
          </w:tcPr>
          <w:p w14:paraId="7F5D5A13">
            <w:pPr>
              <w:pStyle w:val="167"/>
              <w:spacing w:before="0" w:after="0"/>
              <w:jc w:val="both"/>
              <w:rPr>
                <w:rFonts w:ascii="Times New Roman" w:hAnsi="Times New Roman" w:eastAsia="宋体" w:cs="Times New Roman"/>
                <w:sz w:val="21"/>
                <w:szCs w:val="21"/>
              </w:rPr>
            </w:pPr>
            <w:r>
              <w:rPr>
                <w:rFonts w:ascii="Times New Roman" w:hAnsi="Times New Roman" w:eastAsia="宋体" w:cs="Times New Roman"/>
                <w:sz w:val="21"/>
                <w:szCs w:val="21"/>
              </w:rPr>
              <w:t>公路中心线两侧200m以内范围，</w:t>
            </w:r>
            <w:r>
              <w:rPr>
                <w:rFonts w:hint="eastAsia" w:ascii="Times New Roman" w:hAnsi="Times New Roman" w:eastAsia="宋体" w:cs="Times New Roman"/>
                <w:sz w:val="21"/>
                <w:szCs w:val="21"/>
              </w:rPr>
              <w:t>施工场界外扩</w:t>
            </w:r>
            <w:r>
              <w:rPr>
                <w:rFonts w:ascii="Times New Roman" w:hAnsi="Times New Roman" w:eastAsia="宋体" w:cs="Times New Roman"/>
                <w:sz w:val="21"/>
                <w:szCs w:val="21"/>
              </w:rPr>
              <w:t xml:space="preserve"> 200 m。</w:t>
            </w:r>
          </w:p>
        </w:tc>
      </w:tr>
      <w:tr w14:paraId="5294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6" w:type="pct"/>
            <w:vAlign w:val="center"/>
          </w:tcPr>
          <w:p w14:paraId="5B0CC6ED">
            <w:pPr>
              <w:pStyle w:val="167"/>
              <w:spacing w:before="0" w:after="0"/>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地表水环境</w:t>
            </w:r>
          </w:p>
        </w:tc>
        <w:tc>
          <w:tcPr>
            <w:tcW w:w="4234" w:type="pct"/>
            <w:vAlign w:val="center"/>
          </w:tcPr>
          <w:p w14:paraId="14386557">
            <w:pPr>
              <w:pStyle w:val="167"/>
              <w:spacing w:before="0" w:after="0"/>
              <w:jc w:val="both"/>
              <w:rPr>
                <w:rFonts w:ascii="Times New Roman" w:hAnsi="Times New Roman" w:eastAsia="宋体" w:cs="Times New Roman"/>
                <w:sz w:val="21"/>
                <w:szCs w:val="21"/>
              </w:rPr>
            </w:pPr>
            <w:r>
              <w:rPr>
                <w:rFonts w:hint="eastAsia" w:ascii="Times New Roman" w:hAnsi="Times New Roman" w:eastAsia="宋体" w:cs="Times New Roman"/>
                <w:sz w:val="21"/>
                <w:szCs w:val="21"/>
              </w:rPr>
              <w:t>跨河桥梁上游</w:t>
            </w:r>
            <w:r>
              <w:rPr>
                <w:rFonts w:ascii="Times New Roman" w:hAnsi="Times New Roman" w:eastAsia="宋体" w:cs="Times New Roman"/>
                <w:sz w:val="21"/>
                <w:szCs w:val="21"/>
              </w:rPr>
              <w:t>200米至下游1000米以内水域。</w:t>
            </w:r>
          </w:p>
        </w:tc>
      </w:tr>
      <w:bookmarkEnd w:id="232"/>
    </w:tbl>
    <w:p w14:paraId="25669540">
      <w:pPr>
        <w:pStyle w:val="3"/>
        <w:adjustRightInd w:val="0"/>
        <w:snapToGrid w:val="0"/>
        <w:spacing w:before="156" w:after="156" w:line="240" w:lineRule="auto"/>
        <w:rPr>
          <w:rFonts w:ascii="Times New Roman" w:hAnsi="Times New Roman" w:cs="Times New Roman"/>
        </w:rPr>
      </w:pPr>
      <w:bookmarkStart w:id="233" w:name="_Toc381605961"/>
      <w:bookmarkStart w:id="234" w:name="_Toc316511016"/>
      <w:bookmarkStart w:id="235" w:name="_Toc236793635"/>
      <w:bookmarkStart w:id="236" w:name="_Toc165446130"/>
      <w:bookmarkStart w:id="237" w:name="_Toc316561607"/>
      <w:bookmarkStart w:id="238" w:name="_Toc183676469"/>
      <w:bookmarkStart w:id="239" w:name="_Toc98413493"/>
      <w:bookmarkStart w:id="240" w:name="_Toc187675412"/>
      <w:bookmarkStart w:id="241" w:name="_Toc4507842"/>
      <w:r>
        <w:rPr>
          <w:rFonts w:ascii="Times New Roman" w:hAnsi="Times New Roman" w:cs="Times New Roman"/>
        </w:rPr>
        <w:t>2.5主要环境</w:t>
      </w:r>
      <w:bookmarkEnd w:id="233"/>
      <w:bookmarkEnd w:id="234"/>
      <w:bookmarkEnd w:id="235"/>
      <w:bookmarkEnd w:id="236"/>
      <w:bookmarkEnd w:id="237"/>
      <w:bookmarkEnd w:id="238"/>
      <w:r>
        <w:rPr>
          <w:rFonts w:ascii="Times New Roman" w:hAnsi="Times New Roman" w:cs="Times New Roman"/>
        </w:rPr>
        <w:t>保护目标</w:t>
      </w:r>
      <w:bookmarkEnd w:id="239"/>
      <w:bookmarkEnd w:id="240"/>
      <w:bookmarkEnd w:id="241"/>
    </w:p>
    <w:p w14:paraId="6B786C06">
      <w:pPr>
        <w:pStyle w:val="4"/>
        <w:adjustRightInd w:val="0"/>
        <w:snapToGrid w:val="0"/>
        <w:spacing w:before="156" w:after="156" w:line="240" w:lineRule="auto"/>
        <w:rPr>
          <w:rFonts w:ascii="Times New Roman" w:hAnsi="Times New Roman" w:cs="Times New Roman"/>
          <w:sz w:val="30"/>
        </w:rPr>
      </w:pPr>
      <w:bookmarkStart w:id="242" w:name="_Toc493587495"/>
      <w:bookmarkStart w:id="243" w:name="_Toc57826707"/>
      <w:bookmarkStart w:id="244" w:name="_Toc486841837"/>
      <w:bookmarkStart w:id="245" w:name="_Toc469140809"/>
      <w:bookmarkStart w:id="246" w:name="_Toc98414177"/>
      <w:bookmarkStart w:id="247" w:name="_Toc471981486"/>
      <w:bookmarkStart w:id="248" w:name="_Toc98413495"/>
      <w:bookmarkStart w:id="249" w:name="_Toc471983179"/>
      <w:bookmarkStart w:id="250" w:name="_Toc34989542"/>
      <w:bookmarkStart w:id="251" w:name="_Toc482003722"/>
      <w:bookmarkStart w:id="252" w:name="_Hlk172288695"/>
      <w:r>
        <w:rPr>
          <w:rFonts w:ascii="Times New Roman" w:hAnsi="Times New Roman" w:cs="Times New Roman"/>
          <w:sz w:val="30"/>
        </w:rPr>
        <w:t>2.5.1生态环境保护目标</w:t>
      </w:r>
      <w:bookmarkEnd w:id="242"/>
      <w:bookmarkEnd w:id="243"/>
      <w:bookmarkEnd w:id="244"/>
      <w:bookmarkEnd w:id="245"/>
      <w:bookmarkEnd w:id="246"/>
      <w:bookmarkEnd w:id="247"/>
      <w:bookmarkEnd w:id="248"/>
      <w:bookmarkEnd w:id="249"/>
      <w:bookmarkEnd w:id="250"/>
      <w:bookmarkEnd w:id="251"/>
    </w:p>
    <w:p w14:paraId="05D50FBB">
      <w:pPr>
        <w:widowControl w:val="0"/>
        <w:autoSpaceDE w:val="0"/>
        <w:autoSpaceDN w:val="0"/>
        <w:adjustRightInd w:val="0"/>
        <w:spacing w:line="360" w:lineRule="auto"/>
        <w:ind w:firstLine="480" w:firstLineChars="200"/>
        <w:jc w:val="both"/>
        <w:rPr>
          <w:rFonts w:ascii="Times New Roman" w:hAnsi="Times New Roman" w:cs="Times New Roman"/>
        </w:rPr>
      </w:pPr>
      <w:bookmarkStart w:id="253" w:name="_Toc34989543"/>
      <w:bookmarkStart w:id="254" w:name="_Toc98413496"/>
      <w:bookmarkStart w:id="255" w:name="_Toc98414178"/>
      <w:r>
        <w:rPr>
          <w:rFonts w:ascii="Times New Roman" w:hAnsi="Times New Roman" w:cs="Times New Roman"/>
        </w:rPr>
        <w:t>根据现场踏勘，本项目1.0km内无国家公园、自然保护区、自然公园等自然保护地、世界自然遗产、生态保护红线等生态保护区区域；不涉及重要物种的天然集中分布区、栖息地；不涉及重要水生生物的自然产卵场、索饵场、越冬场和洄游通道；不涉及迁徙鸟类的重要繁殖地、停歇地、越冬地以及野生动物迁徙通道等生态敏感区。本项目生态环境保护目标见表2.5-1。</w:t>
      </w:r>
    </w:p>
    <w:p w14:paraId="59C91BA0">
      <w:pPr>
        <w:jc w:val="center"/>
        <w:rPr>
          <w:rFonts w:ascii="黑体" w:hAnsi="黑体" w:eastAsia="黑体" w:cs="Times New Roman"/>
          <w:b/>
          <w:bCs/>
          <w:szCs w:val="20"/>
        </w:rPr>
      </w:pPr>
      <w:r>
        <w:rPr>
          <w:rFonts w:ascii="黑体" w:hAnsi="黑体" w:eastAsia="黑体" w:cs="Times New Roman"/>
          <w:b/>
          <w:bCs/>
          <w:szCs w:val="20"/>
        </w:rPr>
        <w:t xml:space="preserve">表2.5-1  </w:t>
      </w:r>
      <w:r>
        <w:rPr>
          <w:rFonts w:hint="eastAsia" w:ascii="黑体" w:hAnsi="黑体" w:eastAsia="黑体" w:cs="Times New Roman"/>
          <w:b/>
          <w:bCs/>
          <w:szCs w:val="20"/>
        </w:rPr>
        <w:t>生态</w:t>
      </w:r>
      <w:r>
        <w:rPr>
          <w:rFonts w:ascii="黑体" w:hAnsi="黑体" w:eastAsia="黑体" w:cs="Times New Roman"/>
          <w:b/>
          <w:bCs/>
          <w:szCs w:val="20"/>
        </w:rPr>
        <w:t>环境保护目标</w:t>
      </w:r>
    </w:p>
    <w:tbl>
      <w:tblPr>
        <w:tblStyle w:val="87"/>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6"/>
        <w:gridCol w:w="1021"/>
        <w:gridCol w:w="1805"/>
        <w:gridCol w:w="1917"/>
        <w:gridCol w:w="3119"/>
      </w:tblGrid>
      <w:tr w14:paraId="23EDE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390" w:type="pct"/>
            <w:vAlign w:val="center"/>
          </w:tcPr>
          <w:p w14:paraId="1335A6CA">
            <w:pPr>
              <w:spacing w:line="240" w:lineRule="exact"/>
              <w:jc w:val="center"/>
              <w:rPr>
                <w:rFonts w:ascii="Times New Roman" w:hAnsi="Times New Roman" w:cs="Times New Roman"/>
                <w:sz w:val="21"/>
                <w:szCs w:val="18"/>
              </w:rPr>
            </w:pPr>
            <w:r>
              <w:rPr>
                <w:rFonts w:ascii="Times New Roman" w:hAnsi="Times New Roman" w:cs="Times New Roman"/>
                <w:sz w:val="21"/>
                <w:szCs w:val="18"/>
              </w:rPr>
              <w:t>环境要素</w:t>
            </w:r>
          </w:p>
        </w:tc>
        <w:tc>
          <w:tcPr>
            <w:tcW w:w="598" w:type="pct"/>
            <w:vAlign w:val="center"/>
          </w:tcPr>
          <w:p w14:paraId="0C4C48CF">
            <w:pPr>
              <w:spacing w:line="240" w:lineRule="exact"/>
              <w:jc w:val="center"/>
              <w:rPr>
                <w:rFonts w:ascii="Times New Roman" w:hAnsi="Times New Roman" w:cs="Times New Roman"/>
                <w:sz w:val="21"/>
                <w:szCs w:val="18"/>
              </w:rPr>
            </w:pPr>
            <w:r>
              <w:rPr>
                <w:rFonts w:ascii="Times New Roman" w:hAnsi="Times New Roman" w:cs="Times New Roman"/>
                <w:sz w:val="21"/>
                <w:szCs w:val="18"/>
              </w:rPr>
              <w:t>生态环境</w:t>
            </w:r>
          </w:p>
          <w:p w14:paraId="6591F43B">
            <w:pPr>
              <w:spacing w:line="240" w:lineRule="exact"/>
              <w:jc w:val="center"/>
              <w:rPr>
                <w:rFonts w:ascii="Times New Roman" w:hAnsi="Times New Roman" w:cs="Times New Roman"/>
                <w:sz w:val="21"/>
                <w:szCs w:val="18"/>
              </w:rPr>
            </w:pPr>
            <w:r>
              <w:rPr>
                <w:rFonts w:ascii="Times New Roman" w:hAnsi="Times New Roman" w:cs="Times New Roman"/>
                <w:sz w:val="21"/>
                <w:szCs w:val="18"/>
              </w:rPr>
              <w:t>保护目标</w:t>
            </w:r>
          </w:p>
        </w:tc>
        <w:tc>
          <w:tcPr>
            <w:tcW w:w="1058" w:type="pct"/>
            <w:vAlign w:val="center"/>
          </w:tcPr>
          <w:p w14:paraId="2B535CC4">
            <w:pPr>
              <w:spacing w:line="240" w:lineRule="exact"/>
              <w:jc w:val="center"/>
              <w:rPr>
                <w:rFonts w:ascii="Times New Roman" w:hAnsi="Times New Roman" w:cs="Times New Roman"/>
                <w:sz w:val="21"/>
                <w:szCs w:val="18"/>
              </w:rPr>
            </w:pPr>
            <w:r>
              <w:rPr>
                <w:rFonts w:ascii="Times New Roman" w:hAnsi="Times New Roman" w:cs="Times New Roman"/>
                <w:sz w:val="21"/>
                <w:szCs w:val="18"/>
              </w:rPr>
              <w:t>保护目标概况</w:t>
            </w:r>
          </w:p>
        </w:tc>
        <w:tc>
          <w:tcPr>
            <w:tcW w:w="1124" w:type="pct"/>
            <w:vAlign w:val="center"/>
          </w:tcPr>
          <w:p w14:paraId="381AA32B">
            <w:pPr>
              <w:spacing w:line="240" w:lineRule="exact"/>
              <w:jc w:val="center"/>
              <w:rPr>
                <w:rFonts w:ascii="Times New Roman" w:hAnsi="Times New Roman" w:cs="Times New Roman"/>
                <w:sz w:val="21"/>
                <w:szCs w:val="18"/>
              </w:rPr>
            </w:pPr>
            <w:r>
              <w:rPr>
                <w:rFonts w:ascii="Times New Roman" w:hAnsi="Times New Roman" w:cs="Times New Roman"/>
                <w:sz w:val="21"/>
                <w:szCs w:val="18"/>
              </w:rPr>
              <w:t>相对位置</w:t>
            </w:r>
          </w:p>
        </w:tc>
        <w:tc>
          <w:tcPr>
            <w:tcW w:w="1829" w:type="pct"/>
            <w:vAlign w:val="center"/>
          </w:tcPr>
          <w:p w14:paraId="70F28BE6">
            <w:pPr>
              <w:spacing w:line="240" w:lineRule="exact"/>
              <w:jc w:val="center"/>
              <w:rPr>
                <w:rFonts w:ascii="Times New Roman" w:hAnsi="Times New Roman" w:cs="Times New Roman"/>
                <w:sz w:val="21"/>
                <w:szCs w:val="18"/>
              </w:rPr>
            </w:pPr>
            <w:r>
              <w:rPr>
                <w:rFonts w:ascii="Times New Roman" w:hAnsi="Times New Roman" w:cs="Times New Roman"/>
                <w:sz w:val="21"/>
                <w:szCs w:val="18"/>
              </w:rPr>
              <w:t>保护要求</w:t>
            </w:r>
          </w:p>
        </w:tc>
      </w:tr>
      <w:tr w14:paraId="0D6707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390" w:type="pct"/>
            <w:vMerge w:val="restart"/>
            <w:tcBorders>
              <w:top w:val="single" w:color="auto" w:sz="4" w:space="0"/>
            </w:tcBorders>
            <w:vAlign w:val="center"/>
          </w:tcPr>
          <w:p w14:paraId="794037BE">
            <w:pPr>
              <w:spacing w:line="240" w:lineRule="exact"/>
              <w:jc w:val="center"/>
              <w:rPr>
                <w:rFonts w:ascii="Times New Roman" w:hAnsi="Times New Roman" w:cs="Times New Roman"/>
                <w:sz w:val="21"/>
                <w:szCs w:val="18"/>
              </w:rPr>
            </w:pPr>
            <w:r>
              <w:rPr>
                <w:rFonts w:ascii="Times New Roman" w:hAnsi="Times New Roman" w:cs="Times New Roman"/>
                <w:sz w:val="21"/>
                <w:szCs w:val="18"/>
              </w:rPr>
              <w:t>生态环境</w:t>
            </w:r>
          </w:p>
        </w:tc>
        <w:tc>
          <w:tcPr>
            <w:tcW w:w="598" w:type="pct"/>
            <w:tcBorders>
              <w:top w:val="single" w:color="auto" w:sz="4" w:space="0"/>
            </w:tcBorders>
            <w:vAlign w:val="center"/>
          </w:tcPr>
          <w:p w14:paraId="2FA77174">
            <w:pPr>
              <w:spacing w:line="240" w:lineRule="exact"/>
              <w:jc w:val="center"/>
              <w:rPr>
                <w:rFonts w:ascii="Times New Roman" w:hAnsi="Times New Roman" w:cs="Times New Roman"/>
                <w:sz w:val="21"/>
                <w:szCs w:val="18"/>
              </w:rPr>
            </w:pPr>
            <w:r>
              <w:rPr>
                <w:rFonts w:ascii="Times New Roman" w:hAnsi="Times New Roman" w:cs="Times New Roman"/>
                <w:sz w:val="21"/>
                <w:szCs w:val="18"/>
              </w:rPr>
              <w:t>沿线耕地</w:t>
            </w:r>
          </w:p>
        </w:tc>
        <w:tc>
          <w:tcPr>
            <w:tcW w:w="1058" w:type="pct"/>
            <w:vAlign w:val="center"/>
          </w:tcPr>
          <w:p w14:paraId="45B84BAD">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小麦、玉米、棉花等（占地为一般耕地，不占基本农田）</w:t>
            </w:r>
          </w:p>
        </w:tc>
        <w:tc>
          <w:tcPr>
            <w:tcW w:w="1124" w:type="pct"/>
            <w:vAlign w:val="center"/>
          </w:tcPr>
          <w:p w14:paraId="4A3C1233">
            <w:pPr>
              <w:spacing w:line="240" w:lineRule="exact"/>
              <w:jc w:val="center"/>
              <w:rPr>
                <w:rFonts w:ascii="Times New Roman" w:hAnsi="Times New Roman" w:cs="Times New Roman"/>
                <w:sz w:val="21"/>
                <w:szCs w:val="18"/>
              </w:rPr>
            </w:pPr>
            <w:r>
              <w:rPr>
                <w:rFonts w:ascii="Times New Roman" w:hAnsi="Times New Roman" w:cs="Times New Roman"/>
                <w:sz w:val="21"/>
                <w:szCs w:val="18"/>
              </w:rPr>
              <w:t>K0+853~</w:t>
            </w:r>
            <w:r>
              <w:rPr>
                <w:rFonts w:hint="eastAsia" w:ascii="Times New Roman" w:hAnsi="Times New Roman" w:cs="Times New Roman"/>
                <w:sz w:val="21"/>
                <w:szCs w:val="18"/>
              </w:rPr>
              <w:t>K</w:t>
            </w:r>
            <w:r>
              <w:rPr>
                <w:rFonts w:ascii="Times New Roman" w:hAnsi="Times New Roman" w:cs="Times New Roman"/>
                <w:sz w:val="21"/>
                <w:szCs w:val="18"/>
              </w:rPr>
              <w:t>1</w:t>
            </w:r>
            <w:r>
              <w:rPr>
                <w:rFonts w:hint="eastAsia" w:ascii="Times New Roman" w:hAnsi="Times New Roman" w:cs="Times New Roman"/>
                <w:sz w:val="21"/>
                <w:szCs w:val="18"/>
              </w:rPr>
              <w:t>+</w:t>
            </w:r>
            <w:r>
              <w:rPr>
                <w:rFonts w:ascii="Times New Roman" w:hAnsi="Times New Roman" w:cs="Times New Roman"/>
                <w:sz w:val="21"/>
                <w:szCs w:val="18"/>
              </w:rPr>
              <w:t>618</w:t>
            </w:r>
            <w:r>
              <w:rPr>
                <w:rFonts w:hint="eastAsia" w:ascii="Times New Roman" w:hAnsi="Times New Roman" w:cs="Times New Roman"/>
                <w:sz w:val="21"/>
                <w:szCs w:val="18"/>
              </w:rPr>
              <w:t>、K</w:t>
            </w:r>
            <w:r>
              <w:rPr>
                <w:rFonts w:ascii="Times New Roman" w:hAnsi="Times New Roman" w:cs="Times New Roman"/>
                <w:sz w:val="21"/>
                <w:szCs w:val="18"/>
              </w:rPr>
              <w:t>6+182~</w:t>
            </w:r>
            <w:r>
              <w:rPr>
                <w:rFonts w:hint="eastAsia" w:ascii="Times New Roman" w:hAnsi="Times New Roman" w:cs="Times New Roman"/>
                <w:sz w:val="21"/>
                <w:szCs w:val="18"/>
              </w:rPr>
              <w:t>K</w:t>
            </w:r>
            <w:r>
              <w:rPr>
                <w:rFonts w:ascii="Times New Roman" w:hAnsi="Times New Roman" w:cs="Times New Roman"/>
                <w:sz w:val="21"/>
                <w:szCs w:val="18"/>
              </w:rPr>
              <w:t>11</w:t>
            </w:r>
            <w:r>
              <w:rPr>
                <w:rFonts w:hint="eastAsia" w:ascii="Times New Roman" w:hAnsi="Times New Roman" w:cs="Times New Roman"/>
                <w:sz w:val="21"/>
                <w:szCs w:val="18"/>
              </w:rPr>
              <w:t>+</w:t>
            </w:r>
            <w:r>
              <w:rPr>
                <w:rFonts w:ascii="Times New Roman" w:hAnsi="Times New Roman" w:cs="Times New Roman"/>
                <w:sz w:val="21"/>
                <w:szCs w:val="18"/>
              </w:rPr>
              <w:t>972、</w:t>
            </w:r>
            <w:r>
              <w:rPr>
                <w:rFonts w:hint="eastAsia" w:ascii="Times New Roman" w:hAnsi="Times New Roman" w:cs="Times New Roman"/>
                <w:sz w:val="21"/>
                <w:szCs w:val="18"/>
              </w:rPr>
              <w:t>K</w:t>
            </w:r>
            <w:r>
              <w:rPr>
                <w:rFonts w:ascii="Times New Roman" w:hAnsi="Times New Roman" w:cs="Times New Roman"/>
                <w:sz w:val="21"/>
                <w:szCs w:val="18"/>
              </w:rPr>
              <w:t>22+727~K30+077</w:t>
            </w:r>
            <w:r>
              <w:rPr>
                <w:rFonts w:hint="eastAsia" w:ascii="Times New Roman" w:hAnsi="Times New Roman" w:cs="Times New Roman"/>
                <w:sz w:val="21"/>
                <w:szCs w:val="18"/>
              </w:rPr>
              <w:t>两侧为耕地。</w:t>
            </w:r>
          </w:p>
        </w:tc>
        <w:tc>
          <w:tcPr>
            <w:tcW w:w="1829" w:type="pct"/>
            <w:tcBorders>
              <w:bottom w:val="single" w:color="auto" w:sz="4" w:space="0"/>
            </w:tcBorders>
            <w:vAlign w:val="center"/>
          </w:tcPr>
          <w:p w14:paraId="7D930D02">
            <w:pPr>
              <w:spacing w:line="240" w:lineRule="exact"/>
              <w:jc w:val="both"/>
              <w:rPr>
                <w:rFonts w:ascii="Times New Roman" w:hAnsi="Times New Roman" w:cs="Times New Roman"/>
                <w:sz w:val="21"/>
                <w:szCs w:val="18"/>
              </w:rPr>
            </w:pPr>
            <w:r>
              <w:rPr>
                <w:rFonts w:hint="eastAsia" w:ascii="Times New Roman" w:hAnsi="Times New Roman" w:cs="Times New Roman"/>
                <w:sz w:val="21"/>
                <w:szCs w:val="18"/>
              </w:rPr>
              <w:t>划定施工红线范围，禁止占用基本农田，施工行为控制在红线范围内，分段施工，保护项目控制区外农田不被破坏，避免临时占地破坏耕地。合理安排施工时序，避开耕作期施工，采取耕作层分层开挖，保持土壤结构和肥力。尽量减少耕地的占用，对占用的耕地做到“占一补一、占补平衡”</w:t>
            </w:r>
          </w:p>
        </w:tc>
      </w:tr>
      <w:tr w14:paraId="7160C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390" w:type="pct"/>
            <w:vMerge w:val="continue"/>
            <w:vAlign w:val="center"/>
          </w:tcPr>
          <w:p w14:paraId="44A329E6">
            <w:pPr>
              <w:spacing w:line="240" w:lineRule="exact"/>
              <w:jc w:val="center"/>
              <w:rPr>
                <w:rFonts w:ascii="Times New Roman" w:hAnsi="Times New Roman" w:cs="Times New Roman"/>
                <w:sz w:val="21"/>
                <w:szCs w:val="18"/>
              </w:rPr>
            </w:pPr>
          </w:p>
        </w:tc>
        <w:tc>
          <w:tcPr>
            <w:tcW w:w="598" w:type="pct"/>
            <w:tcBorders>
              <w:top w:val="single" w:color="auto" w:sz="4" w:space="0"/>
            </w:tcBorders>
            <w:vAlign w:val="center"/>
          </w:tcPr>
          <w:p w14:paraId="428B4202">
            <w:pPr>
              <w:spacing w:line="240" w:lineRule="exact"/>
              <w:jc w:val="center"/>
              <w:rPr>
                <w:rFonts w:ascii="Times New Roman" w:hAnsi="Times New Roman" w:cs="Times New Roman"/>
                <w:sz w:val="21"/>
                <w:szCs w:val="18"/>
              </w:rPr>
            </w:pPr>
            <w:r>
              <w:rPr>
                <w:rFonts w:ascii="Times New Roman" w:hAnsi="Times New Roman" w:cs="Times New Roman"/>
                <w:sz w:val="21"/>
                <w:szCs w:val="18"/>
              </w:rPr>
              <w:t>沿线林地</w:t>
            </w:r>
          </w:p>
        </w:tc>
        <w:tc>
          <w:tcPr>
            <w:tcW w:w="1058" w:type="pct"/>
            <w:vAlign w:val="center"/>
          </w:tcPr>
          <w:p w14:paraId="73701E51">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杨树、榆树等</w:t>
            </w:r>
          </w:p>
        </w:tc>
        <w:tc>
          <w:tcPr>
            <w:tcW w:w="1124" w:type="pct"/>
            <w:vAlign w:val="center"/>
          </w:tcPr>
          <w:p w14:paraId="2F47F03B">
            <w:pPr>
              <w:spacing w:line="240" w:lineRule="exact"/>
              <w:jc w:val="center"/>
              <w:rPr>
                <w:rFonts w:ascii="Times New Roman" w:hAnsi="Times New Roman" w:cs="Times New Roman"/>
                <w:sz w:val="21"/>
                <w:szCs w:val="18"/>
              </w:rPr>
            </w:pPr>
            <w:r>
              <w:rPr>
                <w:rFonts w:ascii="Times New Roman" w:hAnsi="Times New Roman" w:cs="Times New Roman"/>
                <w:sz w:val="21"/>
                <w:szCs w:val="18"/>
              </w:rPr>
              <w:t>两侧</w:t>
            </w:r>
          </w:p>
        </w:tc>
        <w:tc>
          <w:tcPr>
            <w:tcW w:w="1829" w:type="pct"/>
            <w:tcBorders>
              <w:bottom w:val="single" w:color="auto" w:sz="4" w:space="0"/>
            </w:tcBorders>
            <w:vAlign w:val="center"/>
          </w:tcPr>
          <w:p w14:paraId="75D7C300">
            <w:pPr>
              <w:spacing w:line="240" w:lineRule="exact"/>
              <w:jc w:val="both"/>
              <w:rPr>
                <w:rFonts w:ascii="Times New Roman" w:hAnsi="Times New Roman" w:cs="Times New Roman"/>
                <w:sz w:val="21"/>
                <w:szCs w:val="18"/>
              </w:rPr>
            </w:pPr>
            <w:r>
              <w:rPr>
                <w:rFonts w:hint="eastAsia" w:ascii="Times New Roman" w:hAnsi="Times New Roman" w:cs="Times New Roman"/>
                <w:sz w:val="21"/>
                <w:szCs w:val="18"/>
              </w:rPr>
              <w:t>划定施工红线范围，施工行为控制在红线范围内，分段施工，保护项目控制区外林木不被破坏，对需要移栽的树木交由林业部门统一移栽，进行绿化补偿</w:t>
            </w:r>
          </w:p>
        </w:tc>
      </w:tr>
      <w:tr w14:paraId="1EDD9A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390" w:type="pct"/>
            <w:vMerge w:val="continue"/>
            <w:vAlign w:val="center"/>
          </w:tcPr>
          <w:p w14:paraId="27BFFF29">
            <w:pPr>
              <w:spacing w:line="240" w:lineRule="exact"/>
              <w:jc w:val="center"/>
              <w:rPr>
                <w:rFonts w:ascii="Times New Roman" w:hAnsi="Times New Roman" w:cs="Times New Roman"/>
                <w:sz w:val="21"/>
                <w:szCs w:val="18"/>
              </w:rPr>
            </w:pPr>
          </w:p>
        </w:tc>
        <w:tc>
          <w:tcPr>
            <w:tcW w:w="598" w:type="pct"/>
            <w:vAlign w:val="center"/>
          </w:tcPr>
          <w:p w14:paraId="0BAC7FDF">
            <w:pPr>
              <w:spacing w:line="240" w:lineRule="exact"/>
              <w:jc w:val="center"/>
              <w:rPr>
                <w:rFonts w:ascii="Times New Roman" w:hAnsi="Times New Roman" w:cs="Times New Roman"/>
                <w:sz w:val="21"/>
                <w:szCs w:val="18"/>
              </w:rPr>
            </w:pPr>
            <w:r>
              <w:rPr>
                <w:rFonts w:ascii="Times New Roman" w:hAnsi="Times New Roman" w:cs="Times New Roman"/>
                <w:sz w:val="21"/>
                <w:szCs w:val="18"/>
              </w:rPr>
              <w:t>沿线草地</w:t>
            </w:r>
          </w:p>
        </w:tc>
        <w:tc>
          <w:tcPr>
            <w:tcW w:w="1058" w:type="pct"/>
            <w:vAlign w:val="center"/>
          </w:tcPr>
          <w:p w14:paraId="73B2356C">
            <w:pPr>
              <w:spacing w:line="240" w:lineRule="exact"/>
              <w:jc w:val="both"/>
              <w:rPr>
                <w:rFonts w:ascii="Times New Roman" w:hAnsi="Times New Roman" w:cs="Times New Roman"/>
                <w:sz w:val="21"/>
                <w:szCs w:val="18"/>
              </w:rPr>
            </w:pPr>
            <w:r>
              <w:rPr>
                <w:rFonts w:hint="eastAsia" w:ascii="Times New Roman" w:hAnsi="Times New Roman" w:cs="Times New Roman"/>
                <w:sz w:val="21"/>
                <w:szCs w:val="18"/>
              </w:rPr>
              <w:t>草地性质为其他草地，草种为盐生假木贼、沙蓬、骆驼刺等，植被覆盖度15%，无保护物种。</w:t>
            </w:r>
          </w:p>
        </w:tc>
        <w:tc>
          <w:tcPr>
            <w:tcW w:w="1124" w:type="pct"/>
            <w:vAlign w:val="center"/>
          </w:tcPr>
          <w:p w14:paraId="16B85EE8">
            <w:pPr>
              <w:spacing w:line="240" w:lineRule="exact"/>
              <w:jc w:val="center"/>
              <w:rPr>
                <w:rFonts w:ascii="Times New Roman" w:hAnsi="Times New Roman" w:cs="Times New Roman"/>
                <w:sz w:val="21"/>
                <w:szCs w:val="18"/>
              </w:rPr>
            </w:pPr>
            <w:r>
              <w:rPr>
                <w:rFonts w:ascii="Times New Roman" w:hAnsi="Times New Roman" w:cs="Times New Roman"/>
                <w:sz w:val="21"/>
                <w:szCs w:val="18"/>
              </w:rPr>
              <w:t>两侧300m范围内</w:t>
            </w:r>
          </w:p>
        </w:tc>
        <w:tc>
          <w:tcPr>
            <w:tcW w:w="1829" w:type="pct"/>
            <w:tcBorders>
              <w:top w:val="single" w:color="auto" w:sz="4" w:space="0"/>
            </w:tcBorders>
            <w:vAlign w:val="center"/>
          </w:tcPr>
          <w:p w14:paraId="3A1DA8B2">
            <w:pPr>
              <w:spacing w:line="240" w:lineRule="exact"/>
              <w:jc w:val="both"/>
              <w:rPr>
                <w:rFonts w:ascii="Times New Roman" w:hAnsi="Times New Roman" w:cs="Times New Roman"/>
                <w:sz w:val="21"/>
                <w:szCs w:val="18"/>
              </w:rPr>
            </w:pPr>
            <w:r>
              <w:rPr>
                <w:rFonts w:hint="eastAsia" w:ascii="Times New Roman" w:hAnsi="Times New Roman" w:cs="Times New Roman"/>
                <w:sz w:val="21"/>
                <w:szCs w:val="18"/>
              </w:rPr>
              <w:t>施工单位应严格按照设计施工，不得超出范围，不得随意碾压植被。</w:t>
            </w:r>
          </w:p>
        </w:tc>
      </w:tr>
      <w:tr w14:paraId="03FD9B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trPr>
        <w:tc>
          <w:tcPr>
            <w:tcW w:w="390" w:type="pct"/>
            <w:vMerge w:val="continue"/>
            <w:vAlign w:val="center"/>
          </w:tcPr>
          <w:p w14:paraId="3674083B">
            <w:pPr>
              <w:spacing w:line="240" w:lineRule="exact"/>
              <w:jc w:val="center"/>
              <w:rPr>
                <w:rFonts w:ascii="Times New Roman" w:hAnsi="Times New Roman" w:cs="Times New Roman"/>
                <w:sz w:val="21"/>
                <w:szCs w:val="18"/>
              </w:rPr>
            </w:pPr>
          </w:p>
        </w:tc>
        <w:tc>
          <w:tcPr>
            <w:tcW w:w="598" w:type="pct"/>
            <w:vAlign w:val="center"/>
          </w:tcPr>
          <w:p w14:paraId="1C6C9DFF">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水生生物</w:t>
            </w:r>
          </w:p>
        </w:tc>
        <w:tc>
          <w:tcPr>
            <w:tcW w:w="1058" w:type="pct"/>
            <w:vAlign w:val="center"/>
          </w:tcPr>
          <w:p w14:paraId="0DF5FBF5">
            <w:pPr>
              <w:spacing w:line="240" w:lineRule="exact"/>
              <w:jc w:val="center"/>
              <w:rPr>
                <w:rFonts w:ascii="Times New Roman" w:hAnsi="Times New Roman" w:cs="Times New Roman"/>
                <w:sz w:val="21"/>
                <w:szCs w:val="18"/>
              </w:rPr>
            </w:pPr>
            <w:r>
              <w:rPr>
                <w:rFonts w:ascii="Times New Roman" w:hAnsi="Times New Roman" w:cs="Times New Roman"/>
                <w:sz w:val="21"/>
                <w:szCs w:val="18"/>
              </w:rPr>
              <w:t>盖孜河</w:t>
            </w:r>
          </w:p>
        </w:tc>
        <w:tc>
          <w:tcPr>
            <w:tcW w:w="1124" w:type="pct"/>
            <w:vAlign w:val="center"/>
          </w:tcPr>
          <w:p w14:paraId="30CFA1F3">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桥梁跨越盖孜河</w:t>
            </w:r>
          </w:p>
        </w:tc>
        <w:tc>
          <w:tcPr>
            <w:tcW w:w="1829" w:type="pct"/>
            <w:vAlign w:val="center"/>
          </w:tcPr>
          <w:p w14:paraId="2884A6BE">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水生生物及其生境</w:t>
            </w:r>
          </w:p>
        </w:tc>
      </w:tr>
      <w:bookmarkEnd w:id="252"/>
      <w:bookmarkEnd w:id="253"/>
      <w:bookmarkEnd w:id="254"/>
      <w:bookmarkEnd w:id="255"/>
    </w:tbl>
    <w:p w14:paraId="3333B9EB">
      <w:pPr>
        <w:pStyle w:val="4"/>
        <w:adjustRightInd w:val="0"/>
        <w:snapToGrid w:val="0"/>
        <w:spacing w:before="156" w:after="156" w:line="240" w:lineRule="auto"/>
        <w:rPr>
          <w:rFonts w:ascii="Times New Roman" w:hAnsi="Times New Roman" w:cs="Times New Roman"/>
          <w:sz w:val="30"/>
        </w:rPr>
      </w:pPr>
      <w:bookmarkStart w:id="256" w:name="_Toc471981485"/>
      <w:bookmarkStart w:id="257" w:name="_Toc482003721"/>
      <w:bookmarkStart w:id="258" w:name="_Toc486841836"/>
      <w:bookmarkStart w:id="259" w:name="_Toc469140808"/>
      <w:bookmarkStart w:id="260" w:name="_Toc471983178"/>
      <w:bookmarkStart w:id="261" w:name="_Toc493587494"/>
      <w:bookmarkStart w:id="262" w:name="_Toc34989541"/>
      <w:bookmarkStart w:id="263" w:name="_Toc98413497"/>
      <w:bookmarkStart w:id="264" w:name="_Toc98414179"/>
      <w:r>
        <w:rPr>
          <w:rFonts w:ascii="Times New Roman" w:hAnsi="Times New Roman" w:cs="Times New Roman"/>
          <w:sz w:val="30"/>
        </w:rPr>
        <w:t>2.5.2大气环境保护目标</w:t>
      </w:r>
      <w:bookmarkEnd w:id="256"/>
      <w:bookmarkEnd w:id="257"/>
      <w:bookmarkEnd w:id="258"/>
      <w:bookmarkEnd w:id="259"/>
      <w:bookmarkEnd w:id="260"/>
      <w:bookmarkEnd w:id="261"/>
      <w:bookmarkEnd w:id="262"/>
      <w:bookmarkEnd w:id="263"/>
      <w:bookmarkEnd w:id="264"/>
    </w:p>
    <w:p w14:paraId="627029CF">
      <w:pPr>
        <w:pStyle w:val="167"/>
        <w:spacing w:before="0" w:after="0" w:line="360" w:lineRule="auto"/>
        <w:ind w:firstLine="480" w:firstLineChars="200"/>
        <w:jc w:val="both"/>
        <w:rPr>
          <w:rFonts w:ascii="Times New Roman" w:hAnsi="Times New Roman" w:eastAsia="宋体" w:cs="Times New Roman"/>
          <w:spacing w:val="-4"/>
          <w:szCs w:val="24"/>
        </w:rPr>
      </w:pPr>
      <w:r>
        <w:rPr>
          <w:rFonts w:hint="eastAsia" w:ascii="Times New Roman" w:hAnsi="Times New Roman" w:eastAsia="宋体" w:cs="Times New Roman"/>
          <w:szCs w:val="24"/>
        </w:rPr>
        <w:t>根据《环境影响评价技术导则</w:t>
      </w:r>
      <w:r>
        <w:rPr>
          <w:rFonts w:ascii="Times New Roman" w:hAnsi="Times New Roman" w:eastAsia="宋体" w:cs="Times New Roman"/>
          <w:szCs w:val="24"/>
        </w:rPr>
        <w:t xml:space="preserve"> 公路建设项目》要求大气环境保护目标“包括主要集中式排放源（如特长隧道洞口、长隧道洞口、通风井洞口、服务区）周围200m范围内的居住区、文化区和农村地区中人群较集中的区域。本项目无集中式排放源，因此无大气环境保护目标。</w:t>
      </w:r>
    </w:p>
    <w:p w14:paraId="0400E84F">
      <w:pPr>
        <w:pStyle w:val="4"/>
        <w:adjustRightInd w:val="0"/>
        <w:snapToGrid w:val="0"/>
        <w:spacing w:before="156" w:after="156" w:line="240" w:lineRule="auto"/>
        <w:rPr>
          <w:rFonts w:ascii="Times New Roman" w:hAnsi="Times New Roman" w:cs="Times New Roman"/>
          <w:sz w:val="30"/>
        </w:rPr>
      </w:pPr>
      <w:r>
        <w:rPr>
          <w:rFonts w:hint="eastAsia" w:ascii="Times New Roman" w:hAnsi="Times New Roman" w:cs="Times New Roman"/>
          <w:sz w:val="30"/>
        </w:rPr>
        <w:t>2</w:t>
      </w:r>
      <w:r>
        <w:rPr>
          <w:rFonts w:ascii="Times New Roman" w:hAnsi="Times New Roman" w:cs="Times New Roman"/>
          <w:sz w:val="30"/>
        </w:rPr>
        <w:t>.5.3</w:t>
      </w:r>
      <w:r>
        <w:rPr>
          <w:rFonts w:hint="eastAsia" w:ascii="Times New Roman" w:hAnsi="Times New Roman" w:cs="Times New Roman"/>
          <w:sz w:val="30"/>
        </w:rPr>
        <w:t>声环境保护目标</w:t>
      </w:r>
    </w:p>
    <w:p w14:paraId="31DCC6B6">
      <w:pPr>
        <w:spacing w:line="360" w:lineRule="auto"/>
        <w:ind w:firstLine="480" w:firstLineChars="200"/>
      </w:pPr>
      <w:r>
        <w:rPr>
          <w:rFonts w:hint="eastAsia"/>
        </w:rPr>
        <w:t>本项目声环境保护目标见表2</w:t>
      </w:r>
      <w:r>
        <w:t>.5-2.</w:t>
      </w:r>
    </w:p>
    <w:p w14:paraId="7DC00DCE">
      <w:pPr>
        <w:jc w:val="center"/>
      </w:pPr>
      <w:r>
        <w:rPr>
          <w:rFonts w:ascii="Times New Roman" w:hAnsi="Times New Roman" w:cs="Times New Roman"/>
          <w:b/>
          <w:bCs/>
          <w:szCs w:val="20"/>
        </w:rPr>
        <w:t>表</w:t>
      </w:r>
      <w:r>
        <w:rPr>
          <w:rFonts w:hint="eastAsia" w:ascii="Times New Roman" w:hAnsi="Times New Roman" w:cs="Times New Roman"/>
          <w:b/>
          <w:bCs/>
          <w:szCs w:val="20"/>
        </w:rPr>
        <w:t>2</w:t>
      </w:r>
      <w:r>
        <w:rPr>
          <w:rFonts w:ascii="Times New Roman" w:hAnsi="Times New Roman" w:cs="Times New Roman"/>
          <w:b/>
          <w:bCs/>
          <w:szCs w:val="20"/>
        </w:rPr>
        <w:t>.5-2</w:t>
      </w:r>
      <w:r>
        <w:rPr>
          <w:rFonts w:hint="eastAsia" w:ascii="Times New Roman" w:hAnsi="Times New Roman" w:cs="Times New Roman"/>
          <w:b/>
          <w:bCs/>
          <w:szCs w:val="20"/>
        </w:rPr>
        <w:t>声环境保护目标表</w:t>
      </w:r>
    </w:p>
    <w:tbl>
      <w:tblPr>
        <w:tblStyle w:val="2264"/>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0"/>
        <w:gridCol w:w="1102"/>
        <w:gridCol w:w="1101"/>
        <w:gridCol w:w="1215"/>
        <w:gridCol w:w="636"/>
        <w:gridCol w:w="755"/>
        <w:gridCol w:w="1353"/>
        <w:gridCol w:w="620"/>
        <w:gridCol w:w="740"/>
      </w:tblGrid>
      <w:tr w14:paraId="5F0631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91" w:type="pct"/>
            <w:vMerge w:val="restart"/>
            <w:tcBorders>
              <w:tl2br w:val="nil"/>
              <w:tr2bl w:val="nil"/>
            </w:tcBorders>
            <w:vAlign w:val="center"/>
          </w:tcPr>
          <w:p w14:paraId="4BDE81EF">
            <w:pPr>
              <w:widowControl w:val="0"/>
              <w:jc w:val="center"/>
              <w:rPr>
                <w:rFonts w:cs="Times New Roman"/>
                <w:sz w:val="21"/>
                <w:szCs w:val="21"/>
                <w:lang w:eastAsia="en-US"/>
              </w:rPr>
            </w:pPr>
            <w:r>
              <w:rPr>
                <w:rFonts w:hint="eastAsia" w:cs="Times New Roman"/>
                <w:sz w:val="21"/>
                <w:szCs w:val="21"/>
                <w:lang w:eastAsia="en-US"/>
              </w:rPr>
              <w:t>名称</w:t>
            </w:r>
          </w:p>
        </w:tc>
        <w:tc>
          <w:tcPr>
            <w:tcW w:w="660" w:type="pct"/>
            <w:vMerge w:val="restart"/>
            <w:tcBorders>
              <w:tl2br w:val="nil"/>
              <w:tr2bl w:val="nil"/>
            </w:tcBorders>
            <w:vAlign w:val="center"/>
          </w:tcPr>
          <w:p w14:paraId="322B8F75">
            <w:pPr>
              <w:widowControl w:val="0"/>
              <w:jc w:val="center"/>
              <w:rPr>
                <w:rFonts w:cs="Times New Roman"/>
                <w:sz w:val="21"/>
                <w:szCs w:val="21"/>
                <w:lang w:eastAsia="en-US"/>
              </w:rPr>
            </w:pPr>
            <w:r>
              <w:rPr>
                <w:rFonts w:hint="eastAsia" w:cs="Times New Roman"/>
                <w:sz w:val="21"/>
                <w:szCs w:val="21"/>
                <w:lang w:eastAsia="en-US"/>
              </w:rPr>
              <w:t>与工程位置关系</w:t>
            </w:r>
          </w:p>
        </w:tc>
        <w:tc>
          <w:tcPr>
            <w:tcW w:w="1388" w:type="pct"/>
            <w:gridSpan w:val="2"/>
            <w:tcBorders>
              <w:tl2br w:val="nil"/>
              <w:tr2bl w:val="nil"/>
            </w:tcBorders>
            <w:vAlign w:val="center"/>
          </w:tcPr>
          <w:p w14:paraId="4C2B48FB">
            <w:pPr>
              <w:widowControl w:val="0"/>
              <w:jc w:val="center"/>
              <w:rPr>
                <w:rFonts w:cs="Times New Roman"/>
                <w:sz w:val="21"/>
                <w:szCs w:val="21"/>
                <w:lang w:eastAsia="en-US"/>
              </w:rPr>
            </w:pPr>
            <w:r>
              <w:rPr>
                <w:rFonts w:hint="eastAsia" w:cs="Times New Roman"/>
                <w:sz w:val="21"/>
                <w:szCs w:val="21"/>
                <w:lang w:eastAsia="en-US"/>
              </w:rPr>
              <w:t>坐标</w:t>
            </w:r>
          </w:p>
        </w:tc>
        <w:tc>
          <w:tcPr>
            <w:tcW w:w="381" w:type="pct"/>
            <w:vMerge w:val="restart"/>
            <w:tcBorders>
              <w:tl2br w:val="nil"/>
              <w:tr2bl w:val="nil"/>
            </w:tcBorders>
            <w:vAlign w:val="center"/>
          </w:tcPr>
          <w:p w14:paraId="339B97FB">
            <w:pPr>
              <w:widowControl w:val="0"/>
              <w:jc w:val="center"/>
              <w:rPr>
                <w:rFonts w:cs="Times New Roman"/>
                <w:sz w:val="21"/>
                <w:szCs w:val="21"/>
                <w:lang w:eastAsia="en-US"/>
              </w:rPr>
            </w:pPr>
            <w:r>
              <w:rPr>
                <w:rFonts w:hint="eastAsia" w:cs="Times New Roman"/>
                <w:sz w:val="21"/>
                <w:szCs w:val="21"/>
                <w:lang w:eastAsia="en-US"/>
              </w:rPr>
              <w:t>保护</w:t>
            </w:r>
          </w:p>
          <w:p w14:paraId="73224701">
            <w:pPr>
              <w:widowControl w:val="0"/>
              <w:jc w:val="center"/>
              <w:rPr>
                <w:rFonts w:cs="Times New Roman"/>
                <w:sz w:val="21"/>
                <w:szCs w:val="21"/>
                <w:lang w:eastAsia="en-US"/>
              </w:rPr>
            </w:pPr>
            <w:r>
              <w:rPr>
                <w:rFonts w:hint="eastAsia" w:cs="Times New Roman"/>
                <w:sz w:val="21"/>
                <w:szCs w:val="21"/>
                <w:lang w:eastAsia="en-US"/>
              </w:rPr>
              <w:t>对象</w:t>
            </w:r>
          </w:p>
        </w:tc>
        <w:tc>
          <w:tcPr>
            <w:tcW w:w="453" w:type="pct"/>
            <w:vMerge w:val="restart"/>
            <w:tcBorders>
              <w:tl2br w:val="nil"/>
              <w:tr2bl w:val="nil"/>
            </w:tcBorders>
            <w:vAlign w:val="center"/>
          </w:tcPr>
          <w:p w14:paraId="050AF4DE">
            <w:pPr>
              <w:widowControl w:val="0"/>
              <w:jc w:val="center"/>
              <w:rPr>
                <w:rFonts w:cs="Times New Roman"/>
                <w:sz w:val="21"/>
                <w:szCs w:val="21"/>
                <w:lang w:eastAsia="en-US"/>
              </w:rPr>
            </w:pPr>
            <w:r>
              <w:rPr>
                <w:rFonts w:hint="eastAsia" w:cs="Times New Roman"/>
                <w:sz w:val="21"/>
                <w:szCs w:val="21"/>
                <w:lang w:eastAsia="en-US"/>
              </w:rPr>
              <w:t>保护内容（户数）</w:t>
            </w:r>
          </w:p>
        </w:tc>
        <w:tc>
          <w:tcPr>
            <w:tcW w:w="811" w:type="pct"/>
            <w:vMerge w:val="restart"/>
            <w:tcBorders>
              <w:tl2br w:val="nil"/>
              <w:tr2bl w:val="nil"/>
            </w:tcBorders>
            <w:vAlign w:val="center"/>
          </w:tcPr>
          <w:p w14:paraId="106093BC">
            <w:pPr>
              <w:widowControl w:val="0"/>
              <w:jc w:val="center"/>
              <w:rPr>
                <w:rFonts w:cs="Times New Roman"/>
                <w:sz w:val="21"/>
                <w:szCs w:val="21"/>
                <w:lang w:eastAsia="en-US"/>
              </w:rPr>
            </w:pPr>
            <w:r>
              <w:rPr>
                <w:rFonts w:hint="eastAsia" w:cs="Times New Roman"/>
                <w:sz w:val="21"/>
                <w:szCs w:val="21"/>
                <w:lang w:eastAsia="en-US"/>
              </w:rPr>
              <w:t>环境功能区</w:t>
            </w:r>
          </w:p>
        </w:tc>
        <w:tc>
          <w:tcPr>
            <w:tcW w:w="372" w:type="pct"/>
            <w:vMerge w:val="restart"/>
            <w:tcBorders>
              <w:tl2br w:val="nil"/>
              <w:tr2bl w:val="nil"/>
            </w:tcBorders>
            <w:vAlign w:val="center"/>
          </w:tcPr>
          <w:p w14:paraId="641057C8">
            <w:pPr>
              <w:widowControl w:val="0"/>
              <w:jc w:val="center"/>
              <w:rPr>
                <w:rFonts w:cs="Times New Roman"/>
                <w:sz w:val="21"/>
                <w:szCs w:val="21"/>
                <w:lang w:eastAsia="en-US"/>
              </w:rPr>
            </w:pPr>
            <w:r>
              <w:rPr>
                <w:rFonts w:hint="eastAsia" w:cs="Times New Roman"/>
                <w:sz w:val="21"/>
                <w:szCs w:val="21"/>
                <w:lang w:eastAsia="en-US"/>
              </w:rPr>
              <w:t>相对方位</w:t>
            </w:r>
          </w:p>
        </w:tc>
        <w:tc>
          <w:tcPr>
            <w:tcW w:w="444" w:type="pct"/>
            <w:vMerge w:val="restart"/>
            <w:tcBorders>
              <w:tl2br w:val="nil"/>
              <w:tr2bl w:val="nil"/>
            </w:tcBorders>
            <w:vAlign w:val="center"/>
          </w:tcPr>
          <w:p w14:paraId="62046E3E">
            <w:pPr>
              <w:widowControl w:val="0"/>
              <w:jc w:val="center"/>
              <w:rPr>
                <w:rFonts w:cs="Times New Roman"/>
                <w:sz w:val="21"/>
                <w:szCs w:val="21"/>
                <w:lang w:eastAsia="en-US"/>
              </w:rPr>
            </w:pPr>
            <w:r>
              <w:rPr>
                <w:rFonts w:hint="eastAsia" w:cs="Times New Roman"/>
                <w:sz w:val="21"/>
                <w:szCs w:val="21"/>
                <w:lang w:eastAsia="en-US"/>
              </w:rPr>
              <w:t>距道路边界距离/m</w:t>
            </w:r>
          </w:p>
        </w:tc>
      </w:tr>
      <w:tr w14:paraId="145CD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91" w:type="pct"/>
            <w:vMerge w:val="continue"/>
            <w:tcBorders>
              <w:tl2br w:val="nil"/>
              <w:tr2bl w:val="nil"/>
            </w:tcBorders>
            <w:vAlign w:val="center"/>
          </w:tcPr>
          <w:p w14:paraId="0BA66B80">
            <w:pPr>
              <w:widowControl w:val="0"/>
              <w:jc w:val="center"/>
              <w:rPr>
                <w:sz w:val="21"/>
                <w:szCs w:val="21"/>
                <w:lang w:eastAsia="en-US"/>
              </w:rPr>
            </w:pPr>
          </w:p>
        </w:tc>
        <w:tc>
          <w:tcPr>
            <w:tcW w:w="660" w:type="pct"/>
            <w:vMerge w:val="continue"/>
            <w:tcBorders>
              <w:tl2br w:val="nil"/>
              <w:tr2bl w:val="nil"/>
            </w:tcBorders>
            <w:vAlign w:val="center"/>
          </w:tcPr>
          <w:p w14:paraId="0A76B91D">
            <w:pPr>
              <w:widowControl w:val="0"/>
              <w:jc w:val="center"/>
              <w:rPr>
                <w:sz w:val="21"/>
                <w:szCs w:val="21"/>
                <w:lang w:eastAsia="en-US"/>
              </w:rPr>
            </w:pPr>
          </w:p>
        </w:tc>
        <w:tc>
          <w:tcPr>
            <w:tcW w:w="660" w:type="pct"/>
            <w:tcBorders>
              <w:tl2br w:val="nil"/>
              <w:tr2bl w:val="nil"/>
            </w:tcBorders>
            <w:vAlign w:val="center"/>
          </w:tcPr>
          <w:p w14:paraId="07A83613">
            <w:pPr>
              <w:widowControl w:val="0"/>
              <w:jc w:val="center"/>
              <w:rPr>
                <w:rFonts w:cs="Times New Roman"/>
                <w:sz w:val="21"/>
                <w:szCs w:val="21"/>
                <w:lang w:eastAsia="en-US"/>
              </w:rPr>
            </w:pPr>
            <w:r>
              <w:rPr>
                <w:rFonts w:hint="eastAsia" w:cs="Times New Roman"/>
                <w:sz w:val="21"/>
                <w:szCs w:val="21"/>
                <w:lang w:eastAsia="en-US"/>
              </w:rPr>
              <w:t>经度</w:t>
            </w:r>
          </w:p>
        </w:tc>
        <w:tc>
          <w:tcPr>
            <w:tcW w:w="728" w:type="pct"/>
            <w:tcBorders>
              <w:tl2br w:val="nil"/>
              <w:tr2bl w:val="nil"/>
            </w:tcBorders>
            <w:vAlign w:val="center"/>
          </w:tcPr>
          <w:p w14:paraId="5B2F34A4">
            <w:pPr>
              <w:widowControl w:val="0"/>
              <w:jc w:val="center"/>
              <w:rPr>
                <w:rFonts w:cs="Times New Roman"/>
                <w:sz w:val="21"/>
                <w:szCs w:val="21"/>
                <w:lang w:eastAsia="en-US"/>
              </w:rPr>
            </w:pPr>
            <w:r>
              <w:rPr>
                <w:rFonts w:hint="eastAsia" w:cs="Times New Roman"/>
                <w:sz w:val="21"/>
                <w:szCs w:val="21"/>
                <w:lang w:eastAsia="en-US"/>
              </w:rPr>
              <w:t>纬度</w:t>
            </w:r>
          </w:p>
        </w:tc>
        <w:tc>
          <w:tcPr>
            <w:tcW w:w="381" w:type="pct"/>
            <w:vMerge w:val="continue"/>
            <w:tcBorders>
              <w:tl2br w:val="nil"/>
              <w:tr2bl w:val="nil"/>
            </w:tcBorders>
            <w:vAlign w:val="center"/>
          </w:tcPr>
          <w:p w14:paraId="3D036B31">
            <w:pPr>
              <w:widowControl w:val="0"/>
              <w:jc w:val="center"/>
              <w:rPr>
                <w:rFonts w:cs="Times New Roman"/>
                <w:sz w:val="21"/>
                <w:szCs w:val="21"/>
                <w:lang w:eastAsia="en-US"/>
              </w:rPr>
            </w:pPr>
          </w:p>
        </w:tc>
        <w:tc>
          <w:tcPr>
            <w:tcW w:w="453" w:type="pct"/>
            <w:vMerge w:val="continue"/>
            <w:tcBorders>
              <w:tl2br w:val="nil"/>
              <w:tr2bl w:val="nil"/>
            </w:tcBorders>
            <w:vAlign w:val="center"/>
          </w:tcPr>
          <w:p w14:paraId="47341B0E">
            <w:pPr>
              <w:widowControl w:val="0"/>
              <w:jc w:val="center"/>
              <w:rPr>
                <w:rFonts w:cs="Times New Roman"/>
                <w:sz w:val="21"/>
                <w:szCs w:val="21"/>
                <w:lang w:eastAsia="en-US"/>
              </w:rPr>
            </w:pPr>
          </w:p>
        </w:tc>
        <w:tc>
          <w:tcPr>
            <w:tcW w:w="811" w:type="pct"/>
            <w:vMerge w:val="continue"/>
            <w:tcBorders>
              <w:tl2br w:val="nil"/>
              <w:tr2bl w:val="nil"/>
            </w:tcBorders>
            <w:vAlign w:val="center"/>
          </w:tcPr>
          <w:p w14:paraId="34FEC346">
            <w:pPr>
              <w:widowControl w:val="0"/>
              <w:jc w:val="center"/>
              <w:rPr>
                <w:rFonts w:cs="Times New Roman"/>
                <w:sz w:val="21"/>
                <w:szCs w:val="21"/>
                <w:lang w:eastAsia="en-US"/>
              </w:rPr>
            </w:pPr>
          </w:p>
        </w:tc>
        <w:tc>
          <w:tcPr>
            <w:tcW w:w="372" w:type="pct"/>
            <w:vMerge w:val="continue"/>
            <w:tcBorders>
              <w:tl2br w:val="nil"/>
              <w:tr2bl w:val="nil"/>
            </w:tcBorders>
            <w:vAlign w:val="center"/>
          </w:tcPr>
          <w:p w14:paraId="2C963071">
            <w:pPr>
              <w:widowControl w:val="0"/>
              <w:jc w:val="center"/>
              <w:rPr>
                <w:rFonts w:cs="Times New Roman"/>
                <w:sz w:val="21"/>
                <w:szCs w:val="21"/>
                <w:lang w:eastAsia="en-US"/>
              </w:rPr>
            </w:pPr>
          </w:p>
        </w:tc>
        <w:tc>
          <w:tcPr>
            <w:tcW w:w="444" w:type="pct"/>
            <w:vMerge w:val="continue"/>
            <w:tcBorders>
              <w:tl2br w:val="nil"/>
              <w:tr2bl w:val="nil"/>
            </w:tcBorders>
            <w:vAlign w:val="center"/>
          </w:tcPr>
          <w:p w14:paraId="18CD3AFE">
            <w:pPr>
              <w:widowControl w:val="0"/>
              <w:jc w:val="center"/>
              <w:rPr>
                <w:rFonts w:cs="Times New Roman"/>
                <w:sz w:val="21"/>
                <w:szCs w:val="21"/>
                <w:lang w:eastAsia="en-US"/>
              </w:rPr>
            </w:pPr>
          </w:p>
        </w:tc>
      </w:tr>
      <w:tr w14:paraId="0652D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91" w:type="pct"/>
            <w:tcBorders>
              <w:tl2br w:val="nil"/>
              <w:tr2bl w:val="nil"/>
            </w:tcBorders>
            <w:vAlign w:val="center"/>
          </w:tcPr>
          <w:p w14:paraId="47C620D4">
            <w:pPr>
              <w:widowControl w:val="0"/>
              <w:jc w:val="center"/>
              <w:rPr>
                <w:sz w:val="21"/>
                <w:szCs w:val="21"/>
                <w:lang w:eastAsia="zh-CN"/>
              </w:rPr>
            </w:pPr>
            <w:r>
              <w:rPr>
                <w:rFonts w:hint="eastAsia"/>
                <w:sz w:val="21"/>
                <w:szCs w:val="21"/>
                <w:lang w:eastAsia="zh-CN"/>
              </w:rPr>
              <w:t>布拉克苏乡阔纳霍伊拉村</w:t>
            </w:r>
          </w:p>
        </w:tc>
        <w:tc>
          <w:tcPr>
            <w:tcW w:w="660" w:type="pct"/>
            <w:tcBorders>
              <w:tl2br w:val="nil"/>
              <w:tr2bl w:val="nil"/>
            </w:tcBorders>
            <w:vAlign w:val="center"/>
          </w:tcPr>
          <w:p w14:paraId="16E63DBC">
            <w:pPr>
              <w:widowControl w:val="0"/>
              <w:jc w:val="center"/>
              <w:rPr>
                <w:sz w:val="21"/>
                <w:szCs w:val="21"/>
                <w:lang w:eastAsia="en-US"/>
              </w:rPr>
            </w:pPr>
            <w:r>
              <w:rPr>
                <w:rFonts w:hint="eastAsia" w:ascii="Times New Roman" w:hAnsi="Times New Roman" w:cs="Times New Roman"/>
                <w:sz w:val="21"/>
                <w:szCs w:val="21"/>
                <w:lang w:eastAsia="en-US"/>
              </w:rPr>
              <w:t>K</w:t>
            </w:r>
            <w:r>
              <w:rPr>
                <w:rFonts w:ascii="Times New Roman" w:hAnsi="Times New Roman" w:cs="Times New Roman"/>
                <w:sz w:val="21"/>
                <w:szCs w:val="21"/>
                <w:lang w:eastAsia="en-US"/>
              </w:rPr>
              <w:t>7</w:t>
            </w:r>
            <w:r>
              <w:rPr>
                <w:rFonts w:hint="eastAsia" w:ascii="Times New Roman" w:hAnsi="Times New Roman" w:cs="Times New Roman"/>
                <w:sz w:val="21"/>
                <w:szCs w:val="21"/>
                <w:lang w:eastAsia="en-US"/>
              </w:rPr>
              <w:t>+</w:t>
            </w:r>
            <w:r>
              <w:rPr>
                <w:rFonts w:ascii="Times New Roman" w:hAnsi="Times New Roman" w:cs="Times New Roman"/>
                <w:sz w:val="21"/>
                <w:szCs w:val="21"/>
                <w:lang w:eastAsia="en-US"/>
              </w:rPr>
              <w:t>8</w:t>
            </w:r>
            <w:r>
              <w:rPr>
                <w:rFonts w:hint="eastAsia" w:ascii="Times New Roman" w:hAnsi="Times New Roman" w:cs="Times New Roman"/>
                <w:sz w:val="21"/>
                <w:szCs w:val="21"/>
                <w:lang w:eastAsia="en-US"/>
              </w:rPr>
              <w:t>00</w:t>
            </w:r>
          </w:p>
        </w:tc>
        <w:tc>
          <w:tcPr>
            <w:tcW w:w="660" w:type="pct"/>
            <w:tcBorders>
              <w:tl2br w:val="nil"/>
              <w:tr2bl w:val="nil"/>
            </w:tcBorders>
            <w:vAlign w:val="center"/>
          </w:tcPr>
          <w:p w14:paraId="19DB0B2C">
            <w:pPr>
              <w:widowControl w:val="0"/>
              <w:jc w:val="center"/>
              <w:rPr>
                <w:rFonts w:cs="Times New Roman"/>
                <w:sz w:val="21"/>
                <w:szCs w:val="21"/>
                <w:lang w:eastAsia="en-US"/>
              </w:rPr>
            </w:pPr>
            <w:r>
              <w:rPr>
                <w:rFonts w:cs="Times New Roman"/>
                <w:sz w:val="21"/>
                <w:szCs w:val="21"/>
                <w:lang w:eastAsia="en-US"/>
              </w:rPr>
              <w:t>75°49′27.9178″</w:t>
            </w:r>
          </w:p>
        </w:tc>
        <w:tc>
          <w:tcPr>
            <w:tcW w:w="728" w:type="pct"/>
            <w:tcBorders>
              <w:tl2br w:val="nil"/>
              <w:tr2bl w:val="nil"/>
            </w:tcBorders>
            <w:vAlign w:val="center"/>
          </w:tcPr>
          <w:p w14:paraId="03486178">
            <w:pPr>
              <w:widowControl w:val="0"/>
              <w:jc w:val="center"/>
              <w:rPr>
                <w:rFonts w:cs="Times New Roman"/>
                <w:sz w:val="21"/>
                <w:szCs w:val="21"/>
                <w:lang w:eastAsia="en-US"/>
              </w:rPr>
            </w:pPr>
            <w:r>
              <w:rPr>
                <w:rFonts w:cs="Times New Roman"/>
                <w:sz w:val="21"/>
                <w:szCs w:val="21"/>
                <w:lang w:eastAsia="en-US"/>
              </w:rPr>
              <w:t>39°13′48.2820″</w:t>
            </w:r>
          </w:p>
        </w:tc>
        <w:tc>
          <w:tcPr>
            <w:tcW w:w="381" w:type="pct"/>
            <w:tcBorders>
              <w:tl2br w:val="nil"/>
              <w:tr2bl w:val="nil"/>
            </w:tcBorders>
            <w:vAlign w:val="center"/>
          </w:tcPr>
          <w:p w14:paraId="0ACFDAD7">
            <w:pPr>
              <w:widowControl w:val="0"/>
              <w:jc w:val="center"/>
              <w:rPr>
                <w:rFonts w:cs="Times New Roman"/>
                <w:sz w:val="21"/>
                <w:szCs w:val="21"/>
                <w:lang w:eastAsia="en-US"/>
              </w:rPr>
            </w:pPr>
            <w:r>
              <w:rPr>
                <w:rFonts w:cs="Times New Roman"/>
                <w:sz w:val="21"/>
                <w:szCs w:val="21"/>
                <w:lang w:eastAsia="en-US"/>
              </w:rPr>
              <w:t>居民</w:t>
            </w:r>
          </w:p>
        </w:tc>
        <w:tc>
          <w:tcPr>
            <w:tcW w:w="453" w:type="pct"/>
            <w:tcBorders>
              <w:tl2br w:val="nil"/>
              <w:tr2bl w:val="nil"/>
            </w:tcBorders>
            <w:vAlign w:val="center"/>
          </w:tcPr>
          <w:p w14:paraId="630B1DF5">
            <w:pPr>
              <w:widowControl w:val="0"/>
              <w:jc w:val="center"/>
              <w:rPr>
                <w:rFonts w:cs="Times New Roman"/>
                <w:sz w:val="21"/>
                <w:szCs w:val="21"/>
                <w:lang w:eastAsia="en-US"/>
              </w:rPr>
            </w:pPr>
            <w:r>
              <w:rPr>
                <w:rFonts w:cs="Times New Roman"/>
                <w:sz w:val="21"/>
                <w:szCs w:val="21"/>
                <w:lang w:eastAsia="en-US"/>
              </w:rPr>
              <w:t>55</w:t>
            </w:r>
          </w:p>
        </w:tc>
        <w:tc>
          <w:tcPr>
            <w:tcW w:w="811" w:type="pct"/>
            <w:vMerge w:val="restart"/>
            <w:tcBorders>
              <w:tl2br w:val="nil"/>
              <w:tr2bl w:val="nil"/>
            </w:tcBorders>
            <w:vAlign w:val="center"/>
          </w:tcPr>
          <w:p w14:paraId="3C892526">
            <w:pPr>
              <w:widowControl w:val="0"/>
              <w:jc w:val="both"/>
              <w:rPr>
                <w:rFonts w:cs="Times New Roman"/>
                <w:sz w:val="21"/>
                <w:szCs w:val="21"/>
                <w:lang w:eastAsia="zh-CN"/>
              </w:rPr>
            </w:pPr>
            <w:r>
              <w:rPr>
                <w:rFonts w:hint="eastAsia" w:cs="Times New Roman"/>
                <w:sz w:val="21"/>
                <w:szCs w:val="21"/>
                <w:lang w:eastAsia="zh-CN"/>
              </w:rPr>
              <w:t>《声环境质量标准》（</w:t>
            </w:r>
            <w:r>
              <w:rPr>
                <w:rFonts w:cs="Times New Roman"/>
                <w:sz w:val="21"/>
                <w:szCs w:val="21"/>
                <w:lang w:eastAsia="zh-CN"/>
              </w:rPr>
              <w:t>GB3096—2008）中的4a、2类声环境功能</w:t>
            </w:r>
          </w:p>
        </w:tc>
        <w:tc>
          <w:tcPr>
            <w:tcW w:w="372" w:type="pct"/>
            <w:tcBorders>
              <w:tl2br w:val="nil"/>
              <w:tr2bl w:val="nil"/>
            </w:tcBorders>
            <w:vAlign w:val="center"/>
          </w:tcPr>
          <w:p w14:paraId="7462F599">
            <w:pPr>
              <w:widowControl w:val="0"/>
              <w:jc w:val="center"/>
              <w:rPr>
                <w:rFonts w:cs="Times New Roman"/>
                <w:sz w:val="21"/>
                <w:szCs w:val="21"/>
                <w:lang w:eastAsia="en-US"/>
              </w:rPr>
            </w:pPr>
            <w:r>
              <w:rPr>
                <w:rFonts w:cs="Times New Roman"/>
                <w:sz w:val="21"/>
                <w:szCs w:val="21"/>
                <w:lang w:eastAsia="en-US"/>
              </w:rPr>
              <w:t>路右</w:t>
            </w:r>
          </w:p>
        </w:tc>
        <w:tc>
          <w:tcPr>
            <w:tcW w:w="444" w:type="pct"/>
            <w:tcBorders>
              <w:tl2br w:val="nil"/>
              <w:tr2bl w:val="nil"/>
            </w:tcBorders>
            <w:vAlign w:val="center"/>
          </w:tcPr>
          <w:p w14:paraId="1374E3C6">
            <w:pPr>
              <w:widowControl w:val="0"/>
              <w:jc w:val="center"/>
              <w:rPr>
                <w:rFonts w:cs="Times New Roman"/>
                <w:sz w:val="21"/>
                <w:szCs w:val="21"/>
                <w:lang w:eastAsia="en-US"/>
              </w:rPr>
            </w:pPr>
            <w:r>
              <w:rPr>
                <w:rFonts w:cs="Times New Roman"/>
                <w:sz w:val="21"/>
                <w:szCs w:val="21"/>
                <w:lang w:eastAsia="en-US"/>
              </w:rPr>
              <w:t>6</w:t>
            </w:r>
          </w:p>
        </w:tc>
      </w:tr>
      <w:tr w14:paraId="6D396E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491" w:type="pct"/>
            <w:tcBorders>
              <w:tl2br w:val="nil"/>
              <w:tr2bl w:val="nil"/>
            </w:tcBorders>
            <w:vAlign w:val="center"/>
          </w:tcPr>
          <w:p w14:paraId="33769FC4">
            <w:pPr>
              <w:widowControl w:val="0"/>
              <w:jc w:val="center"/>
              <w:rPr>
                <w:sz w:val="21"/>
                <w:szCs w:val="21"/>
                <w:lang w:eastAsia="zh-CN"/>
              </w:rPr>
            </w:pPr>
            <w:r>
              <w:rPr>
                <w:rFonts w:hint="eastAsia"/>
                <w:sz w:val="21"/>
                <w:szCs w:val="21"/>
                <w:lang w:eastAsia="zh-CN"/>
              </w:rPr>
              <w:t>布拉克苏乡吐尔恰巴格村</w:t>
            </w:r>
          </w:p>
        </w:tc>
        <w:tc>
          <w:tcPr>
            <w:tcW w:w="660" w:type="pct"/>
            <w:tcBorders>
              <w:tl2br w:val="nil"/>
              <w:tr2bl w:val="nil"/>
            </w:tcBorders>
            <w:vAlign w:val="center"/>
          </w:tcPr>
          <w:p w14:paraId="68DBDFB8">
            <w:pPr>
              <w:widowControl w:val="0"/>
              <w:jc w:val="center"/>
              <w:rPr>
                <w:rFonts w:ascii="Times New Roman" w:hAnsi="Times New Roman" w:cs="Times New Roman"/>
                <w:sz w:val="21"/>
                <w:szCs w:val="21"/>
                <w:lang w:eastAsia="en-US"/>
              </w:rPr>
            </w:pPr>
            <w:r>
              <w:rPr>
                <w:rFonts w:hint="eastAsia" w:ascii="Times New Roman" w:hAnsi="Times New Roman" w:cs="Times New Roman"/>
                <w:sz w:val="21"/>
                <w:szCs w:val="21"/>
                <w:lang w:eastAsia="en-US"/>
              </w:rPr>
              <w:t>K</w:t>
            </w:r>
            <w:r>
              <w:rPr>
                <w:rFonts w:ascii="Times New Roman" w:hAnsi="Times New Roman" w:cs="Times New Roman"/>
                <w:sz w:val="21"/>
                <w:szCs w:val="21"/>
                <w:lang w:eastAsia="en-US"/>
              </w:rPr>
              <w:t>7</w:t>
            </w:r>
            <w:r>
              <w:rPr>
                <w:rFonts w:hint="eastAsia" w:ascii="Times New Roman" w:hAnsi="Times New Roman" w:cs="Times New Roman"/>
                <w:sz w:val="21"/>
                <w:szCs w:val="21"/>
                <w:lang w:eastAsia="en-US"/>
              </w:rPr>
              <w:t>+</w:t>
            </w:r>
            <w:r>
              <w:rPr>
                <w:rFonts w:ascii="Times New Roman" w:hAnsi="Times New Roman" w:cs="Times New Roman"/>
                <w:sz w:val="21"/>
                <w:szCs w:val="21"/>
                <w:lang w:eastAsia="en-US"/>
              </w:rPr>
              <w:t>8</w:t>
            </w:r>
            <w:r>
              <w:rPr>
                <w:rFonts w:hint="eastAsia" w:ascii="Times New Roman" w:hAnsi="Times New Roman" w:cs="Times New Roman"/>
                <w:sz w:val="21"/>
                <w:szCs w:val="21"/>
                <w:lang w:eastAsia="en-US"/>
              </w:rPr>
              <w:t>00</w:t>
            </w:r>
          </w:p>
        </w:tc>
        <w:tc>
          <w:tcPr>
            <w:tcW w:w="660" w:type="pct"/>
            <w:tcBorders>
              <w:tl2br w:val="nil"/>
              <w:tr2bl w:val="nil"/>
            </w:tcBorders>
            <w:vAlign w:val="center"/>
          </w:tcPr>
          <w:p w14:paraId="5622748D">
            <w:pPr>
              <w:widowControl w:val="0"/>
              <w:jc w:val="center"/>
              <w:rPr>
                <w:rFonts w:cs="Times New Roman"/>
                <w:sz w:val="21"/>
                <w:szCs w:val="21"/>
                <w:lang w:eastAsia="en-US"/>
              </w:rPr>
            </w:pPr>
            <w:r>
              <w:rPr>
                <w:rFonts w:cs="Times New Roman"/>
                <w:sz w:val="21"/>
                <w:szCs w:val="21"/>
                <w:lang w:eastAsia="en-US"/>
              </w:rPr>
              <w:t>75°49′34.6766″</w:t>
            </w:r>
          </w:p>
        </w:tc>
        <w:tc>
          <w:tcPr>
            <w:tcW w:w="728" w:type="pct"/>
            <w:tcBorders>
              <w:tl2br w:val="nil"/>
              <w:tr2bl w:val="nil"/>
            </w:tcBorders>
            <w:vAlign w:val="center"/>
          </w:tcPr>
          <w:p w14:paraId="02DE35D8">
            <w:pPr>
              <w:widowControl w:val="0"/>
              <w:jc w:val="center"/>
              <w:rPr>
                <w:rFonts w:cs="Times New Roman"/>
                <w:sz w:val="21"/>
                <w:szCs w:val="21"/>
                <w:lang w:eastAsia="en-US"/>
              </w:rPr>
            </w:pPr>
            <w:r>
              <w:rPr>
                <w:rFonts w:cs="Times New Roman"/>
                <w:sz w:val="21"/>
                <w:szCs w:val="21"/>
                <w:lang w:eastAsia="en-US"/>
              </w:rPr>
              <w:t>39°13′36.7444″</w:t>
            </w:r>
          </w:p>
        </w:tc>
        <w:tc>
          <w:tcPr>
            <w:tcW w:w="381" w:type="pct"/>
            <w:tcBorders>
              <w:tl2br w:val="nil"/>
              <w:tr2bl w:val="nil"/>
            </w:tcBorders>
            <w:vAlign w:val="center"/>
          </w:tcPr>
          <w:p w14:paraId="21C4532C">
            <w:pPr>
              <w:widowControl w:val="0"/>
              <w:jc w:val="center"/>
              <w:rPr>
                <w:rFonts w:cs="Times New Roman"/>
                <w:sz w:val="21"/>
                <w:szCs w:val="21"/>
                <w:lang w:eastAsia="en-US"/>
              </w:rPr>
            </w:pPr>
            <w:r>
              <w:rPr>
                <w:rFonts w:cs="Times New Roman"/>
                <w:sz w:val="21"/>
                <w:szCs w:val="21"/>
                <w:lang w:eastAsia="en-US"/>
              </w:rPr>
              <w:t>居民</w:t>
            </w:r>
          </w:p>
        </w:tc>
        <w:tc>
          <w:tcPr>
            <w:tcW w:w="453" w:type="pct"/>
            <w:tcBorders>
              <w:tl2br w:val="nil"/>
              <w:tr2bl w:val="nil"/>
            </w:tcBorders>
            <w:vAlign w:val="center"/>
          </w:tcPr>
          <w:p w14:paraId="03B77F34">
            <w:pPr>
              <w:widowControl w:val="0"/>
              <w:jc w:val="center"/>
              <w:rPr>
                <w:rFonts w:cs="Times New Roman"/>
                <w:sz w:val="21"/>
                <w:szCs w:val="21"/>
                <w:lang w:eastAsia="en-US"/>
              </w:rPr>
            </w:pPr>
            <w:r>
              <w:rPr>
                <w:rFonts w:cs="Times New Roman"/>
                <w:sz w:val="21"/>
                <w:szCs w:val="21"/>
                <w:lang w:eastAsia="en-US"/>
              </w:rPr>
              <w:t>40</w:t>
            </w:r>
          </w:p>
        </w:tc>
        <w:tc>
          <w:tcPr>
            <w:tcW w:w="811" w:type="pct"/>
            <w:vMerge w:val="continue"/>
            <w:tcBorders>
              <w:tl2br w:val="nil"/>
              <w:tr2bl w:val="nil"/>
            </w:tcBorders>
            <w:vAlign w:val="center"/>
          </w:tcPr>
          <w:p w14:paraId="3197AB8F">
            <w:pPr>
              <w:widowControl w:val="0"/>
              <w:jc w:val="center"/>
              <w:rPr>
                <w:rFonts w:cs="Times New Roman"/>
                <w:sz w:val="21"/>
                <w:szCs w:val="21"/>
                <w:lang w:eastAsia="en-US"/>
              </w:rPr>
            </w:pPr>
          </w:p>
        </w:tc>
        <w:tc>
          <w:tcPr>
            <w:tcW w:w="372" w:type="pct"/>
            <w:tcBorders>
              <w:tl2br w:val="nil"/>
              <w:tr2bl w:val="nil"/>
            </w:tcBorders>
            <w:vAlign w:val="center"/>
          </w:tcPr>
          <w:p w14:paraId="229D533C">
            <w:pPr>
              <w:widowControl w:val="0"/>
              <w:jc w:val="center"/>
              <w:rPr>
                <w:rFonts w:cs="Times New Roman"/>
                <w:sz w:val="21"/>
                <w:szCs w:val="21"/>
                <w:lang w:eastAsia="en-US"/>
              </w:rPr>
            </w:pPr>
            <w:r>
              <w:rPr>
                <w:rFonts w:cs="Times New Roman"/>
                <w:sz w:val="21"/>
                <w:szCs w:val="21"/>
                <w:lang w:eastAsia="en-US"/>
              </w:rPr>
              <w:t>路左</w:t>
            </w:r>
          </w:p>
        </w:tc>
        <w:tc>
          <w:tcPr>
            <w:tcW w:w="444" w:type="pct"/>
            <w:tcBorders>
              <w:tl2br w:val="nil"/>
              <w:tr2bl w:val="nil"/>
            </w:tcBorders>
            <w:vAlign w:val="center"/>
          </w:tcPr>
          <w:p w14:paraId="088EE6D0">
            <w:pPr>
              <w:widowControl w:val="0"/>
              <w:jc w:val="center"/>
              <w:rPr>
                <w:rFonts w:cs="Times New Roman"/>
                <w:sz w:val="21"/>
                <w:szCs w:val="21"/>
                <w:lang w:eastAsia="en-US"/>
              </w:rPr>
            </w:pPr>
            <w:r>
              <w:rPr>
                <w:rFonts w:cs="Times New Roman"/>
                <w:sz w:val="21"/>
                <w:szCs w:val="21"/>
                <w:lang w:eastAsia="en-US"/>
              </w:rPr>
              <w:t>6</w:t>
            </w:r>
          </w:p>
        </w:tc>
      </w:tr>
      <w:tr w14:paraId="28E63D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491" w:type="pct"/>
            <w:tcBorders>
              <w:tl2br w:val="nil"/>
              <w:tr2bl w:val="nil"/>
            </w:tcBorders>
            <w:shd w:val="clear" w:color="auto" w:fill="auto"/>
            <w:vAlign w:val="center"/>
          </w:tcPr>
          <w:p w14:paraId="4F3E489F">
            <w:pPr>
              <w:widowControl w:val="0"/>
              <w:jc w:val="center"/>
              <w:rPr>
                <w:rFonts w:cs="Times New Roman"/>
                <w:sz w:val="21"/>
                <w:szCs w:val="21"/>
                <w:lang w:eastAsia="zh-CN"/>
              </w:rPr>
            </w:pPr>
            <w:r>
              <w:rPr>
                <w:rFonts w:hint="eastAsia" w:cs="Times New Roman"/>
                <w:sz w:val="21"/>
                <w:szCs w:val="21"/>
                <w:lang w:eastAsia="zh-CN"/>
              </w:rPr>
              <w:t>布拉克苏乡克孜坎特村</w:t>
            </w:r>
          </w:p>
        </w:tc>
        <w:tc>
          <w:tcPr>
            <w:tcW w:w="660" w:type="pct"/>
            <w:tcBorders>
              <w:tl2br w:val="nil"/>
              <w:tr2bl w:val="nil"/>
            </w:tcBorders>
            <w:shd w:val="clear" w:color="auto" w:fill="auto"/>
            <w:vAlign w:val="center"/>
          </w:tcPr>
          <w:p w14:paraId="2374EC62">
            <w:pPr>
              <w:pStyle w:val="31"/>
              <w:widowControl w:val="0"/>
              <w:jc w:val="center"/>
              <w:rPr>
                <w:rFonts w:cs="Times New Roman"/>
                <w:sz w:val="21"/>
                <w:lang w:eastAsia="en-US"/>
              </w:rPr>
            </w:pPr>
            <w:r>
              <w:rPr>
                <w:rFonts w:hint="eastAsia" w:ascii="Times New Roman" w:hAnsi="Times New Roman" w:cs="Times New Roman"/>
                <w:sz w:val="21"/>
                <w:lang w:eastAsia="en-US"/>
              </w:rPr>
              <w:t>K</w:t>
            </w:r>
            <w:r>
              <w:rPr>
                <w:rFonts w:ascii="Times New Roman" w:hAnsi="Times New Roman" w:cs="Times New Roman"/>
                <w:sz w:val="21"/>
                <w:lang w:eastAsia="en-US"/>
              </w:rPr>
              <w:t>10</w:t>
            </w:r>
            <w:r>
              <w:rPr>
                <w:rFonts w:hint="eastAsia" w:ascii="Times New Roman" w:hAnsi="Times New Roman" w:cs="Times New Roman"/>
                <w:sz w:val="21"/>
                <w:lang w:eastAsia="en-US"/>
              </w:rPr>
              <w:t>+</w:t>
            </w:r>
            <w:r>
              <w:rPr>
                <w:rFonts w:ascii="Times New Roman" w:hAnsi="Times New Roman" w:cs="Times New Roman"/>
                <w:sz w:val="21"/>
                <w:lang w:eastAsia="en-US"/>
              </w:rPr>
              <w:t>308</w:t>
            </w:r>
          </w:p>
        </w:tc>
        <w:tc>
          <w:tcPr>
            <w:tcW w:w="660" w:type="pct"/>
            <w:tcBorders>
              <w:tl2br w:val="nil"/>
              <w:tr2bl w:val="nil"/>
            </w:tcBorders>
            <w:shd w:val="clear" w:color="auto" w:fill="auto"/>
            <w:vAlign w:val="center"/>
          </w:tcPr>
          <w:p w14:paraId="579D1F4D">
            <w:pPr>
              <w:widowControl/>
              <w:jc w:val="center"/>
              <w:textAlignment w:val="center"/>
              <w:rPr>
                <w:rFonts w:cs="Times New Roman"/>
                <w:sz w:val="21"/>
                <w:szCs w:val="21"/>
                <w:lang w:eastAsia="en-US"/>
              </w:rPr>
            </w:pPr>
            <w:r>
              <w:rPr>
                <w:rFonts w:cs="Times New Roman"/>
                <w:sz w:val="21"/>
                <w:szCs w:val="21"/>
                <w:lang w:eastAsia="en-US"/>
              </w:rPr>
              <w:t>75°48'02.1112"</w:t>
            </w:r>
          </w:p>
        </w:tc>
        <w:tc>
          <w:tcPr>
            <w:tcW w:w="728" w:type="pct"/>
            <w:tcBorders>
              <w:tl2br w:val="nil"/>
              <w:tr2bl w:val="nil"/>
            </w:tcBorders>
            <w:shd w:val="clear" w:color="auto" w:fill="auto"/>
            <w:vAlign w:val="center"/>
          </w:tcPr>
          <w:p w14:paraId="41C6B38D">
            <w:pPr>
              <w:widowControl/>
              <w:jc w:val="center"/>
              <w:textAlignment w:val="center"/>
              <w:rPr>
                <w:rFonts w:cs="Times New Roman"/>
                <w:sz w:val="21"/>
                <w:szCs w:val="21"/>
                <w:lang w:eastAsia="en-US"/>
              </w:rPr>
            </w:pPr>
            <w:r>
              <w:rPr>
                <w:rFonts w:cs="Times New Roman"/>
                <w:sz w:val="21"/>
                <w:szCs w:val="21"/>
                <w:lang w:eastAsia="en-US"/>
              </w:rPr>
              <w:t>39°13'16.0993"</w:t>
            </w:r>
          </w:p>
        </w:tc>
        <w:tc>
          <w:tcPr>
            <w:tcW w:w="381" w:type="pct"/>
            <w:tcBorders>
              <w:tl2br w:val="nil"/>
              <w:tr2bl w:val="nil"/>
            </w:tcBorders>
            <w:vAlign w:val="center"/>
          </w:tcPr>
          <w:p w14:paraId="7EE2F53F">
            <w:pPr>
              <w:widowControl w:val="0"/>
              <w:jc w:val="center"/>
              <w:rPr>
                <w:rFonts w:cs="Times New Roman"/>
                <w:sz w:val="21"/>
                <w:szCs w:val="21"/>
                <w:lang w:eastAsia="en-US"/>
              </w:rPr>
            </w:pPr>
            <w:r>
              <w:rPr>
                <w:rFonts w:hint="eastAsia" w:cs="Times New Roman"/>
                <w:sz w:val="21"/>
                <w:szCs w:val="21"/>
                <w:lang w:eastAsia="en-US"/>
              </w:rPr>
              <w:t>居民</w:t>
            </w:r>
          </w:p>
        </w:tc>
        <w:tc>
          <w:tcPr>
            <w:tcW w:w="453" w:type="pct"/>
            <w:tcBorders>
              <w:tl2br w:val="nil"/>
              <w:tr2bl w:val="nil"/>
            </w:tcBorders>
            <w:vAlign w:val="center"/>
          </w:tcPr>
          <w:p w14:paraId="63E76799">
            <w:pPr>
              <w:widowControl w:val="0"/>
              <w:jc w:val="center"/>
              <w:rPr>
                <w:rFonts w:cs="Times New Roman"/>
                <w:sz w:val="21"/>
                <w:szCs w:val="21"/>
                <w:lang w:eastAsia="en-US"/>
              </w:rPr>
            </w:pPr>
            <w:r>
              <w:rPr>
                <w:rFonts w:cs="Times New Roman"/>
                <w:sz w:val="21"/>
                <w:szCs w:val="21"/>
                <w:lang w:eastAsia="en-US"/>
              </w:rPr>
              <w:t>120</w:t>
            </w:r>
          </w:p>
        </w:tc>
        <w:tc>
          <w:tcPr>
            <w:tcW w:w="811" w:type="pct"/>
            <w:vMerge w:val="continue"/>
            <w:tcBorders>
              <w:tl2br w:val="nil"/>
              <w:tr2bl w:val="nil"/>
            </w:tcBorders>
            <w:vAlign w:val="center"/>
          </w:tcPr>
          <w:p w14:paraId="3F7E4035">
            <w:pPr>
              <w:widowControl w:val="0"/>
              <w:jc w:val="center"/>
              <w:rPr>
                <w:rFonts w:cs="Times New Roman"/>
                <w:sz w:val="21"/>
                <w:szCs w:val="21"/>
                <w:lang w:eastAsia="en-US"/>
              </w:rPr>
            </w:pPr>
          </w:p>
        </w:tc>
        <w:tc>
          <w:tcPr>
            <w:tcW w:w="372" w:type="pct"/>
            <w:tcBorders>
              <w:tl2br w:val="nil"/>
              <w:tr2bl w:val="nil"/>
            </w:tcBorders>
            <w:shd w:val="clear" w:color="auto" w:fill="auto"/>
            <w:vAlign w:val="center"/>
          </w:tcPr>
          <w:p w14:paraId="6972131C">
            <w:pPr>
              <w:widowControl w:val="0"/>
              <w:jc w:val="center"/>
              <w:rPr>
                <w:rFonts w:cs="Times New Roman"/>
                <w:sz w:val="21"/>
                <w:szCs w:val="21"/>
                <w:lang w:eastAsia="en-US"/>
              </w:rPr>
            </w:pPr>
            <w:r>
              <w:rPr>
                <w:rFonts w:cs="Times New Roman"/>
                <w:sz w:val="21"/>
                <w:szCs w:val="21"/>
                <w:lang w:eastAsia="en-US"/>
              </w:rPr>
              <w:t>两侧</w:t>
            </w:r>
          </w:p>
        </w:tc>
        <w:tc>
          <w:tcPr>
            <w:tcW w:w="444" w:type="pct"/>
            <w:tcBorders>
              <w:tl2br w:val="nil"/>
              <w:tr2bl w:val="nil"/>
            </w:tcBorders>
            <w:shd w:val="clear" w:color="auto" w:fill="auto"/>
            <w:vAlign w:val="center"/>
          </w:tcPr>
          <w:p w14:paraId="5853FB8D">
            <w:pPr>
              <w:widowControl w:val="0"/>
              <w:jc w:val="center"/>
              <w:rPr>
                <w:rFonts w:cs="Times New Roman"/>
                <w:sz w:val="21"/>
                <w:szCs w:val="21"/>
                <w:lang w:eastAsia="en-US"/>
              </w:rPr>
            </w:pPr>
            <w:r>
              <w:rPr>
                <w:rFonts w:cs="Times New Roman"/>
                <w:sz w:val="21"/>
                <w:szCs w:val="21"/>
                <w:lang w:eastAsia="en-US"/>
              </w:rPr>
              <w:t>6</w:t>
            </w:r>
          </w:p>
        </w:tc>
      </w:tr>
      <w:tr w14:paraId="4E23F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491" w:type="pct"/>
            <w:tcBorders>
              <w:tl2br w:val="nil"/>
              <w:tr2bl w:val="nil"/>
            </w:tcBorders>
            <w:shd w:val="clear" w:color="auto" w:fill="auto"/>
            <w:vAlign w:val="center"/>
          </w:tcPr>
          <w:p w14:paraId="23BFB8C4">
            <w:pPr>
              <w:widowControl w:val="0"/>
              <w:jc w:val="center"/>
              <w:rPr>
                <w:rFonts w:cs="Times New Roman"/>
                <w:sz w:val="21"/>
                <w:szCs w:val="21"/>
                <w:lang w:eastAsia="zh-CN"/>
              </w:rPr>
            </w:pPr>
            <w:r>
              <w:rPr>
                <w:rFonts w:hint="eastAsia" w:cs="Times New Roman"/>
                <w:sz w:val="21"/>
                <w:szCs w:val="21"/>
                <w:lang w:eastAsia="zh-CN"/>
              </w:rPr>
              <w:t>喀热开其克乡阿克乌斯唐村</w:t>
            </w:r>
          </w:p>
        </w:tc>
        <w:tc>
          <w:tcPr>
            <w:tcW w:w="660" w:type="pct"/>
            <w:tcBorders>
              <w:tl2br w:val="nil"/>
              <w:tr2bl w:val="nil"/>
            </w:tcBorders>
            <w:shd w:val="clear" w:color="auto" w:fill="auto"/>
            <w:vAlign w:val="center"/>
          </w:tcPr>
          <w:p w14:paraId="0D2009C7">
            <w:pPr>
              <w:pStyle w:val="31"/>
              <w:widowControl w:val="0"/>
              <w:jc w:val="center"/>
              <w:rPr>
                <w:rFonts w:ascii="Times New Roman" w:hAnsi="Times New Roman" w:cs="Times New Roman"/>
                <w:sz w:val="21"/>
                <w:lang w:eastAsia="en-US"/>
              </w:rPr>
            </w:pPr>
            <w:r>
              <w:rPr>
                <w:rFonts w:hint="eastAsia" w:ascii="Times New Roman" w:hAnsi="Times New Roman" w:cs="Times New Roman"/>
                <w:sz w:val="21"/>
                <w:lang w:eastAsia="en-US"/>
              </w:rPr>
              <w:t>K</w:t>
            </w:r>
            <w:r>
              <w:rPr>
                <w:rFonts w:ascii="Times New Roman" w:hAnsi="Times New Roman" w:cs="Times New Roman"/>
                <w:sz w:val="21"/>
                <w:lang w:eastAsia="en-US"/>
              </w:rPr>
              <w:t>29</w:t>
            </w:r>
            <w:r>
              <w:rPr>
                <w:rFonts w:hint="eastAsia" w:ascii="Times New Roman" w:hAnsi="Times New Roman" w:cs="Times New Roman"/>
                <w:sz w:val="21"/>
                <w:lang w:eastAsia="en-US"/>
              </w:rPr>
              <w:t>+</w:t>
            </w:r>
            <w:r>
              <w:rPr>
                <w:rFonts w:ascii="Times New Roman" w:hAnsi="Times New Roman" w:cs="Times New Roman"/>
                <w:sz w:val="21"/>
                <w:lang w:eastAsia="en-US"/>
              </w:rPr>
              <w:t>800</w:t>
            </w:r>
          </w:p>
        </w:tc>
        <w:tc>
          <w:tcPr>
            <w:tcW w:w="660" w:type="pct"/>
            <w:tcBorders>
              <w:tl2br w:val="nil"/>
              <w:tr2bl w:val="nil"/>
            </w:tcBorders>
            <w:shd w:val="clear" w:color="auto" w:fill="auto"/>
            <w:vAlign w:val="center"/>
          </w:tcPr>
          <w:p w14:paraId="2123D137">
            <w:pPr>
              <w:widowControl w:val="0"/>
              <w:jc w:val="center"/>
              <w:textAlignment w:val="center"/>
              <w:rPr>
                <w:rFonts w:cs="Times New Roman"/>
                <w:sz w:val="21"/>
                <w:szCs w:val="21"/>
                <w:lang w:eastAsia="en-US"/>
              </w:rPr>
            </w:pPr>
            <w:r>
              <w:rPr>
                <w:rFonts w:cs="Times New Roman"/>
                <w:sz w:val="21"/>
                <w:szCs w:val="21"/>
                <w:lang w:eastAsia="en-US"/>
              </w:rPr>
              <w:t>75°35'36.4219"</w:t>
            </w:r>
          </w:p>
        </w:tc>
        <w:tc>
          <w:tcPr>
            <w:tcW w:w="728" w:type="pct"/>
            <w:tcBorders>
              <w:tl2br w:val="nil"/>
              <w:tr2bl w:val="nil"/>
            </w:tcBorders>
            <w:shd w:val="clear" w:color="auto" w:fill="auto"/>
            <w:vAlign w:val="center"/>
          </w:tcPr>
          <w:p w14:paraId="761DEE1D">
            <w:pPr>
              <w:widowControl w:val="0"/>
              <w:jc w:val="center"/>
              <w:textAlignment w:val="center"/>
              <w:rPr>
                <w:rFonts w:cs="Times New Roman"/>
                <w:sz w:val="21"/>
                <w:szCs w:val="21"/>
                <w:lang w:eastAsia="en-US"/>
              </w:rPr>
            </w:pPr>
            <w:r>
              <w:rPr>
                <w:rFonts w:cs="Times New Roman"/>
                <w:sz w:val="21"/>
                <w:szCs w:val="21"/>
                <w:lang w:eastAsia="en-US"/>
              </w:rPr>
              <w:t>39°14'32.1648"</w:t>
            </w:r>
          </w:p>
        </w:tc>
        <w:tc>
          <w:tcPr>
            <w:tcW w:w="381" w:type="pct"/>
            <w:tcBorders>
              <w:tl2br w:val="nil"/>
              <w:tr2bl w:val="nil"/>
            </w:tcBorders>
            <w:vAlign w:val="center"/>
          </w:tcPr>
          <w:p w14:paraId="7544C525">
            <w:pPr>
              <w:widowControl w:val="0"/>
              <w:jc w:val="center"/>
              <w:rPr>
                <w:rFonts w:cs="Times New Roman"/>
                <w:sz w:val="21"/>
                <w:szCs w:val="21"/>
                <w:lang w:eastAsia="en-US"/>
              </w:rPr>
            </w:pPr>
            <w:r>
              <w:rPr>
                <w:rFonts w:hint="eastAsia" w:cs="Times New Roman"/>
                <w:sz w:val="21"/>
                <w:szCs w:val="21"/>
                <w:lang w:eastAsia="en-US"/>
              </w:rPr>
              <w:t>居民</w:t>
            </w:r>
          </w:p>
        </w:tc>
        <w:tc>
          <w:tcPr>
            <w:tcW w:w="453" w:type="pct"/>
            <w:tcBorders>
              <w:tl2br w:val="nil"/>
              <w:tr2bl w:val="nil"/>
            </w:tcBorders>
            <w:vAlign w:val="center"/>
          </w:tcPr>
          <w:p w14:paraId="6A4C0AF5">
            <w:pPr>
              <w:widowControl w:val="0"/>
              <w:jc w:val="center"/>
              <w:rPr>
                <w:rFonts w:cs="Times New Roman"/>
                <w:sz w:val="21"/>
                <w:szCs w:val="21"/>
                <w:lang w:eastAsia="en-US"/>
              </w:rPr>
            </w:pPr>
            <w:r>
              <w:rPr>
                <w:rFonts w:hint="eastAsia" w:cs="Times New Roman"/>
                <w:sz w:val="21"/>
                <w:szCs w:val="21"/>
                <w:lang w:eastAsia="en-US"/>
              </w:rPr>
              <w:t>7</w:t>
            </w:r>
            <w:r>
              <w:rPr>
                <w:rFonts w:cs="Times New Roman"/>
                <w:sz w:val="21"/>
                <w:szCs w:val="21"/>
                <w:lang w:eastAsia="en-US"/>
              </w:rPr>
              <w:t>0</w:t>
            </w:r>
          </w:p>
        </w:tc>
        <w:tc>
          <w:tcPr>
            <w:tcW w:w="811" w:type="pct"/>
            <w:vMerge w:val="continue"/>
            <w:tcBorders>
              <w:tl2br w:val="nil"/>
              <w:tr2bl w:val="nil"/>
            </w:tcBorders>
            <w:vAlign w:val="center"/>
          </w:tcPr>
          <w:p w14:paraId="024D5637">
            <w:pPr>
              <w:widowControl w:val="0"/>
              <w:jc w:val="center"/>
              <w:rPr>
                <w:rFonts w:cs="Times New Roman"/>
                <w:sz w:val="21"/>
                <w:szCs w:val="21"/>
                <w:lang w:eastAsia="en-US"/>
              </w:rPr>
            </w:pPr>
          </w:p>
        </w:tc>
        <w:tc>
          <w:tcPr>
            <w:tcW w:w="372" w:type="pct"/>
            <w:tcBorders>
              <w:tl2br w:val="nil"/>
              <w:tr2bl w:val="nil"/>
            </w:tcBorders>
            <w:shd w:val="clear" w:color="auto" w:fill="auto"/>
            <w:vAlign w:val="center"/>
          </w:tcPr>
          <w:p w14:paraId="6BF11D19">
            <w:pPr>
              <w:widowControl w:val="0"/>
              <w:jc w:val="center"/>
              <w:rPr>
                <w:rFonts w:cs="Times New Roman"/>
                <w:sz w:val="21"/>
                <w:szCs w:val="21"/>
                <w:lang w:eastAsia="en-US"/>
              </w:rPr>
            </w:pPr>
            <w:r>
              <w:rPr>
                <w:rFonts w:cs="Times New Roman"/>
                <w:sz w:val="21"/>
                <w:szCs w:val="21"/>
                <w:lang w:eastAsia="en-US"/>
              </w:rPr>
              <w:t>两侧</w:t>
            </w:r>
          </w:p>
        </w:tc>
        <w:tc>
          <w:tcPr>
            <w:tcW w:w="444" w:type="pct"/>
            <w:tcBorders>
              <w:tl2br w:val="nil"/>
              <w:tr2bl w:val="nil"/>
            </w:tcBorders>
            <w:shd w:val="clear" w:color="auto" w:fill="auto"/>
            <w:vAlign w:val="center"/>
          </w:tcPr>
          <w:p w14:paraId="1BF62CDE">
            <w:pPr>
              <w:widowControl w:val="0"/>
              <w:jc w:val="center"/>
              <w:rPr>
                <w:rFonts w:cs="Times New Roman"/>
                <w:sz w:val="21"/>
                <w:szCs w:val="21"/>
                <w:lang w:eastAsia="en-US"/>
              </w:rPr>
            </w:pPr>
            <w:r>
              <w:rPr>
                <w:rFonts w:cs="Times New Roman"/>
                <w:sz w:val="21"/>
                <w:szCs w:val="21"/>
                <w:lang w:eastAsia="en-US"/>
              </w:rPr>
              <w:t>6</w:t>
            </w:r>
          </w:p>
        </w:tc>
      </w:tr>
      <w:tr w14:paraId="3984A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491" w:type="pct"/>
            <w:tcBorders>
              <w:tl2br w:val="nil"/>
              <w:tr2bl w:val="nil"/>
            </w:tcBorders>
            <w:shd w:val="clear" w:color="auto" w:fill="auto"/>
            <w:vAlign w:val="center"/>
          </w:tcPr>
          <w:p w14:paraId="53CF4781">
            <w:pPr>
              <w:widowControl w:val="0"/>
              <w:jc w:val="center"/>
              <w:rPr>
                <w:rFonts w:cs="Times New Roman"/>
                <w:sz w:val="21"/>
                <w:szCs w:val="21"/>
                <w:lang w:eastAsia="zh-CN"/>
              </w:rPr>
            </w:pPr>
            <w:r>
              <w:rPr>
                <w:rFonts w:hint="eastAsia" w:cs="Times New Roman"/>
                <w:sz w:val="21"/>
                <w:szCs w:val="21"/>
                <w:lang w:eastAsia="zh-CN"/>
              </w:rPr>
              <w:t>喀热开其克乡喀拉乌斯唐村</w:t>
            </w:r>
          </w:p>
        </w:tc>
        <w:tc>
          <w:tcPr>
            <w:tcW w:w="660" w:type="pct"/>
            <w:tcBorders>
              <w:tl2br w:val="nil"/>
              <w:tr2bl w:val="nil"/>
            </w:tcBorders>
            <w:shd w:val="clear" w:color="auto" w:fill="auto"/>
            <w:vAlign w:val="center"/>
          </w:tcPr>
          <w:p w14:paraId="51F6FF3F">
            <w:pPr>
              <w:pStyle w:val="31"/>
              <w:widowControl w:val="0"/>
              <w:jc w:val="center"/>
              <w:rPr>
                <w:rFonts w:ascii="Times New Roman" w:hAnsi="Times New Roman" w:cs="Times New Roman"/>
                <w:sz w:val="21"/>
                <w:lang w:eastAsia="en-US"/>
              </w:rPr>
            </w:pPr>
            <w:r>
              <w:rPr>
                <w:rFonts w:hint="eastAsia" w:ascii="Times New Roman" w:hAnsi="Times New Roman" w:cs="Times New Roman"/>
                <w:sz w:val="21"/>
                <w:lang w:eastAsia="en-US"/>
              </w:rPr>
              <w:t>K</w:t>
            </w:r>
            <w:r>
              <w:rPr>
                <w:rFonts w:ascii="Times New Roman" w:hAnsi="Times New Roman" w:cs="Times New Roman"/>
                <w:sz w:val="21"/>
                <w:lang w:eastAsia="en-US"/>
              </w:rPr>
              <w:t>31</w:t>
            </w:r>
            <w:r>
              <w:rPr>
                <w:rFonts w:hint="eastAsia" w:ascii="Times New Roman" w:hAnsi="Times New Roman" w:cs="Times New Roman"/>
                <w:sz w:val="21"/>
                <w:lang w:eastAsia="en-US"/>
              </w:rPr>
              <w:t>+</w:t>
            </w:r>
            <w:r>
              <w:rPr>
                <w:rFonts w:ascii="Times New Roman" w:hAnsi="Times New Roman" w:cs="Times New Roman"/>
                <w:sz w:val="21"/>
                <w:lang w:eastAsia="en-US"/>
              </w:rPr>
              <w:t>400</w:t>
            </w:r>
          </w:p>
        </w:tc>
        <w:tc>
          <w:tcPr>
            <w:tcW w:w="660" w:type="pct"/>
            <w:tcBorders>
              <w:tl2br w:val="nil"/>
              <w:tr2bl w:val="nil"/>
            </w:tcBorders>
            <w:shd w:val="clear" w:color="auto" w:fill="auto"/>
            <w:vAlign w:val="center"/>
          </w:tcPr>
          <w:p w14:paraId="0BAAF67F">
            <w:pPr>
              <w:widowControl w:val="0"/>
              <w:textAlignment w:val="center"/>
              <w:rPr>
                <w:rFonts w:cs="Times New Roman"/>
                <w:sz w:val="21"/>
                <w:szCs w:val="21"/>
                <w:lang w:eastAsia="en-US"/>
              </w:rPr>
            </w:pPr>
            <w:r>
              <w:rPr>
                <w:rFonts w:cs="Times New Roman"/>
                <w:sz w:val="21"/>
                <w:szCs w:val="21"/>
                <w:lang w:eastAsia="en-US"/>
              </w:rPr>
              <w:t>75°34'35.0734"</w:t>
            </w:r>
          </w:p>
        </w:tc>
        <w:tc>
          <w:tcPr>
            <w:tcW w:w="728" w:type="pct"/>
            <w:tcBorders>
              <w:tl2br w:val="nil"/>
              <w:tr2bl w:val="nil"/>
            </w:tcBorders>
            <w:shd w:val="clear" w:color="auto" w:fill="auto"/>
            <w:vAlign w:val="center"/>
          </w:tcPr>
          <w:p w14:paraId="38BF1B1D">
            <w:pPr>
              <w:widowControl w:val="0"/>
              <w:jc w:val="center"/>
              <w:textAlignment w:val="center"/>
              <w:rPr>
                <w:rFonts w:cs="Times New Roman"/>
                <w:sz w:val="21"/>
                <w:szCs w:val="21"/>
                <w:lang w:eastAsia="en-US"/>
              </w:rPr>
            </w:pPr>
            <w:r>
              <w:rPr>
                <w:rFonts w:cs="Times New Roman"/>
                <w:sz w:val="21"/>
                <w:szCs w:val="21"/>
                <w:lang w:eastAsia="en-US"/>
              </w:rPr>
              <w:t>39°14'51.5104"</w:t>
            </w:r>
          </w:p>
          <w:p w14:paraId="167FEB20">
            <w:pPr>
              <w:widowControl w:val="0"/>
              <w:jc w:val="center"/>
              <w:textAlignment w:val="center"/>
              <w:rPr>
                <w:rFonts w:cs="Times New Roman"/>
                <w:sz w:val="21"/>
                <w:szCs w:val="21"/>
                <w:lang w:eastAsia="en-US"/>
              </w:rPr>
            </w:pPr>
          </w:p>
        </w:tc>
        <w:tc>
          <w:tcPr>
            <w:tcW w:w="381" w:type="pct"/>
            <w:tcBorders>
              <w:tl2br w:val="nil"/>
              <w:tr2bl w:val="nil"/>
            </w:tcBorders>
            <w:vAlign w:val="center"/>
          </w:tcPr>
          <w:p w14:paraId="446BD7F5">
            <w:pPr>
              <w:widowControl w:val="0"/>
              <w:jc w:val="center"/>
              <w:rPr>
                <w:rFonts w:cs="Times New Roman"/>
                <w:sz w:val="21"/>
                <w:szCs w:val="21"/>
                <w:lang w:eastAsia="en-US"/>
              </w:rPr>
            </w:pPr>
            <w:r>
              <w:rPr>
                <w:rFonts w:hint="eastAsia" w:cs="Times New Roman"/>
                <w:sz w:val="21"/>
                <w:szCs w:val="21"/>
                <w:lang w:eastAsia="en-US"/>
              </w:rPr>
              <w:t>居民</w:t>
            </w:r>
          </w:p>
        </w:tc>
        <w:tc>
          <w:tcPr>
            <w:tcW w:w="453" w:type="pct"/>
            <w:tcBorders>
              <w:tl2br w:val="nil"/>
              <w:tr2bl w:val="nil"/>
            </w:tcBorders>
            <w:vAlign w:val="center"/>
          </w:tcPr>
          <w:p w14:paraId="7848A7B8">
            <w:pPr>
              <w:widowControl w:val="0"/>
              <w:jc w:val="center"/>
              <w:rPr>
                <w:rFonts w:cs="Times New Roman"/>
                <w:sz w:val="21"/>
                <w:szCs w:val="21"/>
                <w:lang w:eastAsia="en-US"/>
              </w:rPr>
            </w:pPr>
            <w:r>
              <w:rPr>
                <w:rFonts w:hint="eastAsia" w:cs="Times New Roman"/>
                <w:sz w:val="21"/>
                <w:szCs w:val="21"/>
                <w:lang w:eastAsia="en-US"/>
              </w:rPr>
              <w:t>5</w:t>
            </w:r>
            <w:r>
              <w:rPr>
                <w:rFonts w:cs="Times New Roman"/>
                <w:sz w:val="21"/>
                <w:szCs w:val="21"/>
                <w:lang w:eastAsia="en-US"/>
              </w:rPr>
              <w:t>0</w:t>
            </w:r>
          </w:p>
        </w:tc>
        <w:tc>
          <w:tcPr>
            <w:tcW w:w="811" w:type="pct"/>
            <w:vMerge w:val="continue"/>
            <w:tcBorders>
              <w:tl2br w:val="nil"/>
              <w:tr2bl w:val="nil"/>
            </w:tcBorders>
            <w:vAlign w:val="center"/>
          </w:tcPr>
          <w:p w14:paraId="16573642">
            <w:pPr>
              <w:widowControl w:val="0"/>
              <w:jc w:val="center"/>
              <w:rPr>
                <w:rFonts w:cs="Times New Roman"/>
                <w:sz w:val="21"/>
                <w:szCs w:val="21"/>
                <w:lang w:eastAsia="en-US"/>
              </w:rPr>
            </w:pPr>
          </w:p>
        </w:tc>
        <w:tc>
          <w:tcPr>
            <w:tcW w:w="372" w:type="pct"/>
            <w:tcBorders>
              <w:tl2br w:val="nil"/>
              <w:tr2bl w:val="nil"/>
            </w:tcBorders>
            <w:shd w:val="clear" w:color="auto" w:fill="auto"/>
            <w:vAlign w:val="center"/>
          </w:tcPr>
          <w:p w14:paraId="2AC9318F">
            <w:pPr>
              <w:widowControl w:val="0"/>
              <w:jc w:val="center"/>
              <w:rPr>
                <w:rFonts w:cs="Times New Roman"/>
                <w:sz w:val="21"/>
                <w:szCs w:val="21"/>
                <w:lang w:eastAsia="en-US"/>
              </w:rPr>
            </w:pPr>
            <w:r>
              <w:rPr>
                <w:rFonts w:cs="Times New Roman"/>
                <w:sz w:val="21"/>
                <w:szCs w:val="21"/>
                <w:lang w:eastAsia="en-US"/>
              </w:rPr>
              <w:t>两侧</w:t>
            </w:r>
          </w:p>
        </w:tc>
        <w:tc>
          <w:tcPr>
            <w:tcW w:w="444" w:type="pct"/>
            <w:tcBorders>
              <w:tl2br w:val="nil"/>
              <w:tr2bl w:val="nil"/>
            </w:tcBorders>
            <w:shd w:val="clear" w:color="auto" w:fill="auto"/>
            <w:vAlign w:val="center"/>
          </w:tcPr>
          <w:p w14:paraId="037EFB8B">
            <w:pPr>
              <w:widowControl w:val="0"/>
              <w:jc w:val="center"/>
              <w:rPr>
                <w:rFonts w:cs="Times New Roman"/>
                <w:sz w:val="21"/>
                <w:szCs w:val="21"/>
                <w:lang w:eastAsia="en-US"/>
              </w:rPr>
            </w:pPr>
            <w:r>
              <w:rPr>
                <w:rFonts w:hint="eastAsia" w:cs="Times New Roman"/>
                <w:sz w:val="21"/>
                <w:szCs w:val="21"/>
                <w:lang w:eastAsia="en-US"/>
              </w:rPr>
              <w:t>6</w:t>
            </w:r>
          </w:p>
        </w:tc>
      </w:tr>
    </w:tbl>
    <w:p w14:paraId="30F99C53">
      <w:pPr>
        <w:pStyle w:val="4"/>
        <w:adjustRightInd w:val="0"/>
        <w:snapToGrid w:val="0"/>
        <w:spacing w:before="156" w:after="156" w:line="240" w:lineRule="auto"/>
        <w:rPr>
          <w:rFonts w:ascii="Times New Roman" w:hAnsi="Times New Roman" w:cs="Times New Roman"/>
          <w:sz w:val="30"/>
        </w:rPr>
      </w:pPr>
      <w:bookmarkStart w:id="265" w:name="_Toc98413498"/>
      <w:r>
        <w:rPr>
          <w:rFonts w:ascii="Times New Roman" w:hAnsi="Times New Roman" w:cs="Times New Roman"/>
          <w:sz w:val="30"/>
        </w:rPr>
        <w:t>2.5.3水环境保护目</w:t>
      </w:r>
      <w:bookmarkStart w:id="266" w:name="_Toc469140810"/>
      <w:bookmarkStart w:id="267" w:name="_Toc493587496"/>
      <w:bookmarkStart w:id="268" w:name="_Toc458525535"/>
      <w:bookmarkStart w:id="269" w:name="_Toc486841838"/>
      <w:bookmarkStart w:id="270" w:name="_Toc482003723"/>
      <w:bookmarkStart w:id="271" w:name="_Toc423429071"/>
      <w:bookmarkStart w:id="272" w:name="_Toc471983180"/>
      <w:bookmarkStart w:id="273" w:name="_Toc471981487"/>
      <w:r>
        <w:rPr>
          <w:rFonts w:ascii="Times New Roman" w:hAnsi="Times New Roman" w:cs="Times New Roman"/>
          <w:sz w:val="30"/>
        </w:rPr>
        <w:t>标</w:t>
      </w:r>
      <w:bookmarkEnd w:id="266"/>
      <w:bookmarkEnd w:id="267"/>
      <w:bookmarkEnd w:id="268"/>
      <w:bookmarkEnd w:id="269"/>
      <w:bookmarkEnd w:id="270"/>
      <w:bookmarkEnd w:id="271"/>
      <w:bookmarkEnd w:id="272"/>
      <w:bookmarkEnd w:id="273"/>
    </w:p>
    <w:p w14:paraId="72EEDF36">
      <w:pPr>
        <w:adjustRightInd w:val="0"/>
        <w:snapToGrid w:val="0"/>
        <w:spacing w:line="360" w:lineRule="auto"/>
        <w:ind w:firstLine="480" w:firstLineChars="200"/>
        <w:jc w:val="both"/>
        <w:rPr>
          <w:rFonts w:ascii="Times New Roman" w:hAnsi="Times New Roman" w:cs="Times New Roman"/>
        </w:rPr>
      </w:pPr>
      <w:r>
        <w:rPr>
          <w:rFonts w:hint="eastAsia" w:ascii="Times New Roman" w:hAnsi="Times New Roman" w:cs="Times New Roman"/>
        </w:rPr>
        <w:t>项目沿线</w:t>
      </w:r>
      <w:r>
        <w:rPr>
          <w:rFonts w:ascii="Times New Roman" w:hAnsi="Times New Roman" w:cs="Times New Roman"/>
        </w:rPr>
        <w:t>K21+577～K26+078段跨越盖孜河干流及支流；K20+794跨越</w:t>
      </w:r>
      <w:r>
        <w:rPr>
          <w:rFonts w:hint="eastAsia" w:ascii="Times New Roman" w:hAnsi="Times New Roman" w:cs="Times New Roman"/>
        </w:rPr>
        <w:t>英格盖孜达里亚河，</w:t>
      </w:r>
      <w:r>
        <w:rPr>
          <w:rFonts w:ascii="Times New Roman" w:hAnsi="Times New Roman" w:cs="Times New Roman"/>
        </w:rPr>
        <w:t>K28+903跨越</w:t>
      </w:r>
      <w:r>
        <w:rPr>
          <w:rFonts w:hint="eastAsia" w:ascii="Times New Roman" w:hAnsi="Times New Roman" w:cs="Times New Roman"/>
        </w:rPr>
        <w:t>苏古鲁克河。</w:t>
      </w:r>
      <w:r>
        <w:rPr>
          <w:rFonts w:ascii="Times New Roman" w:hAnsi="Times New Roman" w:cs="Times New Roman"/>
        </w:rPr>
        <w:t>项目跨越水体的桥梁共10处，主要跨越盖孜河干流及支流、</w:t>
      </w:r>
      <w:r>
        <w:rPr>
          <w:rFonts w:hint="eastAsia" w:ascii="Times New Roman" w:hAnsi="Times New Roman" w:cs="Times New Roman"/>
        </w:rPr>
        <w:t>英格盖孜达里亚河、苏古鲁克河</w:t>
      </w:r>
      <w:r>
        <w:rPr>
          <w:rFonts w:ascii="Times New Roman" w:hAnsi="Times New Roman" w:cs="Times New Roman"/>
        </w:rPr>
        <w:t>。具体见下表。</w:t>
      </w:r>
      <w:r>
        <w:rPr>
          <w:rFonts w:hint="eastAsia" w:ascii="Times New Roman" w:hAnsi="Times New Roman" w:cs="Times New Roman"/>
        </w:rPr>
        <w:t>水环境保护目标见下表</w:t>
      </w:r>
      <w:r>
        <w:rPr>
          <w:rFonts w:ascii="Times New Roman" w:hAnsi="Times New Roman" w:cs="Times New Roman"/>
        </w:rPr>
        <w:t xml:space="preserve"> 2.5-3。</w:t>
      </w:r>
    </w:p>
    <w:p w14:paraId="50F60A42">
      <w:pPr>
        <w:jc w:val="center"/>
        <w:rPr>
          <w:rFonts w:ascii="Times New Roman" w:hAnsi="Times New Roman" w:cs="Times New Roman"/>
          <w:b/>
          <w:bCs/>
          <w:szCs w:val="20"/>
        </w:rPr>
      </w:pPr>
      <w:r>
        <w:rPr>
          <w:rFonts w:ascii="Times New Roman" w:hAnsi="Times New Roman" w:cs="Times New Roman"/>
          <w:b/>
          <w:bCs/>
          <w:szCs w:val="20"/>
        </w:rPr>
        <w:t xml:space="preserve">表2.5-3  </w:t>
      </w:r>
      <w:r>
        <w:rPr>
          <w:rFonts w:hint="eastAsia" w:ascii="Times New Roman" w:hAnsi="Times New Roman" w:cs="Times New Roman"/>
          <w:b/>
          <w:bCs/>
          <w:szCs w:val="20"/>
        </w:rPr>
        <w:t>拟建项目主要水环境保护目标</w:t>
      </w:r>
    </w:p>
    <w:tbl>
      <w:tblPr>
        <w:tblStyle w:val="8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2"/>
        <w:gridCol w:w="1310"/>
        <w:gridCol w:w="1165"/>
        <w:gridCol w:w="1165"/>
        <w:gridCol w:w="1019"/>
        <w:gridCol w:w="1311"/>
        <w:gridCol w:w="815"/>
      </w:tblGrid>
      <w:tr w14:paraId="08014E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022" w:type="pct"/>
            <w:vAlign w:val="center"/>
          </w:tcPr>
          <w:p w14:paraId="09F478B2">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保护区水体名称</w:t>
            </w:r>
          </w:p>
        </w:tc>
        <w:tc>
          <w:tcPr>
            <w:tcW w:w="768" w:type="pct"/>
            <w:vAlign w:val="center"/>
          </w:tcPr>
          <w:p w14:paraId="02C6FBAA">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中心桩号</w:t>
            </w:r>
          </w:p>
        </w:tc>
        <w:tc>
          <w:tcPr>
            <w:tcW w:w="683" w:type="pct"/>
            <w:vAlign w:val="center"/>
          </w:tcPr>
          <w:p w14:paraId="26B168AC">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跨越处河/渠宽m</w:t>
            </w:r>
          </w:p>
        </w:tc>
        <w:tc>
          <w:tcPr>
            <w:tcW w:w="683" w:type="pct"/>
            <w:vAlign w:val="center"/>
          </w:tcPr>
          <w:p w14:paraId="7F096600">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涉水桥墩</w:t>
            </w:r>
          </w:p>
          <w:p w14:paraId="269B04D7">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数量（组）</w:t>
            </w:r>
          </w:p>
        </w:tc>
        <w:tc>
          <w:tcPr>
            <w:tcW w:w="597" w:type="pct"/>
            <w:vAlign w:val="center"/>
          </w:tcPr>
          <w:p w14:paraId="241562E1">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与线路位置关系</w:t>
            </w:r>
          </w:p>
        </w:tc>
        <w:tc>
          <w:tcPr>
            <w:tcW w:w="769" w:type="pct"/>
            <w:vAlign w:val="center"/>
          </w:tcPr>
          <w:p w14:paraId="637F231C">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现状主要功能</w:t>
            </w:r>
          </w:p>
        </w:tc>
        <w:tc>
          <w:tcPr>
            <w:tcW w:w="478" w:type="pct"/>
            <w:vAlign w:val="center"/>
          </w:tcPr>
          <w:p w14:paraId="1F72CD0E">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执行水</w:t>
            </w:r>
          </w:p>
          <w:p w14:paraId="12314A6F">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质标准</w:t>
            </w:r>
          </w:p>
        </w:tc>
      </w:tr>
      <w:tr w14:paraId="28C607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022" w:type="pct"/>
            <w:tcBorders>
              <w:top w:val="single" w:color="auto" w:sz="4" w:space="0"/>
            </w:tcBorders>
            <w:vAlign w:val="center"/>
          </w:tcPr>
          <w:p w14:paraId="35305DD5">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盖孜河</w:t>
            </w:r>
          </w:p>
        </w:tc>
        <w:tc>
          <w:tcPr>
            <w:tcW w:w="768" w:type="pct"/>
            <w:tcBorders>
              <w:top w:val="single" w:color="auto" w:sz="4" w:space="0"/>
            </w:tcBorders>
            <w:vAlign w:val="center"/>
          </w:tcPr>
          <w:p w14:paraId="1B8C7498">
            <w:pPr>
              <w:spacing w:line="240" w:lineRule="exact"/>
              <w:jc w:val="center"/>
              <w:rPr>
                <w:rFonts w:ascii="Times New Roman" w:hAnsi="Times New Roman" w:cs="Times New Roman"/>
                <w:sz w:val="21"/>
                <w:szCs w:val="18"/>
              </w:rPr>
            </w:pPr>
            <w:r>
              <w:rPr>
                <w:rFonts w:ascii="Times New Roman" w:hAnsi="Times New Roman" w:cs="Times New Roman"/>
                <w:sz w:val="21"/>
                <w:szCs w:val="18"/>
              </w:rPr>
              <w:t>K26+078.0</w:t>
            </w:r>
          </w:p>
        </w:tc>
        <w:tc>
          <w:tcPr>
            <w:tcW w:w="683" w:type="pct"/>
            <w:vAlign w:val="center"/>
          </w:tcPr>
          <w:p w14:paraId="7661B83E">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2</w:t>
            </w:r>
            <w:r>
              <w:rPr>
                <w:rFonts w:ascii="Times New Roman" w:hAnsi="Times New Roman" w:cs="Times New Roman"/>
                <w:sz w:val="21"/>
                <w:szCs w:val="18"/>
              </w:rPr>
              <w:t>840</w:t>
            </w:r>
          </w:p>
        </w:tc>
        <w:tc>
          <w:tcPr>
            <w:tcW w:w="683" w:type="pct"/>
            <w:vAlign w:val="center"/>
          </w:tcPr>
          <w:p w14:paraId="1DE6183D">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9</w:t>
            </w:r>
            <w:r>
              <w:rPr>
                <w:rFonts w:ascii="Times New Roman" w:hAnsi="Times New Roman" w:cs="Times New Roman"/>
                <w:sz w:val="21"/>
                <w:szCs w:val="18"/>
              </w:rPr>
              <w:t>5</w:t>
            </w:r>
          </w:p>
        </w:tc>
        <w:tc>
          <w:tcPr>
            <w:tcW w:w="597" w:type="pct"/>
            <w:tcBorders>
              <w:bottom w:val="single" w:color="auto" w:sz="4" w:space="0"/>
            </w:tcBorders>
            <w:vAlign w:val="center"/>
          </w:tcPr>
          <w:p w14:paraId="1F3C9D6D">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跨越</w:t>
            </w:r>
          </w:p>
        </w:tc>
        <w:tc>
          <w:tcPr>
            <w:tcW w:w="769" w:type="pct"/>
            <w:tcBorders>
              <w:bottom w:val="single" w:color="auto" w:sz="4" w:space="0"/>
            </w:tcBorders>
            <w:vAlign w:val="center"/>
          </w:tcPr>
          <w:p w14:paraId="73701A17">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饮用、工农业用水</w:t>
            </w:r>
          </w:p>
        </w:tc>
        <w:tc>
          <w:tcPr>
            <w:tcW w:w="478" w:type="pct"/>
            <w:tcBorders>
              <w:bottom w:val="single" w:color="auto" w:sz="4" w:space="0"/>
            </w:tcBorders>
            <w:vAlign w:val="center"/>
          </w:tcPr>
          <w:p w14:paraId="2EA5C6BD">
            <w:pPr>
              <w:spacing w:line="240" w:lineRule="exact"/>
              <w:jc w:val="center"/>
              <w:rPr>
                <w:rFonts w:ascii="Times New Roman" w:hAnsi="Times New Roman" w:cs="Times New Roman"/>
                <w:sz w:val="21"/>
                <w:szCs w:val="18"/>
              </w:rPr>
            </w:pPr>
            <w:r>
              <w:rPr>
                <w:rFonts w:ascii="Times New Roman" w:hAnsi="Times New Roman" w:cs="Times New Roman"/>
                <w:sz w:val="21"/>
                <w:szCs w:val="18"/>
              </w:rPr>
              <w:t>II类</w:t>
            </w:r>
          </w:p>
        </w:tc>
      </w:tr>
      <w:tr w14:paraId="66E363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022" w:type="pct"/>
            <w:tcBorders>
              <w:top w:val="single" w:color="auto" w:sz="4" w:space="0"/>
            </w:tcBorders>
            <w:vAlign w:val="center"/>
          </w:tcPr>
          <w:p w14:paraId="500DD38A">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盖孜河支流1号大桥</w:t>
            </w:r>
          </w:p>
        </w:tc>
        <w:tc>
          <w:tcPr>
            <w:tcW w:w="768" w:type="pct"/>
            <w:tcBorders>
              <w:top w:val="single" w:color="auto" w:sz="4" w:space="0"/>
            </w:tcBorders>
            <w:vAlign w:val="center"/>
          </w:tcPr>
          <w:p w14:paraId="3D792395">
            <w:pPr>
              <w:spacing w:line="240" w:lineRule="exact"/>
              <w:jc w:val="center"/>
              <w:rPr>
                <w:rFonts w:ascii="Times New Roman" w:hAnsi="Times New Roman" w:cs="Times New Roman"/>
                <w:sz w:val="21"/>
                <w:szCs w:val="18"/>
              </w:rPr>
            </w:pPr>
            <w:r>
              <w:rPr>
                <w:rFonts w:ascii="Times New Roman" w:hAnsi="Times New Roman" w:cs="Times New Roman"/>
                <w:sz w:val="21"/>
                <w:szCs w:val="18"/>
              </w:rPr>
              <w:t>K21+794</w:t>
            </w:r>
          </w:p>
        </w:tc>
        <w:tc>
          <w:tcPr>
            <w:tcW w:w="683" w:type="pct"/>
            <w:vAlign w:val="center"/>
          </w:tcPr>
          <w:p w14:paraId="6B56EBC9">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30</w:t>
            </w:r>
          </w:p>
        </w:tc>
        <w:tc>
          <w:tcPr>
            <w:tcW w:w="683" w:type="pct"/>
            <w:vAlign w:val="center"/>
          </w:tcPr>
          <w:p w14:paraId="00A06400">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6</w:t>
            </w:r>
          </w:p>
        </w:tc>
        <w:tc>
          <w:tcPr>
            <w:tcW w:w="597" w:type="pct"/>
            <w:tcBorders>
              <w:bottom w:val="single" w:color="auto" w:sz="4" w:space="0"/>
            </w:tcBorders>
            <w:vAlign w:val="center"/>
          </w:tcPr>
          <w:p w14:paraId="24290FB8">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跨越</w:t>
            </w:r>
          </w:p>
        </w:tc>
        <w:tc>
          <w:tcPr>
            <w:tcW w:w="769" w:type="pct"/>
            <w:tcBorders>
              <w:bottom w:val="single" w:color="auto" w:sz="4" w:space="0"/>
            </w:tcBorders>
            <w:vAlign w:val="center"/>
          </w:tcPr>
          <w:p w14:paraId="564CD6C4">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饮用、工农业用水</w:t>
            </w:r>
          </w:p>
        </w:tc>
        <w:tc>
          <w:tcPr>
            <w:tcW w:w="478" w:type="pct"/>
            <w:tcBorders>
              <w:bottom w:val="single" w:color="auto" w:sz="4" w:space="0"/>
            </w:tcBorders>
            <w:vAlign w:val="center"/>
          </w:tcPr>
          <w:p w14:paraId="5CD80923">
            <w:pPr>
              <w:spacing w:line="240" w:lineRule="exact"/>
              <w:jc w:val="center"/>
              <w:rPr>
                <w:rFonts w:ascii="Times New Roman" w:hAnsi="Times New Roman" w:cs="Times New Roman"/>
                <w:sz w:val="21"/>
                <w:szCs w:val="18"/>
              </w:rPr>
            </w:pPr>
            <w:r>
              <w:rPr>
                <w:rFonts w:ascii="Times New Roman" w:hAnsi="Times New Roman" w:cs="Times New Roman"/>
                <w:sz w:val="21"/>
                <w:szCs w:val="18"/>
              </w:rPr>
              <w:t>II类</w:t>
            </w:r>
          </w:p>
        </w:tc>
      </w:tr>
      <w:tr w14:paraId="2547BE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022" w:type="pct"/>
            <w:tcBorders>
              <w:top w:val="single" w:color="auto" w:sz="4" w:space="0"/>
            </w:tcBorders>
            <w:vAlign w:val="center"/>
          </w:tcPr>
          <w:p w14:paraId="3C6BF80B">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盖孜河支流</w:t>
            </w:r>
            <w:r>
              <w:rPr>
                <w:rFonts w:ascii="Times New Roman" w:hAnsi="Times New Roman" w:cs="Times New Roman"/>
                <w:sz w:val="21"/>
                <w:szCs w:val="18"/>
              </w:rPr>
              <w:t>2</w:t>
            </w:r>
            <w:r>
              <w:rPr>
                <w:rFonts w:hint="eastAsia" w:ascii="Times New Roman" w:hAnsi="Times New Roman" w:cs="Times New Roman"/>
                <w:sz w:val="21"/>
                <w:szCs w:val="18"/>
              </w:rPr>
              <w:t>号大桥</w:t>
            </w:r>
          </w:p>
        </w:tc>
        <w:tc>
          <w:tcPr>
            <w:tcW w:w="768" w:type="pct"/>
            <w:tcBorders>
              <w:top w:val="single" w:color="auto" w:sz="4" w:space="0"/>
            </w:tcBorders>
            <w:vAlign w:val="center"/>
          </w:tcPr>
          <w:p w14:paraId="151784BB">
            <w:pPr>
              <w:spacing w:line="240" w:lineRule="exact"/>
              <w:jc w:val="center"/>
              <w:rPr>
                <w:rFonts w:ascii="Times New Roman" w:hAnsi="Times New Roman" w:cs="Times New Roman"/>
                <w:sz w:val="21"/>
                <w:szCs w:val="18"/>
              </w:rPr>
            </w:pPr>
            <w:r>
              <w:rPr>
                <w:rFonts w:ascii="Times New Roman" w:hAnsi="Times New Roman" w:cs="Times New Roman"/>
                <w:sz w:val="21"/>
                <w:szCs w:val="18"/>
              </w:rPr>
              <w:t>K22+577</w:t>
            </w:r>
          </w:p>
        </w:tc>
        <w:tc>
          <w:tcPr>
            <w:tcW w:w="683" w:type="pct"/>
            <w:vAlign w:val="center"/>
          </w:tcPr>
          <w:p w14:paraId="424BBF64">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20</w:t>
            </w:r>
          </w:p>
        </w:tc>
        <w:tc>
          <w:tcPr>
            <w:tcW w:w="683" w:type="pct"/>
            <w:vAlign w:val="center"/>
          </w:tcPr>
          <w:p w14:paraId="6EFA47C7">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6</w:t>
            </w:r>
          </w:p>
        </w:tc>
        <w:tc>
          <w:tcPr>
            <w:tcW w:w="597" w:type="pct"/>
            <w:tcBorders>
              <w:bottom w:val="single" w:color="auto" w:sz="4" w:space="0"/>
            </w:tcBorders>
            <w:vAlign w:val="center"/>
          </w:tcPr>
          <w:p w14:paraId="12A07F14">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跨越</w:t>
            </w:r>
          </w:p>
        </w:tc>
        <w:tc>
          <w:tcPr>
            <w:tcW w:w="769" w:type="pct"/>
            <w:tcBorders>
              <w:bottom w:val="single" w:color="auto" w:sz="4" w:space="0"/>
            </w:tcBorders>
            <w:vAlign w:val="center"/>
          </w:tcPr>
          <w:p w14:paraId="3237D764">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饮用、工农业用水</w:t>
            </w:r>
          </w:p>
        </w:tc>
        <w:tc>
          <w:tcPr>
            <w:tcW w:w="478" w:type="pct"/>
            <w:tcBorders>
              <w:bottom w:val="single" w:color="auto" w:sz="4" w:space="0"/>
            </w:tcBorders>
            <w:vAlign w:val="center"/>
          </w:tcPr>
          <w:p w14:paraId="234EE8DA">
            <w:pPr>
              <w:spacing w:line="240" w:lineRule="exact"/>
              <w:jc w:val="center"/>
              <w:rPr>
                <w:rFonts w:ascii="Times New Roman" w:hAnsi="Times New Roman" w:cs="Times New Roman"/>
                <w:sz w:val="21"/>
                <w:szCs w:val="18"/>
              </w:rPr>
            </w:pPr>
            <w:r>
              <w:rPr>
                <w:rFonts w:ascii="Times New Roman" w:hAnsi="Times New Roman" w:cs="Times New Roman"/>
                <w:sz w:val="21"/>
                <w:szCs w:val="18"/>
              </w:rPr>
              <w:t>II类</w:t>
            </w:r>
          </w:p>
        </w:tc>
      </w:tr>
      <w:tr w14:paraId="6B36A9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1022" w:type="pct"/>
            <w:vAlign w:val="center"/>
          </w:tcPr>
          <w:p w14:paraId="4C69BCC6">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英格盖孜达里亚河（盖孜河干渠）</w:t>
            </w:r>
          </w:p>
        </w:tc>
        <w:tc>
          <w:tcPr>
            <w:tcW w:w="768" w:type="pct"/>
            <w:vAlign w:val="center"/>
          </w:tcPr>
          <w:p w14:paraId="0F7BC2F0">
            <w:pPr>
              <w:spacing w:line="240" w:lineRule="exact"/>
              <w:jc w:val="center"/>
              <w:rPr>
                <w:rFonts w:ascii="Times New Roman" w:hAnsi="Times New Roman" w:cs="Times New Roman"/>
                <w:sz w:val="21"/>
                <w:szCs w:val="18"/>
              </w:rPr>
            </w:pPr>
            <w:r>
              <w:rPr>
                <w:rFonts w:ascii="Times New Roman" w:hAnsi="Times New Roman" w:cs="Times New Roman"/>
                <w:sz w:val="21"/>
                <w:szCs w:val="18"/>
              </w:rPr>
              <w:t>K20+794</w:t>
            </w:r>
          </w:p>
        </w:tc>
        <w:tc>
          <w:tcPr>
            <w:tcW w:w="683" w:type="pct"/>
            <w:vAlign w:val="center"/>
          </w:tcPr>
          <w:p w14:paraId="19F21DD9">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8</w:t>
            </w:r>
          </w:p>
        </w:tc>
        <w:tc>
          <w:tcPr>
            <w:tcW w:w="683" w:type="pct"/>
            <w:vAlign w:val="center"/>
          </w:tcPr>
          <w:p w14:paraId="786FCB32">
            <w:pPr>
              <w:spacing w:line="240" w:lineRule="exact"/>
              <w:jc w:val="center"/>
              <w:rPr>
                <w:rFonts w:ascii="Times New Roman" w:hAnsi="Times New Roman" w:cs="Times New Roman"/>
                <w:sz w:val="21"/>
                <w:szCs w:val="18"/>
              </w:rPr>
            </w:pPr>
            <w:r>
              <w:rPr>
                <w:rFonts w:ascii="Times New Roman" w:hAnsi="Times New Roman" w:cs="Times New Roman"/>
                <w:sz w:val="21"/>
                <w:szCs w:val="18"/>
              </w:rPr>
              <w:t>/</w:t>
            </w:r>
          </w:p>
        </w:tc>
        <w:tc>
          <w:tcPr>
            <w:tcW w:w="597" w:type="pct"/>
            <w:vAlign w:val="center"/>
          </w:tcPr>
          <w:p w14:paraId="73D3344C">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跨越</w:t>
            </w:r>
          </w:p>
        </w:tc>
        <w:tc>
          <w:tcPr>
            <w:tcW w:w="769" w:type="pct"/>
            <w:vAlign w:val="center"/>
          </w:tcPr>
          <w:p w14:paraId="088A409F">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引水渠</w:t>
            </w:r>
          </w:p>
        </w:tc>
        <w:tc>
          <w:tcPr>
            <w:tcW w:w="478" w:type="pct"/>
            <w:vAlign w:val="center"/>
          </w:tcPr>
          <w:p w14:paraId="3ADDD4BA">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w:t>
            </w:r>
          </w:p>
        </w:tc>
      </w:tr>
      <w:tr w14:paraId="3B412E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8" w:hRule="atLeast"/>
          <w:jc w:val="center"/>
        </w:trPr>
        <w:tc>
          <w:tcPr>
            <w:tcW w:w="1022" w:type="pct"/>
            <w:vAlign w:val="center"/>
          </w:tcPr>
          <w:p w14:paraId="2B137917">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苏古鲁克河</w:t>
            </w:r>
          </w:p>
        </w:tc>
        <w:tc>
          <w:tcPr>
            <w:tcW w:w="768" w:type="pct"/>
            <w:vAlign w:val="center"/>
          </w:tcPr>
          <w:p w14:paraId="25192C5E">
            <w:pPr>
              <w:spacing w:line="240" w:lineRule="exact"/>
              <w:jc w:val="center"/>
              <w:rPr>
                <w:rFonts w:ascii="Times New Roman" w:hAnsi="Times New Roman" w:cs="Times New Roman"/>
                <w:sz w:val="21"/>
                <w:szCs w:val="18"/>
              </w:rPr>
            </w:pPr>
            <w:r>
              <w:rPr>
                <w:rFonts w:ascii="Times New Roman" w:hAnsi="Times New Roman" w:cs="Times New Roman"/>
                <w:sz w:val="21"/>
                <w:szCs w:val="18"/>
              </w:rPr>
              <w:t>K28+903</w:t>
            </w:r>
          </w:p>
        </w:tc>
        <w:tc>
          <w:tcPr>
            <w:tcW w:w="683" w:type="pct"/>
            <w:vAlign w:val="center"/>
          </w:tcPr>
          <w:p w14:paraId="51C7D0CA">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8</w:t>
            </w:r>
            <w:r>
              <w:rPr>
                <w:rFonts w:ascii="Times New Roman" w:hAnsi="Times New Roman" w:cs="Times New Roman"/>
                <w:sz w:val="21"/>
                <w:szCs w:val="18"/>
              </w:rPr>
              <w:t>7</w:t>
            </w:r>
          </w:p>
        </w:tc>
        <w:tc>
          <w:tcPr>
            <w:tcW w:w="683" w:type="pct"/>
            <w:vAlign w:val="center"/>
          </w:tcPr>
          <w:p w14:paraId="79A1A986">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5</w:t>
            </w:r>
          </w:p>
        </w:tc>
        <w:tc>
          <w:tcPr>
            <w:tcW w:w="597" w:type="pct"/>
            <w:vAlign w:val="center"/>
          </w:tcPr>
          <w:p w14:paraId="49F17935">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跨越</w:t>
            </w:r>
          </w:p>
        </w:tc>
        <w:tc>
          <w:tcPr>
            <w:tcW w:w="769" w:type="pct"/>
            <w:vAlign w:val="center"/>
          </w:tcPr>
          <w:p w14:paraId="4FC3C616">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 xml:space="preserve"> </w:t>
            </w:r>
          </w:p>
        </w:tc>
        <w:tc>
          <w:tcPr>
            <w:tcW w:w="478" w:type="pct"/>
            <w:vAlign w:val="center"/>
          </w:tcPr>
          <w:p w14:paraId="2493200C">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 xml:space="preserve"> </w:t>
            </w:r>
          </w:p>
        </w:tc>
      </w:tr>
    </w:tbl>
    <w:p w14:paraId="4EB3CC4A">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2.5.4大临工程环境保护目标</w:t>
      </w:r>
    </w:p>
    <w:p w14:paraId="62B117CF">
      <w:pPr>
        <w:pStyle w:val="167"/>
        <w:spacing w:before="0" w:after="0" w:line="360" w:lineRule="auto"/>
        <w:ind w:firstLine="480" w:firstLineChars="200"/>
        <w:jc w:val="both"/>
        <w:rPr>
          <w:rFonts w:ascii="Times New Roman" w:hAnsi="Times New Roman" w:eastAsia="宋体" w:cs="Times New Roman"/>
          <w:szCs w:val="24"/>
        </w:rPr>
      </w:pPr>
      <w:r>
        <w:rPr>
          <w:rFonts w:ascii="Times New Roman" w:hAnsi="Times New Roman" w:eastAsia="宋体" w:cs="Times New Roman"/>
          <w:szCs w:val="24"/>
        </w:rPr>
        <w:t>本项目主要设置5处大临工程临时场所，分别为施工综合场站2</w:t>
      </w:r>
      <w:r>
        <w:rPr>
          <w:rFonts w:hint="eastAsia" w:ascii="Times New Roman" w:hAnsi="Times New Roman" w:eastAsia="宋体" w:cs="Times New Roman"/>
          <w:szCs w:val="24"/>
        </w:rPr>
        <w:t>处</w:t>
      </w:r>
      <w:r>
        <w:rPr>
          <w:rFonts w:ascii="Times New Roman" w:hAnsi="Times New Roman" w:eastAsia="宋体" w:cs="Times New Roman"/>
          <w:szCs w:val="24"/>
        </w:rPr>
        <w:t>、</w:t>
      </w:r>
      <w:r>
        <w:rPr>
          <w:rFonts w:hint="eastAsia" w:ascii="Times New Roman" w:hAnsi="Times New Roman" w:eastAsia="宋体" w:cs="Times New Roman"/>
          <w:szCs w:val="24"/>
        </w:rPr>
        <w:t>弃土场3处</w:t>
      </w:r>
      <w:r>
        <w:rPr>
          <w:rFonts w:ascii="Times New Roman" w:hAnsi="Times New Roman" w:eastAsia="宋体" w:cs="Times New Roman"/>
          <w:szCs w:val="24"/>
        </w:rPr>
        <w:t>，根据现场踏勘，所有大临工程周边均不涉及环境保护目标。</w:t>
      </w:r>
    </w:p>
    <w:p w14:paraId="3EEB53BD">
      <w:pPr>
        <w:pStyle w:val="3"/>
        <w:adjustRightInd w:val="0"/>
        <w:snapToGrid w:val="0"/>
        <w:spacing w:before="156" w:after="156" w:line="240" w:lineRule="auto"/>
        <w:rPr>
          <w:rFonts w:ascii="Times New Roman" w:hAnsi="Times New Roman" w:cs="Times New Roman"/>
        </w:rPr>
      </w:pPr>
      <w:bookmarkStart w:id="274" w:name="_Toc187675413"/>
      <w:r>
        <w:rPr>
          <w:rFonts w:ascii="Times New Roman" w:hAnsi="Times New Roman" w:cs="Times New Roman"/>
        </w:rPr>
        <w:t>2.6评价重点</w:t>
      </w:r>
      <w:bookmarkEnd w:id="265"/>
      <w:bookmarkEnd w:id="274"/>
    </w:p>
    <w:p w14:paraId="64F856F2">
      <w:pPr>
        <w:spacing w:line="360" w:lineRule="auto"/>
        <w:ind w:firstLine="464" w:firstLineChars="200"/>
        <w:jc w:val="both"/>
        <w:rPr>
          <w:rFonts w:ascii="Times New Roman" w:hAnsi="Times New Roman" w:cs="Times New Roman"/>
          <w:spacing w:val="-4"/>
        </w:rPr>
      </w:pPr>
      <w:bookmarkStart w:id="275" w:name="_Hlk171619791"/>
      <w:r>
        <w:rPr>
          <w:rFonts w:hint="eastAsia" w:ascii="Times New Roman" w:hAnsi="Times New Roman" w:cs="Times New Roman"/>
          <w:spacing w:val="-4"/>
        </w:rPr>
        <w:t>本次评价将声环境影响评价、生态环境影响评价、地表水及环境风险评价、施工期环境影响评价、污染防治和环境影响减缓措施评价作为评价重点。</w:t>
      </w:r>
      <w:bookmarkEnd w:id="275"/>
    </w:p>
    <w:p w14:paraId="262C613A">
      <w:pPr>
        <w:pStyle w:val="3"/>
        <w:adjustRightInd w:val="0"/>
        <w:snapToGrid w:val="0"/>
        <w:spacing w:before="156" w:after="156" w:line="240" w:lineRule="auto"/>
        <w:rPr>
          <w:rFonts w:ascii="Times New Roman" w:hAnsi="Times New Roman" w:cs="Times New Roman"/>
        </w:rPr>
      </w:pPr>
      <w:bookmarkStart w:id="276" w:name="_Toc98413499"/>
      <w:bookmarkStart w:id="277" w:name="_Toc187675414"/>
      <w:r>
        <w:rPr>
          <w:rFonts w:ascii="Times New Roman" w:hAnsi="Times New Roman" w:cs="Times New Roman"/>
        </w:rPr>
        <w:t>2.7评价时段</w:t>
      </w:r>
      <w:bookmarkEnd w:id="276"/>
      <w:bookmarkEnd w:id="277"/>
    </w:p>
    <w:p w14:paraId="0F9AA359">
      <w:pPr>
        <w:spacing w:line="360" w:lineRule="auto"/>
        <w:ind w:firstLine="464" w:firstLineChars="200"/>
        <w:jc w:val="both"/>
        <w:rPr>
          <w:rFonts w:ascii="Times New Roman" w:hAnsi="Times New Roman" w:eastAsia="隶书" w:cs="Times New Roman"/>
          <w:sz w:val="30"/>
          <w:szCs w:val="30"/>
        </w:rPr>
      </w:pPr>
      <w:r>
        <w:rPr>
          <w:rFonts w:ascii="Times New Roman" w:hAnsi="Times New Roman" w:cs="Times New Roman"/>
          <w:spacing w:val="-4"/>
        </w:rPr>
        <w:t>评价时段分施工期和营运期，工程建设施工期从项目计划与2025年开工，2026年年底建成，施工约</w:t>
      </w:r>
      <w:r>
        <w:rPr>
          <w:rFonts w:hint="eastAsia" w:ascii="Times New Roman" w:hAnsi="Times New Roman" w:cs="Times New Roman"/>
          <w:spacing w:val="-4"/>
        </w:rPr>
        <w:t>2</w:t>
      </w:r>
      <w:r>
        <w:rPr>
          <w:rFonts w:ascii="Times New Roman" w:hAnsi="Times New Roman" w:cs="Times New Roman"/>
          <w:spacing w:val="-4"/>
        </w:rPr>
        <w:t>0个月，</w:t>
      </w:r>
      <w:r>
        <w:rPr>
          <w:rFonts w:ascii="Times New Roman" w:hAnsi="Times New Roman" w:cs="Times New Roman"/>
        </w:rPr>
        <w:t>项目预计2026年可投入使用，本次评价预测年定为近期2026年、中期2032年、远期2040年</w:t>
      </w:r>
      <w:r>
        <w:rPr>
          <w:rFonts w:ascii="Times New Roman" w:hAnsi="Times New Roman" w:cs="Times New Roman"/>
          <w:spacing w:val="-4"/>
        </w:rPr>
        <w:t>。</w:t>
      </w:r>
    </w:p>
    <w:p w14:paraId="0A35C9AC">
      <w:pPr>
        <w:ind w:firstLine="643" w:firstLineChars="200"/>
        <w:jc w:val="both"/>
        <w:rPr>
          <w:rFonts w:ascii="Times New Roman" w:hAnsi="Times New Roman" w:cs="Times New Roman"/>
          <w:b/>
          <w:bCs/>
          <w:sz w:val="32"/>
        </w:rPr>
        <w:sectPr>
          <w:pgSz w:w="11906" w:h="16838"/>
          <w:pgMar w:top="1440" w:right="1797" w:bottom="1440" w:left="1797" w:header="794" w:footer="850" w:gutter="0"/>
          <w:cols w:space="720" w:num="1"/>
          <w:docGrid w:type="lines" w:linePitch="312" w:charSpace="0"/>
        </w:sectPr>
      </w:pPr>
    </w:p>
    <w:p w14:paraId="598FAD2C">
      <w:pPr>
        <w:pStyle w:val="2"/>
        <w:adjustRightInd w:val="0"/>
        <w:snapToGrid w:val="0"/>
        <w:spacing w:before="312" w:after="156" w:line="240" w:lineRule="auto"/>
        <w:rPr>
          <w:rFonts w:ascii="Times New Roman" w:hAnsi="Times New Roman" w:cs="Times New Roman"/>
        </w:rPr>
      </w:pPr>
      <w:bookmarkStart w:id="278" w:name="_Toc4507843"/>
      <w:bookmarkStart w:id="279" w:name="_Toc98413500"/>
      <w:bookmarkStart w:id="280" w:name="_Toc187675415"/>
      <w:bookmarkStart w:id="281" w:name="_Toc316561613"/>
      <w:bookmarkStart w:id="282" w:name="_Toc372582201"/>
      <w:bookmarkStart w:id="283" w:name="_Toc316511022"/>
      <w:bookmarkStart w:id="284" w:name="_Toc381605969"/>
      <w:r>
        <w:rPr>
          <w:rFonts w:ascii="Times New Roman" w:hAnsi="Times New Roman" w:cs="Times New Roman"/>
        </w:rPr>
        <w:t>3工程概况与工程分析</w:t>
      </w:r>
      <w:bookmarkEnd w:id="278"/>
      <w:bookmarkEnd w:id="279"/>
      <w:bookmarkEnd w:id="280"/>
    </w:p>
    <w:bookmarkEnd w:id="281"/>
    <w:bookmarkEnd w:id="282"/>
    <w:bookmarkEnd w:id="283"/>
    <w:bookmarkEnd w:id="284"/>
    <w:p w14:paraId="77F34833">
      <w:pPr>
        <w:pStyle w:val="3"/>
        <w:adjustRightInd w:val="0"/>
        <w:snapToGrid w:val="0"/>
        <w:spacing w:before="156" w:after="156" w:line="240" w:lineRule="auto"/>
        <w:rPr>
          <w:rFonts w:ascii="Times New Roman" w:hAnsi="Times New Roman" w:cs="Times New Roman"/>
          <w:sz w:val="24"/>
        </w:rPr>
      </w:pPr>
      <w:bookmarkStart w:id="285" w:name="_Toc4507844"/>
      <w:bookmarkStart w:id="286" w:name="_Toc187675416"/>
      <w:bookmarkStart w:id="287" w:name="_Toc98413501"/>
      <w:r>
        <w:rPr>
          <w:rFonts w:ascii="Times New Roman" w:hAnsi="Times New Roman" w:cs="Times New Roman"/>
        </w:rPr>
        <w:t>3.1</w:t>
      </w:r>
      <w:bookmarkEnd w:id="285"/>
      <w:bookmarkStart w:id="288" w:name="_Toc4507845"/>
      <w:r>
        <w:rPr>
          <w:rFonts w:ascii="Times New Roman" w:hAnsi="Times New Roman" w:cs="Times New Roman"/>
        </w:rPr>
        <w:t>工程概况</w:t>
      </w:r>
      <w:bookmarkEnd w:id="286"/>
      <w:bookmarkEnd w:id="287"/>
    </w:p>
    <w:bookmarkEnd w:id="288"/>
    <w:p w14:paraId="4B25B6DA">
      <w:pPr>
        <w:pStyle w:val="4"/>
        <w:adjustRightInd w:val="0"/>
        <w:snapToGrid w:val="0"/>
        <w:spacing w:before="156" w:after="156" w:line="240" w:lineRule="auto"/>
        <w:rPr>
          <w:rFonts w:ascii="Times New Roman" w:hAnsi="Times New Roman" w:cs="Times New Roman"/>
          <w:sz w:val="30"/>
        </w:rPr>
      </w:pPr>
      <w:bookmarkStart w:id="289" w:name="_Toc57826710"/>
      <w:bookmarkStart w:id="290" w:name="_Toc34989546"/>
      <w:bookmarkStart w:id="291" w:name="_Toc98414184"/>
      <w:bookmarkStart w:id="292" w:name="_Toc97464607"/>
      <w:bookmarkStart w:id="293" w:name="_Toc98413502"/>
      <w:r>
        <w:rPr>
          <w:rFonts w:ascii="Times New Roman" w:hAnsi="Times New Roman" w:cs="Times New Roman"/>
          <w:sz w:val="30"/>
        </w:rPr>
        <w:t>3.1.1项目基本情况</w:t>
      </w:r>
      <w:bookmarkEnd w:id="289"/>
      <w:bookmarkEnd w:id="290"/>
      <w:bookmarkEnd w:id="291"/>
      <w:bookmarkEnd w:id="292"/>
      <w:bookmarkEnd w:id="293"/>
    </w:p>
    <w:p w14:paraId="00E49973">
      <w:pPr>
        <w:spacing w:line="360" w:lineRule="auto"/>
        <w:ind w:firstLine="480" w:firstLineChars="200"/>
        <w:jc w:val="both"/>
        <w:rPr>
          <w:rFonts w:ascii="Times New Roman" w:hAnsi="Times New Roman" w:cs="Times New Roman"/>
        </w:rPr>
      </w:pPr>
      <w:r>
        <w:rPr>
          <w:rFonts w:ascii="Times New Roman" w:hAnsi="Times New Roman" w:cs="Times New Roman"/>
        </w:rPr>
        <w:t>项目名称：G3012-草湖-G314公路（草湖-G314段）工程</w:t>
      </w:r>
      <w:r>
        <w:rPr>
          <w:rFonts w:hint="eastAsia" w:ascii="Times New Roman" w:hAnsi="Times New Roman" w:cs="Times New Roman"/>
        </w:rPr>
        <w:t>。</w:t>
      </w:r>
    </w:p>
    <w:p w14:paraId="5CDF727E">
      <w:pPr>
        <w:spacing w:line="360" w:lineRule="auto"/>
        <w:ind w:firstLine="480" w:firstLineChars="200"/>
        <w:jc w:val="both"/>
        <w:rPr>
          <w:rFonts w:ascii="Times New Roman" w:hAnsi="Times New Roman" w:cs="Times New Roman"/>
        </w:rPr>
      </w:pPr>
      <w:r>
        <w:rPr>
          <w:rFonts w:ascii="Times New Roman" w:hAnsi="Times New Roman" w:cs="Times New Roman"/>
        </w:rPr>
        <w:t>建设地点：</w:t>
      </w:r>
      <w:r>
        <w:rPr>
          <w:rFonts w:hint="eastAsia" w:ascii="Times New Roman" w:hAnsi="Times New Roman" w:cs="Times New Roman"/>
        </w:rPr>
        <w:t>新疆生产建设兵团</w:t>
      </w:r>
      <w:r>
        <w:rPr>
          <w:rFonts w:ascii="Times New Roman" w:hAnsi="Times New Roman" w:cs="Times New Roman"/>
        </w:rPr>
        <w:t>41团草湖镇、喀什地区疏附县、克州阿克陶</w:t>
      </w:r>
      <w:r>
        <w:rPr>
          <w:rFonts w:hint="eastAsia" w:ascii="Times New Roman" w:hAnsi="Times New Roman" w:cs="Times New Roman"/>
        </w:rPr>
        <w:t>县境内，本项目起点接</w:t>
      </w:r>
      <w:r>
        <w:rPr>
          <w:rFonts w:ascii="Times New Roman" w:hAnsi="Times New Roman" w:cs="Times New Roman"/>
        </w:rPr>
        <w:t>G3012-草湖-G314公路（G3012-草湖段）和第八大道，终点接G314</w:t>
      </w:r>
      <w:r>
        <w:rPr>
          <w:rFonts w:hint="eastAsia" w:ascii="Times New Roman" w:hAnsi="Times New Roman" w:cs="Times New Roman"/>
        </w:rPr>
        <w:t>。</w:t>
      </w:r>
      <w:r>
        <w:rPr>
          <w:rFonts w:ascii="Times New Roman" w:hAnsi="Times New Roman" w:cs="Times New Roman"/>
        </w:rPr>
        <w:t>路线起点（N39°16′28.4986″ E:75°53′22.7133″）终点（N39°14′42.3591″ E:75°33′11.9466″）。</w:t>
      </w:r>
    </w:p>
    <w:p w14:paraId="033841F1">
      <w:pPr>
        <w:spacing w:line="360" w:lineRule="auto"/>
        <w:ind w:firstLine="480" w:firstLineChars="200"/>
        <w:jc w:val="both"/>
        <w:rPr>
          <w:rFonts w:ascii="Times New Roman" w:hAnsi="Times New Roman" w:cs="Times New Roman"/>
        </w:rPr>
      </w:pPr>
      <w:r>
        <w:rPr>
          <w:rFonts w:ascii="Times New Roman" w:hAnsi="Times New Roman" w:cs="Times New Roman"/>
        </w:rPr>
        <w:t>建设性质：新建。</w:t>
      </w:r>
    </w:p>
    <w:p w14:paraId="2046644A">
      <w:pPr>
        <w:spacing w:line="360" w:lineRule="auto"/>
        <w:ind w:firstLine="480" w:firstLineChars="200"/>
        <w:jc w:val="both"/>
        <w:rPr>
          <w:rFonts w:ascii="Times New Roman" w:hAnsi="Times New Roman" w:cs="Times New Roman"/>
        </w:rPr>
      </w:pPr>
      <w:r>
        <w:rPr>
          <w:rFonts w:ascii="Times New Roman" w:hAnsi="Times New Roman" w:cs="Times New Roman"/>
        </w:rPr>
        <w:t>建设规模：全长33.453 Km（含完全利用段 0.795Km），实际建设里程长 32.658km，公路等级为二级公路</w:t>
      </w:r>
      <w:r>
        <w:rPr>
          <w:rFonts w:hint="eastAsia" w:ascii="Times New Roman" w:hAnsi="Times New Roman" w:cs="Times New Roman"/>
        </w:rPr>
        <w:t>（部分路段为三级公路）</w:t>
      </w:r>
      <w:r>
        <w:rPr>
          <w:rFonts w:ascii="Times New Roman" w:hAnsi="Times New Roman" w:cs="Times New Roman"/>
        </w:rPr>
        <w:t>，设计速度80km/h</w:t>
      </w:r>
      <w:r>
        <w:rPr>
          <w:rFonts w:hint="eastAsia" w:ascii="Times New Roman" w:hAnsi="Times New Roman" w:cs="Times New Roman"/>
        </w:rPr>
        <w:t>（三级公路为3</w:t>
      </w:r>
      <w:r>
        <w:rPr>
          <w:rFonts w:ascii="Times New Roman" w:hAnsi="Times New Roman" w:cs="Times New Roman"/>
        </w:rPr>
        <w:t>0km/h</w:t>
      </w:r>
      <w:r>
        <w:rPr>
          <w:rFonts w:hint="eastAsia" w:ascii="Times New Roman" w:hAnsi="Times New Roman" w:cs="Times New Roman"/>
        </w:rPr>
        <w:t>）</w:t>
      </w:r>
      <w:r>
        <w:rPr>
          <w:rFonts w:ascii="Times New Roman" w:hAnsi="Times New Roman" w:cs="Times New Roman"/>
        </w:rPr>
        <w:t>。全线共设计桥梁10座；涵洞96道；平面交叉23处。</w:t>
      </w:r>
    </w:p>
    <w:p w14:paraId="47822508">
      <w:pPr>
        <w:spacing w:line="360" w:lineRule="auto"/>
        <w:ind w:firstLine="480" w:firstLineChars="200"/>
        <w:jc w:val="both"/>
        <w:rPr>
          <w:rFonts w:ascii="Times New Roman" w:hAnsi="Times New Roman" w:cs="Times New Roman"/>
        </w:rPr>
      </w:pPr>
      <w:r>
        <w:rPr>
          <w:rFonts w:ascii="Times New Roman" w:hAnsi="Times New Roman" w:cs="Times New Roman"/>
        </w:rPr>
        <w:t>工程概况：公路由一条路线组成，起点</w:t>
      </w:r>
      <w:r>
        <w:rPr>
          <w:rFonts w:hint="eastAsia" w:ascii="Times New Roman" w:hAnsi="Times New Roman" w:cs="Times New Roman"/>
        </w:rPr>
        <w:t>位于</w:t>
      </w:r>
      <w:r>
        <w:rPr>
          <w:rFonts w:ascii="Times New Roman" w:hAnsi="Times New Roman" w:cs="Times New Roman"/>
        </w:rPr>
        <w:t>41团草湖镇西侧第八大道与广东大道</w:t>
      </w:r>
      <w:r>
        <w:rPr>
          <w:rFonts w:hint="eastAsia" w:ascii="Times New Roman" w:hAnsi="Times New Roman" w:cs="Times New Roman"/>
        </w:rPr>
        <w:t>（</w:t>
      </w:r>
      <w:r>
        <w:rPr>
          <w:rFonts w:ascii="Times New Roman" w:hAnsi="Times New Roman" w:cs="Times New Roman"/>
        </w:rPr>
        <w:t>G3012-草湖-G314公路（G3012-草湖段））交叉处，终点位于乌帕尔镇公安检查站南，波斯坦铁列克乡东侧接国道G314。路线总体走向</w:t>
      </w:r>
      <w:r>
        <w:rPr>
          <w:rFonts w:hint="eastAsia" w:ascii="Times New Roman" w:hAnsi="Times New Roman" w:cs="Times New Roman"/>
        </w:rPr>
        <w:t>由东向西</w:t>
      </w:r>
      <w:r>
        <w:rPr>
          <w:rFonts w:ascii="Times New Roman" w:hAnsi="Times New Roman" w:cs="Times New Roman"/>
        </w:rPr>
        <w:t>。本工程估算总投资69945.5019万元。</w:t>
      </w:r>
    </w:p>
    <w:p w14:paraId="66D36C96">
      <w:pPr>
        <w:spacing w:line="360" w:lineRule="auto"/>
        <w:ind w:firstLine="480" w:firstLineChars="200"/>
        <w:jc w:val="both"/>
        <w:rPr>
          <w:rFonts w:ascii="Times New Roman" w:hAnsi="Times New Roman" w:cs="Times New Roman"/>
        </w:rPr>
      </w:pPr>
      <w:r>
        <w:rPr>
          <w:rFonts w:ascii="Times New Roman" w:hAnsi="Times New Roman" w:cs="Times New Roman"/>
        </w:rPr>
        <w:t>工程项目组成表见表3.1-1。</w:t>
      </w:r>
    </w:p>
    <w:p w14:paraId="57F997AC">
      <w:pPr>
        <w:jc w:val="center"/>
        <w:rPr>
          <w:rFonts w:ascii="Times New Roman" w:hAnsi="Times New Roman" w:eastAsia="黑体" w:cs="Times New Roman"/>
        </w:rPr>
      </w:pPr>
      <w:r>
        <w:rPr>
          <w:rFonts w:ascii="Times New Roman" w:hAnsi="Times New Roman" w:eastAsia="黑体" w:cs="Times New Roman"/>
        </w:rPr>
        <w:t>表3.1-1工程项目组成表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243"/>
        <w:gridCol w:w="6463"/>
      </w:tblGrid>
      <w:tr w14:paraId="37B5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1D3C91E1">
            <w:pPr>
              <w:jc w:val="center"/>
              <w:rPr>
                <w:rFonts w:ascii="Times New Roman" w:hAnsi="Times New Roman" w:cs="Times New Roman"/>
                <w:bCs/>
                <w:sz w:val="21"/>
                <w:szCs w:val="21"/>
              </w:rPr>
            </w:pPr>
            <w:r>
              <w:rPr>
                <w:rFonts w:ascii="Times New Roman" w:hAnsi="Times New Roman" w:cs="Times New Roman"/>
                <w:bCs/>
                <w:sz w:val="21"/>
                <w:szCs w:val="21"/>
              </w:rPr>
              <w:t>项目构成</w:t>
            </w:r>
          </w:p>
        </w:tc>
      </w:tr>
      <w:tr w14:paraId="597D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restart"/>
            <w:vAlign w:val="center"/>
          </w:tcPr>
          <w:p w14:paraId="3C152922">
            <w:pPr>
              <w:jc w:val="center"/>
              <w:rPr>
                <w:rFonts w:ascii="Times New Roman" w:hAnsi="Times New Roman" w:cs="Times New Roman"/>
                <w:snapToGrid w:val="0"/>
                <w:sz w:val="21"/>
                <w:szCs w:val="21"/>
              </w:rPr>
            </w:pPr>
            <w:r>
              <w:rPr>
                <w:rFonts w:ascii="Times New Roman" w:hAnsi="Times New Roman" w:cs="Times New Roman"/>
                <w:snapToGrid w:val="0"/>
                <w:sz w:val="21"/>
                <w:szCs w:val="21"/>
              </w:rPr>
              <w:t>主</w:t>
            </w:r>
          </w:p>
          <w:p w14:paraId="12D7C942">
            <w:pPr>
              <w:jc w:val="center"/>
              <w:rPr>
                <w:rFonts w:ascii="Times New Roman" w:hAnsi="Times New Roman" w:cs="Times New Roman"/>
                <w:snapToGrid w:val="0"/>
                <w:sz w:val="21"/>
                <w:szCs w:val="21"/>
              </w:rPr>
            </w:pPr>
            <w:r>
              <w:rPr>
                <w:rFonts w:ascii="Times New Roman" w:hAnsi="Times New Roman" w:cs="Times New Roman"/>
                <w:snapToGrid w:val="0"/>
                <w:sz w:val="21"/>
                <w:szCs w:val="21"/>
              </w:rPr>
              <w:t>体</w:t>
            </w:r>
          </w:p>
          <w:p w14:paraId="7B509C86">
            <w:pPr>
              <w:jc w:val="center"/>
              <w:rPr>
                <w:rFonts w:ascii="Times New Roman" w:hAnsi="Times New Roman" w:cs="Times New Roman"/>
                <w:snapToGrid w:val="0"/>
                <w:sz w:val="21"/>
                <w:szCs w:val="21"/>
              </w:rPr>
            </w:pPr>
            <w:r>
              <w:rPr>
                <w:rFonts w:ascii="Times New Roman" w:hAnsi="Times New Roman" w:cs="Times New Roman"/>
                <w:snapToGrid w:val="0"/>
                <w:sz w:val="21"/>
                <w:szCs w:val="21"/>
              </w:rPr>
              <w:t>工</w:t>
            </w:r>
          </w:p>
          <w:p w14:paraId="5E91BFAE">
            <w:pPr>
              <w:jc w:val="center"/>
              <w:rPr>
                <w:rFonts w:ascii="Times New Roman" w:hAnsi="Times New Roman" w:cs="Times New Roman"/>
                <w:snapToGrid w:val="0"/>
                <w:sz w:val="21"/>
                <w:szCs w:val="21"/>
              </w:rPr>
            </w:pPr>
            <w:r>
              <w:rPr>
                <w:rFonts w:ascii="Times New Roman" w:hAnsi="Times New Roman" w:cs="Times New Roman"/>
                <w:snapToGrid w:val="0"/>
                <w:sz w:val="21"/>
                <w:szCs w:val="21"/>
              </w:rPr>
              <w:t>程</w:t>
            </w:r>
          </w:p>
        </w:tc>
        <w:tc>
          <w:tcPr>
            <w:tcW w:w="729" w:type="pct"/>
            <w:vAlign w:val="center"/>
          </w:tcPr>
          <w:p w14:paraId="187371EC">
            <w:pPr>
              <w:rPr>
                <w:rFonts w:ascii="Times New Roman" w:hAnsi="Times New Roman" w:cs="Times New Roman"/>
                <w:bCs/>
                <w:sz w:val="21"/>
                <w:szCs w:val="21"/>
              </w:rPr>
            </w:pPr>
            <w:r>
              <w:rPr>
                <w:rFonts w:ascii="Times New Roman" w:hAnsi="Times New Roman" w:cs="Times New Roman"/>
                <w:bCs/>
                <w:sz w:val="21"/>
                <w:szCs w:val="21"/>
              </w:rPr>
              <w:t>路线工程</w:t>
            </w:r>
          </w:p>
        </w:tc>
        <w:tc>
          <w:tcPr>
            <w:tcW w:w="3789" w:type="pct"/>
            <w:tcBorders>
              <w:bottom w:val="single" w:color="auto" w:sz="4" w:space="0"/>
            </w:tcBorders>
            <w:vAlign w:val="center"/>
          </w:tcPr>
          <w:p w14:paraId="1FE619F1">
            <w:pPr>
              <w:jc w:val="both"/>
              <w:rPr>
                <w:rFonts w:ascii="Times New Roman" w:hAnsi="Times New Roman" w:cs="Times New Roman"/>
                <w:bCs/>
                <w:sz w:val="21"/>
                <w:szCs w:val="21"/>
                <w:lang w:bidi="en-US"/>
              </w:rPr>
            </w:pPr>
            <w:r>
              <w:rPr>
                <w:rFonts w:ascii="Times New Roman" w:hAnsi="Times New Roman" w:cs="Times New Roman"/>
                <w:bCs/>
                <w:sz w:val="21"/>
                <w:szCs w:val="21"/>
                <w:lang w:bidi="en-US"/>
              </w:rPr>
              <w:t>新建道路</w:t>
            </w:r>
            <w:r>
              <w:rPr>
                <w:rFonts w:hint="eastAsia" w:ascii="Times New Roman" w:hAnsi="Times New Roman" w:cs="Times New Roman"/>
                <w:bCs/>
                <w:sz w:val="21"/>
                <w:szCs w:val="21"/>
                <w:lang w:bidi="en-US"/>
              </w:rPr>
              <w:t>全长</w:t>
            </w:r>
            <w:r>
              <w:rPr>
                <w:rFonts w:ascii="Times New Roman" w:hAnsi="Times New Roman" w:cs="Times New Roman"/>
                <w:bCs/>
                <w:sz w:val="21"/>
                <w:szCs w:val="21"/>
                <w:lang w:bidi="en-US"/>
              </w:rPr>
              <w:t>33.453km（实际建设里程32.658km），公路全线永久占地面积</w:t>
            </w:r>
            <w:r>
              <w:rPr>
                <w:rFonts w:ascii="Times New Roman" w:hAnsi="Times New Roman" w:cs="Times New Roman"/>
                <w:sz w:val="21"/>
                <w:szCs w:val="21"/>
              </w:rPr>
              <w:t>1232.11</w:t>
            </w:r>
            <w:r>
              <w:rPr>
                <w:rFonts w:hint="eastAsia" w:ascii="Times New Roman" w:hAnsi="Times New Roman" w:cs="Times New Roman"/>
                <w:sz w:val="21"/>
                <w:szCs w:val="21"/>
              </w:rPr>
              <w:t>亩，</w:t>
            </w:r>
            <w:r>
              <w:rPr>
                <w:rFonts w:hint="eastAsia" w:ascii="Times New Roman" w:hAnsi="Times New Roman" w:cs="Times New Roman"/>
                <w:bCs/>
                <w:sz w:val="21"/>
                <w:szCs w:val="21"/>
                <w:lang w:bidi="en-US"/>
              </w:rPr>
              <w:t>占地类型为灌木林地、草地等。</w:t>
            </w:r>
          </w:p>
        </w:tc>
      </w:tr>
      <w:tr w14:paraId="0384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506C8F81">
            <w:pPr>
              <w:jc w:val="center"/>
              <w:rPr>
                <w:rFonts w:ascii="Times New Roman" w:hAnsi="Times New Roman" w:cs="Times New Roman"/>
                <w:snapToGrid w:val="0"/>
                <w:sz w:val="21"/>
                <w:szCs w:val="21"/>
              </w:rPr>
            </w:pPr>
          </w:p>
        </w:tc>
        <w:tc>
          <w:tcPr>
            <w:tcW w:w="729" w:type="pct"/>
            <w:vAlign w:val="center"/>
          </w:tcPr>
          <w:p w14:paraId="6FCA2718">
            <w:pPr>
              <w:rPr>
                <w:rFonts w:ascii="Times New Roman" w:hAnsi="Times New Roman" w:cs="Times New Roman"/>
                <w:bCs/>
                <w:sz w:val="21"/>
                <w:szCs w:val="21"/>
              </w:rPr>
            </w:pPr>
            <w:r>
              <w:rPr>
                <w:rFonts w:ascii="Times New Roman" w:hAnsi="Times New Roman" w:cs="Times New Roman"/>
                <w:bCs/>
                <w:sz w:val="21"/>
                <w:szCs w:val="21"/>
              </w:rPr>
              <w:t>路基工程</w:t>
            </w:r>
          </w:p>
        </w:tc>
        <w:tc>
          <w:tcPr>
            <w:tcW w:w="3789" w:type="pct"/>
            <w:vAlign w:val="center"/>
          </w:tcPr>
          <w:p w14:paraId="394ABEC0">
            <w:pPr>
              <w:jc w:val="both"/>
              <w:rPr>
                <w:rFonts w:ascii="Times New Roman" w:hAnsi="Times New Roman" w:cs="Times New Roman"/>
                <w:bCs/>
                <w:sz w:val="21"/>
                <w:szCs w:val="21"/>
                <w:lang w:bidi="en-US"/>
              </w:rPr>
            </w:pPr>
            <w:r>
              <w:rPr>
                <w:rFonts w:ascii="Times New Roman" w:hAnsi="Times New Roman" w:cs="Times New Roman"/>
                <w:bCs/>
                <w:sz w:val="21"/>
                <w:szCs w:val="21"/>
                <w:lang w:bidi="en-US"/>
              </w:rPr>
              <w:t>全线路基采用整体式路基，</w:t>
            </w:r>
            <w:r>
              <w:rPr>
                <w:rFonts w:hint="eastAsia" w:ascii="Times New Roman" w:hAnsi="Times New Roman" w:cs="Times New Roman"/>
                <w:bCs/>
                <w:sz w:val="21"/>
                <w:szCs w:val="21"/>
                <w:lang w:bidi="en-US"/>
              </w:rPr>
              <w:t>全线一般路段</w:t>
            </w:r>
            <w:r>
              <w:rPr>
                <w:rFonts w:ascii="Times New Roman" w:hAnsi="Times New Roman" w:cs="Times New Roman"/>
                <w:bCs/>
                <w:sz w:val="21"/>
                <w:szCs w:val="21"/>
                <w:lang w:bidi="en-US"/>
              </w:rPr>
              <w:t>路基横断面组成布置为：12m=0.75m、土路肩+1.5m、硬路肩+2×3.75、行车道+1.5m、硬路肩+0.75m 土路肩；本项目全线路基采用砂砾石填筑，填高1.50m～2.0m。</w:t>
            </w:r>
          </w:p>
        </w:tc>
      </w:tr>
      <w:tr w14:paraId="6F8E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144CD276">
            <w:pPr>
              <w:rPr>
                <w:rFonts w:ascii="Times New Roman" w:hAnsi="Times New Roman" w:cs="Times New Roman"/>
                <w:bCs/>
                <w:sz w:val="21"/>
                <w:szCs w:val="21"/>
              </w:rPr>
            </w:pPr>
          </w:p>
        </w:tc>
        <w:tc>
          <w:tcPr>
            <w:tcW w:w="729" w:type="pct"/>
            <w:vAlign w:val="center"/>
          </w:tcPr>
          <w:p w14:paraId="6232A500">
            <w:pPr>
              <w:rPr>
                <w:rFonts w:ascii="Times New Roman" w:hAnsi="Times New Roman" w:cs="Times New Roman"/>
                <w:bCs/>
                <w:sz w:val="21"/>
                <w:szCs w:val="21"/>
              </w:rPr>
            </w:pPr>
            <w:r>
              <w:rPr>
                <w:rFonts w:ascii="Times New Roman" w:hAnsi="Times New Roman" w:cs="Times New Roman"/>
                <w:bCs/>
                <w:sz w:val="21"/>
                <w:szCs w:val="21"/>
              </w:rPr>
              <w:t>路面工程</w:t>
            </w:r>
          </w:p>
        </w:tc>
        <w:tc>
          <w:tcPr>
            <w:tcW w:w="3789" w:type="pct"/>
            <w:vAlign w:val="center"/>
          </w:tcPr>
          <w:p w14:paraId="4BF0CA50">
            <w:pPr>
              <w:jc w:val="both"/>
              <w:rPr>
                <w:rFonts w:ascii="Times New Roman" w:hAnsi="Times New Roman" w:cs="Times New Roman"/>
                <w:bCs/>
                <w:sz w:val="21"/>
                <w:szCs w:val="21"/>
              </w:rPr>
            </w:pPr>
            <w:r>
              <w:rPr>
                <w:rFonts w:ascii="Times New Roman" w:hAnsi="Times New Roman" w:cs="Times New Roman"/>
                <w:bCs/>
                <w:sz w:val="21"/>
                <w:szCs w:val="21"/>
                <w:lang w:bidi="en-US"/>
              </w:rPr>
              <w:t>本项目面层采用沥青混凝土。</w:t>
            </w:r>
          </w:p>
        </w:tc>
      </w:tr>
      <w:tr w14:paraId="3D9D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4120A573">
            <w:pPr>
              <w:rPr>
                <w:rFonts w:ascii="Times New Roman" w:hAnsi="Times New Roman" w:cs="Times New Roman"/>
                <w:bCs/>
                <w:sz w:val="21"/>
                <w:szCs w:val="21"/>
              </w:rPr>
            </w:pPr>
          </w:p>
        </w:tc>
        <w:tc>
          <w:tcPr>
            <w:tcW w:w="729" w:type="pct"/>
            <w:vAlign w:val="center"/>
          </w:tcPr>
          <w:p w14:paraId="1C77F888">
            <w:pPr>
              <w:jc w:val="center"/>
              <w:rPr>
                <w:rFonts w:ascii="Times New Roman" w:hAnsi="Times New Roman" w:cs="Times New Roman"/>
                <w:bCs/>
                <w:sz w:val="21"/>
                <w:szCs w:val="21"/>
              </w:rPr>
            </w:pPr>
            <w:r>
              <w:rPr>
                <w:rFonts w:ascii="Times New Roman" w:hAnsi="Times New Roman" w:cs="Times New Roman"/>
                <w:bCs/>
                <w:sz w:val="21"/>
                <w:szCs w:val="21"/>
              </w:rPr>
              <w:t>桥涵</w:t>
            </w:r>
          </w:p>
        </w:tc>
        <w:tc>
          <w:tcPr>
            <w:tcW w:w="3789" w:type="pct"/>
            <w:vAlign w:val="center"/>
          </w:tcPr>
          <w:p w14:paraId="41864562">
            <w:pPr>
              <w:jc w:val="both"/>
              <w:rPr>
                <w:rFonts w:ascii="Times New Roman" w:hAnsi="Times New Roman" w:cs="Times New Roman"/>
                <w:bCs/>
                <w:sz w:val="21"/>
                <w:szCs w:val="21"/>
              </w:rPr>
            </w:pP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 = 1 \* GB3 </w:instrText>
            </w:r>
            <w:r>
              <w:rPr>
                <w:rFonts w:ascii="Times New Roman" w:hAnsi="Times New Roman" w:cs="Times New Roman"/>
                <w:bCs/>
                <w:sz w:val="21"/>
                <w:szCs w:val="21"/>
              </w:rPr>
              <w:fldChar w:fldCharType="separate"/>
            </w:r>
            <w:r>
              <w:rPr>
                <w:rFonts w:hint="eastAsia"/>
                <w:bCs/>
                <w:sz w:val="21"/>
                <w:szCs w:val="21"/>
              </w:rPr>
              <w:t>①</w:t>
            </w:r>
            <w:r>
              <w:rPr>
                <w:rFonts w:ascii="Times New Roman" w:hAnsi="Times New Roman" w:cs="Times New Roman"/>
                <w:bCs/>
                <w:sz w:val="21"/>
                <w:szCs w:val="21"/>
              </w:rPr>
              <w:fldChar w:fldCharType="end"/>
            </w:r>
            <w:r>
              <w:rPr>
                <w:rFonts w:ascii="Times New Roman" w:hAnsi="Times New Roman" w:cs="Times New Roman"/>
                <w:bCs/>
                <w:sz w:val="21"/>
                <w:szCs w:val="21"/>
              </w:rPr>
              <w:t>桥梁</w:t>
            </w:r>
          </w:p>
          <w:p w14:paraId="5720A17C">
            <w:pPr>
              <w:jc w:val="both"/>
              <w:rPr>
                <w:rFonts w:ascii="Times New Roman" w:hAnsi="Times New Roman" w:cs="Times New Roman"/>
                <w:bCs/>
                <w:sz w:val="21"/>
                <w:szCs w:val="21"/>
              </w:rPr>
            </w:pPr>
            <w:r>
              <w:rPr>
                <w:rFonts w:ascii="Times New Roman" w:hAnsi="Times New Roman" w:cs="Times New Roman"/>
                <w:bCs/>
                <w:sz w:val="21"/>
                <w:szCs w:val="21"/>
              </w:rPr>
              <w:t>全线共设计桥梁3501.56m/10座，其中特大桥2857.08m/1座，大桥358.24m/3座，中桥286.24m/6座。</w:t>
            </w:r>
          </w:p>
          <w:p w14:paraId="19DFE692">
            <w:pPr>
              <w:jc w:val="both"/>
              <w:rPr>
                <w:rFonts w:ascii="Times New Roman" w:hAnsi="Times New Roman" w:cs="Times New Roman"/>
                <w:bCs/>
                <w:sz w:val="21"/>
                <w:szCs w:val="21"/>
              </w:rPr>
            </w:pP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 = 2 \* GB3 </w:instrText>
            </w:r>
            <w:r>
              <w:rPr>
                <w:rFonts w:ascii="Times New Roman" w:hAnsi="Times New Roman" w:cs="Times New Roman"/>
                <w:bCs/>
                <w:sz w:val="21"/>
                <w:szCs w:val="21"/>
              </w:rPr>
              <w:fldChar w:fldCharType="separate"/>
            </w:r>
            <w:r>
              <w:rPr>
                <w:rFonts w:hint="eastAsia"/>
                <w:bCs/>
                <w:sz w:val="21"/>
                <w:szCs w:val="21"/>
              </w:rPr>
              <w:t>②</w:t>
            </w:r>
            <w:r>
              <w:rPr>
                <w:rFonts w:ascii="Times New Roman" w:hAnsi="Times New Roman" w:cs="Times New Roman"/>
                <w:bCs/>
                <w:sz w:val="21"/>
                <w:szCs w:val="21"/>
              </w:rPr>
              <w:fldChar w:fldCharType="end"/>
            </w:r>
            <w:r>
              <w:rPr>
                <w:rFonts w:ascii="Times New Roman" w:hAnsi="Times New Roman" w:cs="Times New Roman"/>
                <w:bCs/>
                <w:sz w:val="21"/>
                <w:szCs w:val="21"/>
              </w:rPr>
              <w:t>涵洞96道。</w:t>
            </w:r>
          </w:p>
        </w:tc>
      </w:tr>
      <w:tr w14:paraId="25D17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4FA0FADE">
            <w:pPr>
              <w:rPr>
                <w:rFonts w:ascii="Times New Roman" w:hAnsi="Times New Roman" w:cs="Times New Roman"/>
                <w:bCs/>
                <w:sz w:val="21"/>
                <w:szCs w:val="21"/>
              </w:rPr>
            </w:pPr>
          </w:p>
        </w:tc>
        <w:tc>
          <w:tcPr>
            <w:tcW w:w="729" w:type="pct"/>
            <w:vAlign w:val="center"/>
          </w:tcPr>
          <w:p w14:paraId="6DC4F0A3">
            <w:pPr>
              <w:jc w:val="center"/>
              <w:rPr>
                <w:rFonts w:ascii="Times New Roman" w:hAnsi="Times New Roman" w:cs="Times New Roman"/>
                <w:bCs/>
                <w:sz w:val="21"/>
                <w:szCs w:val="21"/>
              </w:rPr>
            </w:pPr>
            <w:r>
              <w:rPr>
                <w:rFonts w:ascii="Times New Roman" w:hAnsi="Times New Roman" w:cs="Times New Roman"/>
                <w:bCs/>
                <w:sz w:val="21"/>
                <w:szCs w:val="21"/>
              </w:rPr>
              <w:t>交叉工程</w:t>
            </w:r>
          </w:p>
        </w:tc>
        <w:tc>
          <w:tcPr>
            <w:tcW w:w="3789" w:type="pct"/>
            <w:vAlign w:val="center"/>
          </w:tcPr>
          <w:p w14:paraId="37507CD3">
            <w:pPr>
              <w:jc w:val="both"/>
              <w:rPr>
                <w:rFonts w:ascii="Times New Roman" w:hAnsi="Times New Roman" w:cs="Times New Roman"/>
                <w:bCs/>
                <w:sz w:val="21"/>
                <w:szCs w:val="21"/>
              </w:rPr>
            </w:pPr>
            <w:r>
              <w:rPr>
                <w:rFonts w:ascii="Times New Roman" w:hAnsi="Times New Roman" w:cs="Times New Roman"/>
                <w:bCs/>
                <w:sz w:val="21"/>
                <w:szCs w:val="21"/>
              </w:rPr>
              <w:t>本项目共设平面交叉23处。</w:t>
            </w:r>
          </w:p>
        </w:tc>
      </w:tr>
      <w:tr w14:paraId="0C89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restart"/>
            <w:vAlign w:val="center"/>
          </w:tcPr>
          <w:p w14:paraId="70873672">
            <w:pPr>
              <w:jc w:val="center"/>
              <w:rPr>
                <w:rFonts w:ascii="Times New Roman" w:hAnsi="Times New Roman" w:cs="Times New Roman"/>
                <w:bCs/>
                <w:sz w:val="21"/>
                <w:szCs w:val="21"/>
              </w:rPr>
            </w:pPr>
            <w:r>
              <w:rPr>
                <w:rFonts w:ascii="Times New Roman" w:hAnsi="Times New Roman" w:cs="Times New Roman"/>
                <w:bCs/>
                <w:sz w:val="21"/>
                <w:szCs w:val="21"/>
              </w:rPr>
              <w:t>临</w:t>
            </w:r>
          </w:p>
          <w:p w14:paraId="0E409E7D">
            <w:pPr>
              <w:jc w:val="center"/>
              <w:rPr>
                <w:rFonts w:ascii="Times New Roman" w:hAnsi="Times New Roman" w:cs="Times New Roman"/>
                <w:bCs/>
                <w:sz w:val="21"/>
                <w:szCs w:val="21"/>
              </w:rPr>
            </w:pPr>
            <w:r>
              <w:rPr>
                <w:rFonts w:ascii="Times New Roman" w:hAnsi="Times New Roman" w:cs="Times New Roman"/>
                <w:bCs/>
                <w:sz w:val="21"/>
                <w:szCs w:val="21"/>
              </w:rPr>
              <w:t>时</w:t>
            </w:r>
          </w:p>
          <w:p w14:paraId="600CEA9D">
            <w:pPr>
              <w:jc w:val="center"/>
              <w:rPr>
                <w:rFonts w:ascii="Times New Roman" w:hAnsi="Times New Roman" w:cs="Times New Roman"/>
                <w:bCs/>
                <w:sz w:val="21"/>
                <w:szCs w:val="21"/>
              </w:rPr>
            </w:pPr>
            <w:r>
              <w:rPr>
                <w:rFonts w:ascii="Times New Roman" w:hAnsi="Times New Roman" w:cs="Times New Roman"/>
                <w:bCs/>
                <w:sz w:val="21"/>
                <w:szCs w:val="21"/>
              </w:rPr>
              <w:t>工</w:t>
            </w:r>
          </w:p>
          <w:p w14:paraId="6A9174A1">
            <w:pPr>
              <w:jc w:val="center"/>
              <w:rPr>
                <w:rFonts w:ascii="Times New Roman" w:hAnsi="Times New Roman" w:cs="Times New Roman"/>
                <w:bCs/>
                <w:sz w:val="21"/>
                <w:szCs w:val="21"/>
              </w:rPr>
            </w:pPr>
            <w:r>
              <w:rPr>
                <w:rFonts w:ascii="Times New Roman" w:hAnsi="Times New Roman" w:cs="Times New Roman"/>
                <w:bCs/>
                <w:sz w:val="21"/>
                <w:szCs w:val="21"/>
              </w:rPr>
              <w:t>程</w:t>
            </w:r>
          </w:p>
        </w:tc>
        <w:tc>
          <w:tcPr>
            <w:tcW w:w="729" w:type="pct"/>
            <w:vAlign w:val="center"/>
          </w:tcPr>
          <w:p w14:paraId="69343E65">
            <w:pPr>
              <w:jc w:val="center"/>
              <w:rPr>
                <w:rFonts w:ascii="Times New Roman" w:hAnsi="Times New Roman" w:cs="Times New Roman"/>
                <w:bCs/>
                <w:sz w:val="21"/>
                <w:szCs w:val="21"/>
              </w:rPr>
            </w:pPr>
            <w:r>
              <w:rPr>
                <w:rFonts w:ascii="Times New Roman" w:hAnsi="Times New Roman" w:cs="Times New Roman"/>
                <w:bCs/>
                <w:sz w:val="21"/>
                <w:szCs w:val="21"/>
              </w:rPr>
              <w:t>施工生活区</w:t>
            </w:r>
          </w:p>
        </w:tc>
        <w:tc>
          <w:tcPr>
            <w:tcW w:w="3789" w:type="pct"/>
            <w:vAlign w:val="center"/>
          </w:tcPr>
          <w:p w14:paraId="144A96D7">
            <w:pPr>
              <w:jc w:val="both"/>
              <w:rPr>
                <w:rFonts w:ascii="Times New Roman" w:hAnsi="Times New Roman" w:cs="Times New Roman"/>
                <w:bCs/>
                <w:sz w:val="21"/>
                <w:szCs w:val="21"/>
              </w:rPr>
            </w:pPr>
            <w:r>
              <w:rPr>
                <w:rFonts w:ascii="Times New Roman" w:hAnsi="Times New Roman" w:cs="Times New Roman"/>
                <w:bCs/>
                <w:sz w:val="21"/>
                <w:szCs w:val="21"/>
              </w:rPr>
              <w:t>全线共设置2个施工生活区，分别位于2个综合场站中。</w:t>
            </w:r>
            <w:r>
              <w:rPr>
                <w:rFonts w:hint="eastAsia" w:ascii="Times New Roman" w:hAnsi="Times New Roman" w:cs="Times New Roman"/>
                <w:bCs/>
                <w:sz w:val="21"/>
                <w:szCs w:val="21"/>
              </w:rPr>
              <w:t>临时占地</w:t>
            </w:r>
            <w:r>
              <w:rPr>
                <w:rFonts w:ascii="Times New Roman" w:hAnsi="Times New Roman" w:cs="Times New Roman"/>
                <w:bCs/>
                <w:sz w:val="21"/>
                <w:szCs w:val="21"/>
              </w:rPr>
              <w:t>481.3亩</w:t>
            </w:r>
          </w:p>
        </w:tc>
      </w:tr>
      <w:tr w14:paraId="42E3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0EB58A07">
            <w:pPr>
              <w:rPr>
                <w:rFonts w:ascii="Times New Roman" w:hAnsi="Times New Roman" w:cs="Times New Roman"/>
                <w:bCs/>
                <w:sz w:val="21"/>
                <w:szCs w:val="21"/>
              </w:rPr>
            </w:pPr>
          </w:p>
        </w:tc>
        <w:tc>
          <w:tcPr>
            <w:tcW w:w="729" w:type="pct"/>
            <w:vAlign w:val="center"/>
          </w:tcPr>
          <w:p w14:paraId="657CEF34">
            <w:pPr>
              <w:jc w:val="center"/>
              <w:rPr>
                <w:rFonts w:ascii="Times New Roman" w:hAnsi="Times New Roman" w:cs="Times New Roman"/>
                <w:bCs/>
                <w:sz w:val="21"/>
                <w:szCs w:val="21"/>
              </w:rPr>
            </w:pPr>
            <w:r>
              <w:rPr>
                <w:rFonts w:ascii="Times New Roman" w:hAnsi="Times New Roman" w:cs="Times New Roman"/>
                <w:bCs/>
                <w:sz w:val="21"/>
                <w:szCs w:val="21"/>
              </w:rPr>
              <w:t>施工便道</w:t>
            </w:r>
          </w:p>
        </w:tc>
        <w:tc>
          <w:tcPr>
            <w:tcW w:w="3789" w:type="pct"/>
            <w:vAlign w:val="center"/>
          </w:tcPr>
          <w:p w14:paraId="04F194BB">
            <w:pPr>
              <w:jc w:val="both"/>
              <w:rPr>
                <w:rFonts w:ascii="Times New Roman" w:hAnsi="Times New Roman" w:cs="Times New Roman"/>
                <w:bCs/>
                <w:sz w:val="21"/>
                <w:szCs w:val="21"/>
              </w:rPr>
            </w:pPr>
            <w:r>
              <w:rPr>
                <w:rFonts w:ascii="Times New Roman" w:hAnsi="Times New Roman" w:cs="Times New Roman"/>
                <w:bCs/>
                <w:sz w:val="21"/>
                <w:szCs w:val="21"/>
              </w:rPr>
              <w:t>全线设置施工便道22822m。</w:t>
            </w:r>
          </w:p>
        </w:tc>
      </w:tr>
      <w:tr w14:paraId="1386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2CC7B163">
            <w:pPr>
              <w:rPr>
                <w:rFonts w:ascii="Times New Roman" w:hAnsi="Times New Roman" w:cs="Times New Roman"/>
                <w:bCs/>
                <w:sz w:val="21"/>
                <w:szCs w:val="21"/>
              </w:rPr>
            </w:pPr>
          </w:p>
        </w:tc>
        <w:tc>
          <w:tcPr>
            <w:tcW w:w="729" w:type="pct"/>
            <w:vAlign w:val="center"/>
          </w:tcPr>
          <w:p w14:paraId="03ECE8BA">
            <w:pPr>
              <w:rPr>
                <w:rFonts w:ascii="Times New Roman" w:hAnsi="Times New Roman" w:cs="Times New Roman"/>
                <w:bCs/>
                <w:sz w:val="21"/>
                <w:szCs w:val="21"/>
              </w:rPr>
            </w:pPr>
            <w:r>
              <w:rPr>
                <w:rFonts w:ascii="Times New Roman" w:hAnsi="Times New Roman" w:cs="Times New Roman"/>
                <w:bCs/>
                <w:sz w:val="21"/>
                <w:szCs w:val="21"/>
              </w:rPr>
              <w:t>砂砾石料场</w:t>
            </w:r>
          </w:p>
        </w:tc>
        <w:tc>
          <w:tcPr>
            <w:tcW w:w="3789" w:type="pct"/>
            <w:vAlign w:val="center"/>
          </w:tcPr>
          <w:p w14:paraId="32A8DF2B">
            <w:pPr>
              <w:jc w:val="both"/>
              <w:rPr>
                <w:rFonts w:ascii="Times New Roman" w:hAnsi="Times New Roman" w:cs="Times New Roman"/>
                <w:bCs/>
                <w:sz w:val="21"/>
                <w:szCs w:val="21"/>
                <w:lang w:bidi="en-US"/>
              </w:rPr>
            </w:pPr>
            <w:r>
              <w:rPr>
                <w:rFonts w:ascii="Times New Roman" w:hAnsi="Times New Roman" w:cs="Times New Roman"/>
                <w:bCs/>
                <w:sz w:val="21"/>
                <w:szCs w:val="21"/>
              </w:rPr>
              <w:t>砂砾料从</w:t>
            </w:r>
            <w:r>
              <w:rPr>
                <w:rFonts w:hint="eastAsia" w:ascii="Times New Roman" w:hAnsi="Times New Roman" w:cs="Times New Roman"/>
                <w:bCs/>
                <w:sz w:val="21"/>
                <w:szCs w:val="21"/>
              </w:rPr>
              <w:t>位于疏附县乌帕尔镇东北方向约</w:t>
            </w:r>
            <w:r>
              <w:rPr>
                <w:rFonts w:ascii="Times New Roman" w:hAnsi="Times New Roman" w:cs="Times New Roman"/>
                <w:bCs/>
                <w:sz w:val="21"/>
                <w:szCs w:val="21"/>
              </w:rPr>
              <w:t>5.5公里处的疏附县川顺建材有限公司</w:t>
            </w:r>
            <w:r>
              <w:rPr>
                <w:rFonts w:hint="eastAsia" w:ascii="Times New Roman" w:hAnsi="Times New Roman" w:cs="Times New Roman"/>
                <w:bCs/>
                <w:sz w:val="21"/>
                <w:szCs w:val="21"/>
              </w:rPr>
              <w:t>购买</w:t>
            </w:r>
            <w:r>
              <w:rPr>
                <w:rFonts w:ascii="Times New Roman" w:hAnsi="Times New Roman" w:cs="Times New Roman"/>
                <w:bCs/>
                <w:sz w:val="21"/>
                <w:szCs w:val="21"/>
              </w:rPr>
              <w:t>，运距16km</w:t>
            </w:r>
            <w:r>
              <w:rPr>
                <w:rFonts w:hint="eastAsia" w:ascii="Times New Roman" w:hAnsi="Times New Roman" w:cs="Times New Roman"/>
                <w:bCs/>
                <w:sz w:val="21"/>
                <w:szCs w:val="21"/>
              </w:rPr>
              <w:t>；玄武岩石料从位于英吉沙县依格孜也尔乡西北方向约</w:t>
            </w:r>
            <w:r>
              <w:rPr>
                <w:rFonts w:ascii="Times New Roman" w:hAnsi="Times New Roman" w:cs="Times New Roman"/>
                <w:bCs/>
                <w:sz w:val="21"/>
                <w:szCs w:val="21"/>
              </w:rPr>
              <w:t>10公里处的阿克陶金砂石碎石料有限责任公司</w:t>
            </w:r>
            <w:r>
              <w:rPr>
                <w:rFonts w:hint="eastAsia" w:ascii="Times New Roman" w:hAnsi="Times New Roman" w:cs="Times New Roman"/>
                <w:bCs/>
                <w:sz w:val="21"/>
                <w:szCs w:val="21"/>
              </w:rPr>
              <w:t>购买</w:t>
            </w:r>
            <w:r>
              <w:rPr>
                <w:rFonts w:ascii="Times New Roman" w:hAnsi="Times New Roman" w:cs="Times New Roman"/>
                <w:bCs/>
                <w:sz w:val="21"/>
                <w:szCs w:val="21"/>
              </w:rPr>
              <w:t>，运距110km。</w:t>
            </w:r>
          </w:p>
        </w:tc>
      </w:tr>
      <w:tr w14:paraId="40AB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82" w:type="pct"/>
            <w:vMerge w:val="continue"/>
            <w:vAlign w:val="center"/>
          </w:tcPr>
          <w:p w14:paraId="21352549">
            <w:pPr>
              <w:rPr>
                <w:rFonts w:ascii="Times New Roman" w:hAnsi="Times New Roman" w:cs="Times New Roman"/>
                <w:bCs/>
                <w:sz w:val="21"/>
                <w:szCs w:val="21"/>
              </w:rPr>
            </w:pPr>
          </w:p>
        </w:tc>
        <w:tc>
          <w:tcPr>
            <w:tcW w:w="729" w:type="pct"/>
            <w:vAlign w:val="center"/>
          </w:tcPr>
          <w:p w14:paraId="0EE41DFD">
            <w:pPr>
              <w:rPr>
                <w:rFonts w:ascii="Times New Roman" w:hAnsi="Times New Roman" w:cs="Times New Roman"/>
                <w:bCs/>
                <w:sz w:val="21"/>
                <w:szCs w:val="21"/>
              </w:rPr>
            </w:pPr>
            <w:r>
              <w:rPr>
                <w:rFonts w:ascii="Times New Roman" w:hAnsi="Times New Roman" w:cs="Times New Roman"/>
                <w:bCs/>
                <w:sz w:val="21"/>
                <w:szCs w:val="21"/>
              </w:rPr>
              <w:t>弃土场</w:t>
            </w:r>
          </w:p>
        </w:tc>
        <w:tc>
          <w:tcPr>
            <w:tcW w:w="3789" w:type="pct"/>
            <w:vAlign w:val="center"/>
          </w:tcPr>
          <w:p w14:paraId="605F3CCA">
            <w:pPr>
              <w:jc w:val="both"/>
              <w:rPr>
                <w:rFonts w:ascii="Times New Roman" w:hAnsi="Times New Roman" w:cs="Times New Roman"/>
                <w:snapToGrid w:val="0"/>
                <w:sz w:val="21"/>
                <w:szCs w:val="21"/>
              </w:rPr>
            </w:pPr>
            <w:r>
              <w:rPr>
                <w:rFonts w:ascii="Times New Roman" w:hAnsi="Times New Roman" w:cs="Times New Roman"/>
                <w:snapToGrid w:val="0"/>
                <w:sz w:val="21"/>
                <w:szCs w:val="21"/>
              </w:rPr>
              <w:t>拟选3处弃土场</w:t>
            </w:r>
            <w:r>
              <w:rPr>
                <w:rFonts w:ascii="Times New Roman" w:hAnsi="Times New Roman" w:cs="Times New Roman"/>
                <w:bCs/>
                <w:sz w:val="21"/>
                <w:szCs w:val="21"/>
                <w:lang w:bidi="en-US"/>
              </w:rPr>
              <w:t>。</w:t>
            </w:r>
          </w:p>
        </w:tc>
      </w:tr>
      <w:tr w14:paraId="3F5D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82" w:type="pct"/>
            <w:vMerge w:val="continue"/>
            <w:vAlign w:val="center"/>
          </w:tcPr>
          <w:p w14:paraId="1EFB74EA">
            <w:pPr>
              <w:rPr>
                <w:rFonts w:ascii="Times New Roman" w:hAnsi="Times New Roman" w:cs="Times New Roman"/>
                <w:bCs/>
                <w:sz w:val="21"/>
                <w:szCs w:val="21"/>
              </w:rPr>
            </w:pPr>
          </w:p>
        </w:tc>
        <w:tc>
          <w:tcPr>
            <w:tcW w:w="729" w:type="pct"/>
            <w:vAlign w:val="center"/>
          </w:tcPr>
          <w:p w14:paraId="2FC1002A">
            <w:pPr>
              <w:rPr>
                <w:rFonts w:ascii="Times New Roman" w:hAnsi="Times New Roman" w:cs="Times New Roman"/>
                <w:bCs/>
                <w:sz w:val="21"/>
                <w:szCs w:val="21"/>
              </w:rPr>
            </w:pPr>
            <w:r>
              <w:rPr>
                <w:rFonts w:ascii="Times New Roman" w:hAnsi="Times New Roman" w:cs="Times New Roman"/>
                <w:bCs/>
                <w:sz w:val="21"/>
                <w:szCs w:val="21"/>
              </w:rPr>
              <w:t>施工综合场站</w:t>
            </w:r>
          </w:p>
        </w:tc>
        <w:tc>
          <w:tcPr>
            <w:tcW w:w="3789" w:type="pct"/>
            <w:vAlign w:val="center"/>
          </w:tcPr>
          <w:p w14:paraId="1A3005DB">
            <w:pPr>
              <w:rPr>
                <w:rFonts w:ascii="Times New Roman" w:hAnsi="Times New Roman" w:cs="Times New Roman"/>
                <w:bCs/>
                <w:sz w:val="21"/>
                <w:szCs w:val="21"/>
              </w:rPr>
            </w:pPr>
            <w:r>
              <w:rPr>
                <w:rFonts w:ascii="Times New Roman" w:hAnsi="Times New Roman" w:cs="Times New Roman"/>
                <w:bCs/>
                <w:sz w:val="21"/>
                <w:szCs w:val="21"/>
              </w:rPr>
              <w:t>全线共设置2个，每个综合场站内设</w:t>
            </w:r>
            <w:r>
              <w:rPr>
                <w:rFonts w:hint="eastAsia" w:ascii="Times New Roman" w:hAnsi="Times New Roman" w:cs="Times New Roman"/>
                <w:bCs/>
                <w:sz w:val="21"/>
                <w:szCs w:val="21"/>
              </w:rPr>
              <w:t>水稳混凝土拌合站、水泥混凝土拌合站、沥青拌合站、预制场、生活区</w:t>
            </w:r>
            <w:r>
              <w:rPr>
                <w:rFonts w:ascii="Times New Roman" w:hAnsi="Times New Roman" w:cs="Times New Roman"/>
                <w:bCs/>
                <w:sz w:val="21"/>
                <w:szCs w:val="21"/>
              </w:rPr>
              <w:t>。</w:t>
            </w:r>
          </w:p>
        </w:tc>
      </w:tr>
      <w:tr w14:paraId="189A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restart"/>
            <w:vAlign w:val="center"/>
          </w:tcPr>
          <w:p w14:paraId="7AF9A618">
            <w:pPr>
              <w:rPr>
                <w:rFonts w:ascii="Times New Roman" w:hAnsi="Times New Roman" w:cs="Times New Roman"/>
                <w:bCs/>
                <w:sz w:val="21"/>
                <w:szCs w:val="21"/>
              </w:rPr>
            </w:pPr>
            <w:r>
              <w:rPr>
                <w:rFonts w:ascii="Times New Roman" w:hAnsi="Times New Roman" w:cs="Times New Roman"/>
                <w:bCs/>
                <w:sz w:val="21"/>
                <w:szCs w:val="21"/>
              </w:rPr>
              <w:t>辅助工程</w:t>
            </w:r>
          </w:p>
        </w:tc>
        <w:tc>
          <w:tcPr>
            <w:tcW w:w="729" w:type="pct"/>
            <w:vAlign w:val="center"/>
          </w:tcPr>
          <w:p w14:paraId="5665D889">
            <w:pPr>
              <w:rPr>
                <w:rFonts w:ascii="Times New Roman" w:hAnsi="Times New Roman" w:cs="Times New Roman"/>
                <w:bCs/>
                <w:sz w:val="21"/>
                <w:szCs w:val="21"/>
              </w:rPr>
            </w:pPr>
            <w:r>
              <w:rPr>
                <w:rFonts w:ascii="Times New Roman" w:hAnsi="Times New Roman" w:cs="Times New Roman"/>
                <w:bCs/>
                <w:sz w:val="21"/>
                <w:szCs w:val="21"/>
              </w:rPr>
              <w:t>用水</w:t>
            </w:r>
          </w:p>
        </w:tc>
        <w:tc>
          <w:tcPr>
            <w:tcW w:w="3789" w:type="pct"/>
            <w:vAlign w:val="center"/>
          </w:tcPr>
          <w:p w14:paraId="1C30D650">
            <w:pPr>
              <w:rPr>
                <w:rFonts w:ascii="Times New Roman" w:hAnsi="Times New Roman" w:cs="Times New Roman"/>
                <w:bCs/>
                <w:sz w:val="21"/>
                <w:szCs w:val="21"/>
              </w:rPr>
            </w:pPr>
            <w:r>
              <w:rPr>
                <w:rFonts w:ascii="Times New Roman" w:hAnsi="Times New Roman" w:cs="Times New Roman"/>
                <w:bCs/>
                <w:sz w:val="21"/>
                <w:szCs w:val="21"/>
              </w:rPr>
              <w:t>施工用水从</w:t>
            </w:r>
            <w:r>
              <w:rPr>
                <w:rFonts w:hint="eastAsia" w:ascii="Times New Roman" w:hAnsi="Times New Roman" w:cs="Times New Roman"/>
                <w:bCs/>
                <w:sz w:val="21"/>
                <w:szCs w:val="21"/>
              </w:rPr>
              <w:t>农田水利灌溉网</w:t>
            </w:r>
            <w:r>
              <w:rPr>
                <w:rFonts w:ascii="Times New Roman" w:hAnsi="Times New Roman" w:cs="Times New Roman"/>
                <w:bCs/>
                <w:sz w:val="21"/>
                <w:szCs w:val="21"/>
              </w:rPr>
              <w:t>沿线</w:t>
            </w:r>
            <w:r>
              <w:rPr>
                <w:rFonts w:hint="eastAsia" w:ascii="Times New Roman" w:hAnsi="Times New Roman" w:cs="Times New Roman"/>
                <w:bCs/>
                <w:sz w:val="21"/>
                <w:szCs w:val="21"/>
              </w:rPr>
              <w:t>取水，非农灌时期，可在盖孜河中取水。上路距离约为</w:t>
            </w:r>
            <w:r>
              <w:rPr>
                <w:rFonts w:ascii="Times New Roman" w:hAnsi="Times New Roman" w:cs="Times New Roman"/>
                <w:bCs/>
                <w:sz w:val="21"/>
                <w:szCs w:val="21"/>
              </w:rPr>
              <w:t>1km，需要当地水利部门申请。</w:t>
            </w:r>
          </w:p>
        </w:tc>
      </w:tr>
      <w:tr w14:paraId="68D8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7C21612A">
            <w:pPr>
              <w:rPr>
                <w:rFonts w:ascii="Times New Roman" w:hAnsi="Times New Roman" w:cs="Times New Roman"/>
                <w:bCs/>
                <w:sz w:val="21"/>
                <w:szCs w:val="21"/>
              </w:rPr>
            </w:pPr>
          </w:p>
        </w:tc>
        <w:tc>
          <w:tcPr>
            <w:tcW w:w="729" w:type="pct"/>
            <w:vAlign w:val="center"/>
          </w:tcPr>
          <w:p w14:paraId="279992BA">
            <w:pPr>
              <w:rPr>
                <w:rFonts w:ascii="Times New Roman" w:hAnsi="Times New Roman" w:cs="Times New Roman"/>
                <w:bCs/>
                <w:sz w:val="21"/>
                <w:szCs w:val="21"/>
              </w:rPr>
            </w:pPr>
            <w:r>
              <w:rPr>
                <w:rFonts w:ascii="Times New Roman" w:hAnsi="Times New Roman" w:cs="Times New Roman"/>
                <w:bCs/>
                <w:sz w:val="21"/>
                <w:szCs w:val="21"/>
              </w:rPr>
              <w:t>用电</w:t>
            </w:r>
          </w:p>
        </w:tc>
        <w:tc>
          <w:tcPr>
            <w:tcW w:w="3789" w:type="pct"/>
            <w:vAlign w:val="center"/>
          </w:tcPr>
          <w:p w14:paraId="499EB6D2">
            <w:pPr>
              <w:rPr>
                <w:rFonts w:ascii="Times New Roman" w:hAnsi="Times New Roman" w:cs="Times New Roman"/>
                <w:bCs/>
                <w:sz w:val="21"/>
                <w:szCs w:val="21"/>
              </w:rPr>
            </w:pPr>
            <w:r>
              <w:rPr>
                <w:rFonts w:ascii="Times New Roman" w:hAnsi="Times New Roman" w:cs="Times New Roman"/>
                <w:bCs/>
                <w:sz w:val="21"/>
                <w:szCs w:val="21"/>
              </w:rPr>
              <w:t>沿线有输电线路通过时，与当地电力部门协调后，公路施工、生活用电可接入输电线路。</w:t>
            </w:r>
          </w:p>
        </w:tc>
      </w:tr>
      <w:tr w14:paraId="4708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restart"/>
            <w:vAlign w:val="center"/>
          </w:tcPr>
          <w:p w14:paraId="53E201AF">
            <w:pPr>
              <w:rPr>
                <w:rFonts w:ascii="Times New Roman" w:hAnsi="Times New Roman" w:cs="Times New Roman"/>
                <w:bCs/>
                <w:sz w:val="21"/>
                <w:szCs w:val="21"/>
              </w:rPr>
            </w:pPr>
            <w:r>
              <w:rPr>
                <w:rFonts w:ascii="Times New Roman" w:hAnsi="Times New Roman" w:cs="Times New Roman"/>
                <w:bCs/>
                <w:sz w:val="21"/>
                <w:szCs w:val="21"/>
              </w:rPr>
              <w:t>环保</w:t>
            </w:r>
          </w:p>
          <w:p w14:paraId="20677297">
            <w:pPr>
              <w:rPr>
                <w:rFonts w:ascii="Times New Roman" w:hAnsi="Times New Roman" w:cs="Times New Roman"/>
                <w:bCs/>
                <w:sz w:val="21"/>
                <w:szCs w:val="21"/>
              </w:rPr>
            </w:pPr>
            <w:r>
              <w:rPr>
                <w:rFonts w:ascii="Times New Roman" w:hAnsi="Times New Roman" w:cs="Times New Roman"/>
                <w:bCs/>
                <w:sz w:val="21"/>
                <w:szCs w:val="21"/>
              </w:rPr>
              <w:t>工程</w:t>
            </w:r>
          </w:p>
        </w:tc>
        <w:tc>
          <w:tcPr>
            <w:tcW w:w="729" w:type="pct"/>
            <w:vAlign w:val="center"/>
          </w:tcPr>
          <w:p w14:paraId="3BA3C06E">
            <w:pPr>
              <w:rPr>
                <w:rFonts w:ascii="Times New Roman" w:hAnsi="Times New Roman" w:cs="Times New Roman"/>
                <w:snapToGrid w:val="0"/>
                <w:sz w:val="21"/>
                <w:szCs w:val="21"/>
              </w:rPr>
            </w:pPr>
            <w:r>
              <w:rPr>
                <w:rFonts w:ascii="Times New Roman" w:hAnsi="Times New Roman" w:cs="Times New Roman"/>
                <w:snapToGrid w:val="0"/>
                <w:sz w:val="21"/>
                <w:szCs w:val="21"/>
              </w:rPr>
              <w:t>废气治理</w:t>
            </w:r>
          </w:p>
        </w:tc>
        <w:tc>
          <w:tcPr>
            <w:tcW w:w="3789" w:type="pct"/>
            <w:vAlign w:val="center"/>
          </w:tcPr>
          <w:p w14:paraId="141A10EF">
            <w:pPr>
              <w:rPr>
                <w:rFonts w:ascii="Times New Roman" w:hAnsi="Times New Roman" w:cs="Times New Roman"/>
                <w:snapToGrid w:val="0"/>
                <w:sz w:val="21"/>
                <w:szCs w:val="21"/>
              </w:rPr>
            </w:pPr>
            <w:r>
              <w:rPr>
                <w:rFonts w:ascii="Times New Roman" w:hAnsi="Times New Roman" w:cs="Times New Roman"/>
                <w:snapToGrid w:val="0"/>
                <w:sz w:val="21"/>
                <w:szCs w:val="21"/>
              </w:rPr>
              <w:t>施工期洒水降尘；拌合站封闭，拌合站布袋除尘、沥青烟气采用烟气净化装置。</w:t>
            </w:r>
          </w:p>
        </w:tc>
      </w:tr>
      <w:tr w14:paraId="1DE3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257A20F1">
            <w:pPr>
              <w:rPr>
                <w:rFonts w:ascii="Times New Roman" w:hAnsi="Times New Roman" w:cs="Times New Roman"/>
                <w:bCs/>
                <w:sz w:val="21"/>
                <w:szCs w:val="21"/>
              </w:rPr>
            </w:pPr>
          </w:p>
        </w:tc>
        <w:tc>
          <w:tcPr>
            <w:tcW w:w="729" w:type="pct"/>
            <w:vAlign w:val="center"/>
          </w:tcPr>
          <w:p w14:paraId="594E736C">
            <w:pPr>
              <w:rPr>
                <w:rFonts w:ascii="Times New Roman" w:hAnsi="Times New Roman" w:cs="Times New Roman"/>
                <w:snapToGrid w:val="0"/>
                <w:sz w:val="21"/>
                <w:szCs w:val="21"/>
              </w:rPr>
            </w:pPr>
            <w:r>
              <w:rPr>
                <w:rFonts w:ascii="Times New Roman" w:hAnsi="Times New Roman" w:cs="Times New Roman"/>
                <w:snapToGrid w:val="0"/>
                <w:sz w:val="21"/>
                <w:szCs w:val="21"/>
              </w:rPr>
              <w:t>废水处理</w:t>
            </w:r>
          </w:p>
        </w:tc>
        <w:tc>
          <w:tcPr>
            <w:tcW w:w="3789" w:type="pct"/>
            <w:vAlign w:val="center"/>
          </w:tcPr>
          <w:p w14:paraId="31AEE714">
            <w:pPr>
              <w:rPr>
                <w:rFonts w:ascii="Times New Roman" w:hAnsi="Times New Roman" w:cs="Times New Roman"/>
                <w:snapToGrid w:val="0"/>
                <w:sz w:val="21"/>
                <w:szCs w:val="21"/>
              </w:rPr>
            </w:pPr>
            <w:r>
              <w:rPr>
                <w:rFonts w:ascii="Times New Roman" w:hAnsi="Times New Roman" w:cs="Times New Roman"/>
                <w:snapToGrid w:val="0"/>
                <w:sz w:val="21"/>
                <w:szCs w:val="21"/>
              </w:rPr>
              <w:t>施工期生产废水设置沉淀池，</w:t>
            </w:r>
            <w:r>
              <w:rPr>
                <w:rFonts w:ascii="Times New Roman" w:hAnsi="Times New Roman" w:cs="Times New Roman"/>
                <w:sz w:val="21"/>
                <w:szCs w:val="21"/>
              </w:rPr>
              <w:t>施工生活污水排入一体化污水处理设施处理后</w:t>
            </w:r>
            <w:r>
              <w:rPr>
                <w:rFonts w:hint="eastAsia" w:ascii="Times New Roman" w:hAnsi="Times New Roman" w:cs="Times New Roman"/>
                <w:sz w:val="21"/>
                <w:szCs w:val="21"/>
              </w:rPr>
              <w:t>用于洒水降尘</w:t>
            </w:r>
            <w:r>
              <w:rPr>
                <w:rFonts w:ascii="Times New Roman" w:hAnsi="Times New Roman" w:cs="Times New Roman"/>
                <w:sz w:val="21"/>
                <w:szCs w:val="21"/>
              </w:rPr>
              <w:t>。</w:t>
            </w:r>
          </w:p>
        </w:tc>
      </w:tr>
      <w:tr w14:paraId="4F8C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4351EF3A">
            <w:pPr>
              <w:rPr>
                <w:rFonts w:ascii="Times New Roman" w:hAnsi="Times New Roman" w:cs="Times New Roman"/>
                <w:bCs/>
                <w:sz w:val="21"/>
                <w:szCs w:val="21"/>
              </w:rPr>
            </w:pPr>
          </w:p>
        </w:tc>
        <w:tc>
          <w:tcPr>
            <w:tcW w:w="729" w:type="pct"/>
            <w:vAlign w:val="center"/>
          </w:tcPr>
          <w:p w14:paraId="39535239">
            <w:pPr>
              <w:rPr>
                <w:rFonts w:ascii="Times New Roman" w:hAnsi="Times New Roman" w:cs="Times New Roman"/>
                <w:snapToGrid w:val="0"/>
                <w:sz w:val="21"/>
                <w:szCs w:val="21"/>
              </w:rPr>
            </w:pPr>
            <w:r>
              <w:rPr>
                <w:rFonts w:ascii="Times New Roman" w:hAnsi="Times New Roman" w:cs="Times New Roman"/>
                <w:snapToGrid w:val="0"/>
                <w:sz w:val="21"/>
                <w:szCs w:val="21"/>
              </w:rPr>
              <w:t>噪声治理</w:t>
            </w:r>
          </w:p>
        </w:tc>
        <w:tc>
          <w:tcPr>
            <w:tcW w:w="3789" w:type="pct"/>
            <w:vAlign w:val="center"/>
          </w:tcPr>
          <w:p w14:paraId="4C86197E">
            <w:pPr>
              <w:rPr>
                <w:rFonts w:ascii="Times New Roman" w:hAnsi="Times New Roman" w:cs="Times New Roman"/>
                <w:snapToGrid w:val="0"/>
                <w:sz w:val="21"/>
                <w:szCs w:val="21"/>
              </w:rPr>
            </w:pPr>
            <w:r>
              <w:rPr>
                <w:rFonts w:ascii="Times New Roman" w:hAnsi="Times New Roman" w:cs="Times New Roman"/>
                <w:snapToGrid w:val="0"/>
                <w:sz w:val="21"/>
                <w:szCs w:val="21"/>
              </w:rPr>
              <w:t>设置限速、禁鸣标志。</w:t>
            </w:r>
          </w:p>
        </w:tc>
      </w:tr>
      <w:tr w14:paraId="4FBA2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66B63984">
            <w:pPr>
              <w:rPr>
                <w:rFonts w:ascii="Times New Roman" w:hAnsi="Times New Roman" w:cs="Times New Roman"/>
                <w:bCs/>
                <w:sz w:val="21"/>
                <w:szCs w:val="21"/>
              </w:rPr>
            </w:pPr>
          </w:p>
        </w:tc>
        <w:tc>
          <w:tcPr>
            <w:tcW w:w="729" w:type="pct"/>
            <w:vAlign w:val="center"/>
          </w:tcPr>
          <w:p w14:paraId="77C97B5B">
            <w:pPr>
              <w:rPr>
                <w:rFonts w:ascii="Times New Roman" w:hAnsi="Times New Roman" w:cs="Times New Roman"/>
                <w:snapToGrid w:val="0"/>
                <w:sz w:val="21"/>
                <w:szCs w:val="21"/>
              </w:rPr>
            </w:pPr>
            <w:r>
              <w:rPr>
                <w:rFonts w:ascii="Times New Roman" w:hAnsi="Times New Roman" w:cs="Times New Roman"/>
                <w:snapToGrid w:val="0"/>
                <w:sz w:val="21"/>
                <w:szCs w:val="21"/>
              </w:rPr>
              <w:t>固废治理</w:t>
            </w:r>
          </w:p>
        </w:tc>
        <w:tc>
          <w:tcPr>
            <w:tcW w:w="3789" w:type="pct"/>
            <w:vAlign w:val="center"/>
          </w:tcPr>
          <w:p w14:paraId="078E3C50">
            <w:pPr>
              <w:rPr>
                <w:rFonts w:ascii="Times New Roman" w:hAnsi="Times New Roman" w:cs="Times New Roman"/>
                <w:snapToGrid w:val="0"/>
                <w:sz w:val="21"/>
                <w:szCs w:val="21"/>
              </w:rPr>
            </w:pPr>
            <w:r>
              <w:rPr>
                <w:rFonts w:ascii="Times New Roman" w:hAnsi="Times New Roman" w:cs="Times New Roman"/>
                <w:snapToGrid w:val="0"/>
                <w:sz w:val="21"/>
                <w:szCs w:val="21"/>
              </w:rPr>
              <w:t>施工期弃土运至指定弃土场，施工期生活垃圾运至垃圾填埋场，沥青拌合站烟气净化设施中的废活性炭，施工结束后由厂家负责回收后再生处理，不在施工现状临时贮存。</w:t>
            </w:r>
          </w:p>
          <w:p w14:paraId="76AC6C0D">
            <w:pPr>
              <w:rPr>
                <w:rFonts w:ascii="Times New Roman" w:hAnsi="Times New Roman" w:cs="Times New Roman"/>
                <w:snapToGrid w:val="0"/>
                <w:sz w:val="21"/>
                <w:szCs w:val="21"/>
              </w:rPr>
            </w:pPr>
            <w:r>
              <w:rPr>
                <w:rFonts w:ascii="Times New Roman" w:hAnsi="Times New Roman" w:cs="Times New Roman"/>
                <w:snapToGrid w:val="0"/>
                <w:sz w:val="21"/>
                <w:szCs w:val="21"/>
              </w:rPr>
              <w:t>营运期产生的固体废物主要是养护过程中产生的废旧沥青，公路养护单位将废旧沥青送至具有废旧沥青回收处理资质的单位进行处理。</w:t>
            </w:r>
          </w:p>
        </w:tc>
      </w:tr>
      <w:tr w14:paraId="6503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vMerge w:val="continue"/>
            <w:vAlign w:val="center"/>
          </w:tcPr>
          <w:p w14:paraId="33A7376E">
            <w:pPr>
              <w:rPr>
                <w:rFonts w:ascii="Times New Roman" w:hAnsi="Times New Roman" w:cs="Times New Roman"/>
                <w:bCs/>
                <w:sz w:val="21"/>
                <w:szCs w:val="21"/>
              </w:rPr>
            </w:pPr>
          </w:p>
        </w:tc>
        <w:tc>
          <w:tcPr>
            <w:tcW w:w="729" w:type="pct"/>
            <w:vAlign w:val="center"/>
          </w:tcPr>
          <w:p w14:paraId="31064D6E">
            <w:pPr>
              <w:rPr>
                <w:rFonts w:ascii="Times New Roman" w:hAnsi="Times New Roman" w:cs="Times New Roman"/>
                <w:snapToGrid w:val="0"/>
                <w:sz w:val="21"/>
                <w:szCs w:val="21"/>
              </w:rPr>
            </w:pPr>
            <w:r>
              <w:rPr>
                <w:rFonts w:ascii="Times New Roman" w:hAnsi="Times New Roman" w:cs="Times New Roman"/>
                <w:snapToGrid w:val="0"/>
                <w:sz w:val="21"/>
                <w:szCs w:val="21"/>
              </w:rPr>
              <w:t>生态保护</w:t>
            </w:r>
          </w:p>
        </w:tc>
        <w:tc>
          <w:tcPr>
            <w:tcW w:w="3789" w:type="pct"/>
            <w:vAlign w:val="center"/>
          </w:tcPr>
          <w:p w14:paraId="59D53FF7">
            <w:pPr>
              <w:rPr>
                <w:rFonts w:ascii="Times New Roman" w:hAnsi="Times New Roman" w:cs="Times New Roman"/>
                <w:snapToGrid w:val="0"/>
                <w:sz w:val="21"/>
                <w:szCs w:val="21"/>
              </w:rPr>
            </w:pPr>
            <w:r>
              <w:rPr>
                <w:rFonts w:hint="eastAsia" w:ascii="Times New Roman" w:hAnsi="Times New Roman" w:cs="Times New Roman"/>
                <w:snapToGrid w:val="0"/>
                <w:sz w:val="21"/>
                <w:szCs w:val="21"/>
              </w:rPr>
              <w:t>生态恢复、绿化</w:t>
            </w:r>
          </w:p>
        </w:tc>
      </w:tr>
    </w:tbl>
    <w:p w14:paraId="5AF9DE7A">
      <w:pPr>
        <w:pStyle w:val="4"/>
        <w:adjustRightInd w:val="0"/>
        <w:snapToGrid w:val="0"/>
        <w:spacing w:before="156" w:after="156" w:line="240" w:lineRule="auto"/>
        <w:rPr>
          <w:rFonts w:ascii="Times New Roman" w:hAnsi="Times New Roman" w:cs="Times New Roman"/>
          <w:sz w:val="30"/>
        </w:rPr>
      </w:pPr>
      <w:bookmarkStart w:id="294" w:name="_Toc98414185"/>
      <w:bookmarkStart w:id="295" w:name="_Toc34989547"/>
      <w:bookmarkStart w:id="296" w:name="_Toc57826711"/>
      <w:bookmarkStart w:id="297" w:name="_Toc98413503"/>
      <w:bookmarkStart w:id="298" w:name="_Toc97464608"/>
      <w:bookmarkStart w:id="299" w:name="_Toc381605988"/>
      <w:bookmarkStart w:id="300" w:name="_Toc335810055"/>
      <w:bookmarkStart w:id="301" w:name="_Toc271566934"/>
      <w:r>
        <w:rPr>
          <w:rFonts w:ascii="Times New Roman" w:hAnsi="Times New Roman" w:cs="Times New Roman"/>
          <w:sz w:val="30"/>
        </w:rPr>
        <w:t>3.1.2</w:t>
      </w:r>
      <w:bookmarkEnd w:id="294"/>
      <w:bookmarkEnd w:id="295"/>
      <w:bookmarkEnd w:id="296"/>
      <w:bookmarkEnd w:id="297"/>
      <w:bookmarkEnd w:id="298"/>
      <w:r>
        <w:rPr>
          <w:rFonts w:ascii="Times New Roman" w:hAnsi="Times New Roman" w:cs="Times New Roman"/>
          <w:sz w:val="30"/>
        </w:rPr>
        <w:t>项目建设必要性</w:t>
      </w:r>
      <w:bookmarkEnd w:id="299"/>
      <w:bookmarkEnd w:id="300"/>
      <w:bookmarkEnd w:id="301"/>
    </w:p>
    <w:p w14:paraId="3ED8E575">
      <w:pPr>
        <w:spacing w:line="360" w:lineRule="auto"/>
        <w:ind w:firstLine="480" w:firstLineChars="200"/>
        <w:jc w:val="both"/>
        <w:rPr>
          <w:rFonts w:ascii="Times New Roman" w:hAnsi="Times New Roman" w:cs="Times New Roman"/>
        </w:rPr>
      </w:pPr>
      <w:r>
        <w:rPr>
          <w:rFonts w:ascii="Times New Roman" w:hAnsi="Times New Roman" w:cs="Times New Roman"/>
        </w:rPr>
        <w:t>本项目</w:t>
      </w:r>
      <w:r>
        <w:rPr>
          <w:rFonts w:hint="eastAsia" w:ascii="Times New Roman" w:hAnsi="Times New Roman" w:cs="Times New Roman"/>
        </w:rPr>
        <w:t>的建设完善了草湖项目区“三横七纵”的区域干线交通网，是垦区内团场与规划团场之间、团场与自治区重点城镇之间的快速连接通道，是草湖项目区实施东西大通道发展战略和国防建设的重要保障；项目的建设起到了完善干线公路网整体布局、区域国土均衡开发和巩固国防的作用，同时对提高区域内通道公路系统的通畅深度和辐射效应具有重要的意义。</w:t>
      </w:r>
    </w:p>
    <w:p w14:paraId="21E78C01">
      <w:pPr>
        <w:keepNext/>
        <w:keepLines/>
        <w:adjustRightInd w:val="0"/>
        <w:snapToGrid w:val="0"/>
        <w:spacing w:before="156" w:beforeLines="50" w:after="156" w:afterLines="50"/>
        <w:outlineLvl w:val="2"/>
        <w:rPr>
          <w:rFonts w:ascii="Times New Roman" w:hAnsi="Times New Roman" w:cs="Times New Roman"/>
          <w:b/>
          <w:bCs/>
          <w:sz w:val="30"/>
          <w:szCs w:val="32"/>
        </w:rPr>
      </w:pPr>
      <w:r>
        <w:rPr>
          <w:rFonts w:ascii="Times New Roman" w:hAnsi="Times New Roman" w:cs="Times New Roman"/>
          <w:b/>
          <w:bCs/>
          <w:sz w:val="30"/>
          <w:szCs w:val="32"/>
        </w:rPr>
        <w:t>3.1.3线路走向与主要控制点</w:t>
      </w:r>
    </w:p>
    <w:p w14:paraId="4AF2B550">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3.1.3.1线路走向</w:t>
      </w:r>
    </w:p>
    <w:p w14:paraId="5C22ABAE">
      <w:pPr>
        <w:spacing w:line="360" w:lineRule="auto"/>
        <w:ind w:firstLine="480" w:firstLineChars="200"/>
        <w:jc w:val="both"/>
        <w:rPr>
          <w:rFonts w:ascii="Times New Roman" w:hAnsi="Times New Roman" w:cs="Times New Roman"/>
          <w:color w:val="FF0000"/>
        </w:rPr>
      </w:pPr>
      <w:r>
        <w:rPr>
          <w:rFonts w:ascii="Times New Roman" w:hAnsi="Times New Roman" w:cs="Times New Roman"/>
        </w:rPr>
        <w:t>本项目线路总体走向由东向西，路线起点</w:t>
      </w:r>
      <w:r>
        <w:rPr>
          <w:rFonts w:hint="eastAsia" w:ascii="Times New Roman" w:hAnsi="Times New Roman" w:cs="Times New Roman"/>
        </w:rPr>
        <w:t>位于</w:t>
      </w:r>
      <w:r>
        <w:rPr>
          <w:rFonts w:ascii="Times New Roman" w:hAnsi="Times New Roman" w:cs="Times New Roman"/>
        </w:rPr>
        <w:t>41团草湖镇西侧第八大道与广东大道（G3012-草湖-G314公路（G3012-草湖段））交叉处，完全利用第八大道后，向西南布设新线经过布拉克苏乡，设置平面交叉连接X434，继续向西在喀热开其克乡南侧、铁日木乡北侧新建桥梁跨越盖孜河进入乌帕尔镇，经乌帕尔镇15村、14村、11村、9村，终点位于乌帕尔镇公安检查站南，波斯坦铁列克乡东侧接国道G314。</w:t>
      </w:r>
      <w:r>
        <w:rPr>
          <w:rFonts w:ascii="Times New Roman" w:hAnsi="Times New Roman" w:cs="Times New Roman"/>
          <w:color w:val="FF0000"/>
        </w:rPr>
        <w:t>见图3.1-2。</w:t>
      </w:r>
    </w:p>
    <w:p w14:paraId="39212873">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3.1.3.2主要控制点</w:t>
      </w:r>
    </w:p>
    <w:p w14:paraId="48198F61">
      <w:pPr>
        <w:spacing w:line="360" w:lineRule="auto"/>
        <w:ind w:firstLine="480" w:firstLineChars="200"/>
        <w:jc w:val="both"/>
        <w:rPr>
          <w:rFonts w:ascii="Times New Roman" w:hAnsi="Times New Roman" w:cs="Times New Roman"/>
        </w:rPr>
      </w:pPr>
      <w:r>
        <w:rPr>
          <w:rFonts w:hint="eastAsia" w:ascii="Times New Roman" w:hAnsi="Times New Roman" w:cs="Times New Roman"/>
        </w:rPr>
        <w:t>在建广东大道（</w:t>
      </w:r>
      <w:r>
        <w:rPr>
          <w:rFonts w:ascii="Times New Roman" w:hAnsi="Times New Roman" w:cs="Times New Roman"/>
        </w:rPr>
        <w:t>G3012-草湖-G314公路（G3012-草湖段））、布拉克苏乡、铁日木乡、盖孜河、喀热开其克乡、规划团场、乌帕尔镇、乌帕尔镇公安检</w:t>
      </w:r>
      <w:r>
        <w:rPr>
          <w:rFonts w:hint="eastAsia" w:ascii="Times New Roman" w:hAnsi="Times New Roman" w:cs="Times New Roman"/>
        </w:rPr>
        <w:t>查站、</w:t>
      </w:r>
      <w:r>
        <w:rPr>
          <w:rFonts w:ascii="Times New Roman" w:hAnsi="Times New Roman" w:cs="Times New Roman"/>
        </w:rPr>
        <w:t>G314。</w:t>
      </w:r>
    </w:p>
    <w:p w14:paraId="179E60A5">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3.1.4主要技术指标</w:t>
      </w:r>
    </w:p>
    <w:p w14:paraId="31EE5CB4">
      <w:pPr>
        <w:spacing w:line="360" w:lineRule="auto"/>
        <w:ind w:firstLine="480" w:firstLineChars="200"/>
        <w:rPr>
          <w:rFonts w:ascii="Times New Roman" w:hAnsi="Times New Roman" w:cs="Times New Roman"/>
        </w:rPr>
      </w:pPr>
      <w:r>
        <w:rPr>
          <w:rFonts w:ascii="Times New Roman" w:hAnsi="Times New Roman" w:cs="Times New Roman"/>
        </w:rPr>
        <w:t>本工程主要经济技术指标见</w:t>
      </w:r>
      <w:r>
        <w:rPr>
          <w:rFonts w:ascii="Times New Roman" w:hAnsi="Times New Roman" w:cs="Times New Roman"/>
        </w:rPr>
        <w:fldChar w:fldCharType="begin"/>
      </w:r>
      <w:r>
        <w:rPr>
          <w:rFonts w:ascii="Times New Roman" w:hAnsi="Times New Roman" w:cs="Times New Roman"/>
        </w:rPr>
        <w:instrText xml:space="preserve"> REF _Ref324173590 \h  \* MERGEFORMAT </w:instrText>
      </w:r>
      <w:r>
        <w:rPr>
          <w:rFonts w:ascii="Times New Roman" w:hAnsi="Times New Roman" w:cs="Times New Roman"/>
        </w:rPr>
        <w:fldChar w:fldCharType="separate"/>
      </w:r>
      <w:r>
        <w:rPr>
          <w:rFonts w:ascii="Times New Roman" w:hAnsi="Times New Roman" w:cs="Times New Roman"/>
        </w:rPr>
        <w:t>表3.1</w:t>
      </w:r>
      <w:r>
        <w:rPr>
          <w:rFonts w:ascii="Times New Roman" w:hAnsi="Times New Roman" w:cs="Times New Roman"/>
        </w:rPr>
        <w:noBreakHyphen/>
      </w:r>
      <w:r>
        <w:rPr>
          <w:rFonts w:ascii="Times New Roman" w:hAnsi="Times New Roman" w:cs="Times New Roman"/>
        </w:rPr>
        <w:fldChar w:fldCharType="end"/>
      </w:r>
      <w:r>
        <w:rPr>
          <w:rFonts w:ascii="Times New Roman" w:hAnsi="Times New Roman" w:cs="Times New Roman"/>
        </w:rPr>
        <w:t>2。</w:t>
      </w:r>
    </w:p>
    <w:p w14:paraId="2067392A">
      <w:pPr>
        <w:jc w:val="center"/>
        <w:rPr>
          <w:rFonts w:ascii="Times New Roman" w:hAnsi="Times New Roman" w:eastAsia="黑体" w:cs="Times New Roman"/>
        </w:rPr>
      </w:pPr>
      <w:bookmarkStart w:id="302" w:name="_Ref324173590"/>
      <w:r>
        <w:rPr>
          <w:rFonts w:ascii="Times New Roman" w:hAnsi="Times New Roman" w:eastAsia="黑体" w:cs="Times New Roman"/>
        </w:rPr>
        <w:t>表3.1</w:t>
      </w:r>
      <w:r>
        <w:rPr>
          <w:rFonts w:ascii="Times New Roman" w:hAnsi="Times New Roman" w:eastAsia="黑体" w:cs="Times New Roman"/>
        </w:rPr>
        <w:noBreakHyphen/>
      </w:r>
      <w:bookmarkEnd w:id="302"/>
      <w:r>
        <w:rPr>
          <w:rFonts w:ascii="Times New Roman" w:hAnsi="Times New Roman" w:eastAsia="黑体" w:cs="Times New Roman"/>
        </w:rPr>
        <w:t>2工程主要经济技术指标</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619"/>
        <w:gridCol w:w="1457"/>
        <w:gridCol w:w="728"/>
        <w:gridCol w:w="2475"/>
        <w:gridCol w:w="2709"/>
      </w:tblGrid>
      <w:tr w14:paraId="13A7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17" w:type="pct"/>
            <w:shd w:val="clear" w:color="auto" w:fill="auto"/>
            <w:noWrap/>
            <w:vAlign w:val="center"/>
          </w:tcPr>
          <w:p w14:paraId="3308B695">
            <w:pPr>
              <w:spacing w:line="240" w:lineRule="exact"/>
              <w:jc w:val="center"/>
              <w:rPr>
                <w:rFonts w:ascii="Times New Roman" w:hAnsi="Times New Roman" w:cs="Times New Roman"/>
                <w:sz w:val="21"/>
                <w:szCs w:val="21"/>
              </w:rPr>
            </w:pPr>
            <w:r>
              <w:rPr>
                <w:rFonts w:ascii="Times New Roman" w:hAnsi="Times New Roman" w:cs="Times New Roman"/>
                <w:sz w:val="21"/>
                <w:szCs w:val="21"/>
              </w:rPr>
              <w:t>序号</w:t>
            </w:r>
          </w:p>
        </w:tc>
        <w:tc>
          <w:tcPr>
            <w:tcW w:w="1217" w:type="pct"/>
            <w:gridSpan w:val="2"/>
            <w:shd w:val="clear" w:color="auto" w:fill="auto"/>
            <w:noWrap/>
            <w:vAlign w:val="center"/>
          </w:tcPr>
          <w:p w14:paraId="7051400D">
            <w:pPr>
              <w:spacing w:line="240" w:lineRule="exact"/>
              <w:jc w:val="center"/>
              <w:rPr>
                <w:rFonts w:ascii="Times New Roman" w:hAnsi="Times New Roman" w:cs="Times New Roman"/>
                <w:sz w:val="21"/>
                <w:szCs w:val="21"/>
              </w:rPr>
            </w:pPr>
            <w:r>
              <w:rPr>
                <w:rFonts w:ascii="Times New Roman" w:hAnsi="Times New Roman" w:cs="Times New Roman"/>
                <w:sz w:val="21"/>
                <w:szCs w:val="21"/>
              </w:rPr>
              <w:t>指标名称</w:t>
            </w:r>
          </w:p>
        </w:tc>
        <w:tc>
          <w:tcPr>
            <w:tcW w:w="427" w:type="pct"/>
            <w:shd w:val="clear" w:color="auto" w:fill="auto"/>
            <w:noWrap/>
            <w:vAlign w:val="center"/>
          </w:tcPr>
          <w:p w14:paraId="78132F53">
            <w:pPr>
              <w:spacing w:line="240" w:lineRule="exact"/>
              <w:jc w:val="center"/>
              <w:rPr>
                <w:rFonts w:ascii="Times New Roman" w:hAnsi="Times New Roman" w:cs="Times New Roman"/>
                <w:sz w:val="21"/>
                <w:szCs w:val="21"/>
              </w:rPr>
            </w:pPr>
            <w:r>
              <w:rPr>
                <w:rFonts w:ascii="Times New Roman" w:hAnsi="Times New Roman" w:cs="Times New Roman"/>
                <w:sz w:val="21"/>
                <w:szCs w:val="21"/>
              </w:rPr>
              <w:t>单位</w:t>
            </w:r>
          </w:p>
        </w:tc>
        <w:tc>
          <w:tcPr>
            <w:tcW w:w="1451" w:type="pct"/>
            <w:shd w:val="clear" w:color="auto" w:fill="auto"/>
            <w:noWrap/>
            <w:vAlign w:val="center"/>
          </w:tcPr>
          <w:p w14:paraId="130B860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技术标准</w:t>
            </w:r>
          </w:p>
        </w:tc>
        <w:tc>
          <w:tcPr>
            <w:tcW w:w="1588" w:type="pct"/>
            <w:vAlign w:val="center"/>
          </w:tcPr>
          <w:p w14:paraId="3C22872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技术标准</w:t>
            </w:r>
          </w:p>
        </w:tc>
      </w:tr>
      <w:tr w14:paraId="4C27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21089592">
            <w:pPr>
              <w:spacing w:line="240" w:lineRule="exact"/>
              <w:jc w:val="center"/>
              <w:rPr>
                <w:rFonts w:ascii="Times New Roman" w:hAnsi="Times New Roman" w:cs="Times New Roman"/>
                <w:sz w:val="21"/>
                <w:szCs w:val="21"/>
              </w:rPr>
            </w:pPr>
            <w:r>
              <w:rPr>
                <w:rFonts w:ascii="Times New Roman" w:hAnsi="Times New Roman" w:cs="Times New Roman"/>
                <w:sz w:val="21"/>
                <w:szCs w:val="21"/>
              </w:rPr>
              <w:t>1</w:t>
            </w:r>
          </w:p>
        </w:tc>
        <w:tc>
          <w:tcPr>
            <w:tcW w:w="1217" w:type="pct"/>
            <w:gridSpan w:val="2"/>
            <w:shd w:val="clear" w:color="auto" w:fill="auto"/>
            <w:noWrap/>
            <w:vAlign w:val="center"/>
          </w:tcPr>
          <w:p w14:paraId="615EC27A">
            <w:pPr>
              <w:spacing w:line="240" w:lineRule="exact"/>
              <w:jc w:val="center"/>
              <w:rPr>
                <w:rFonts w:ascii="Times New Roman" w:hAnsi="Times New Roman" w:cs="Times New Roman"/>
                <w:sz w:val="21"/>
                <w:szCs w:val="21"/>
              </w:rPr>
            </w:pPr>
            <w:r>
              <w:rPr>
                <w:rFonts w:ascii="Times New Roman" w:hAnsi="Times New Roman" w:cs="Times New Roman"/>
                <w:sz w:val="21"/>
                <w:szCs w:val="21"/>
              </w:rPr>
              <w:t>公路等级</w:t>
            </w:r>
          </w:p>
        </w:tc>
        <w:tc>
          <w:tcPr>
            <w:tcW w:w="427" w:type="pct"/>
            <w:shd w:val="clear" w:color="auto" w:fill="auto"/>
            <w:noWrap/>
            <w:vAlign w:val="center"/>
          </w:tcPr>
          <w:p w14:paraId="0B57A441">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3C45149A">
            <w:pPr>
              <w:spacing w:line="240" w:lineRule="exact"/>
              <w:jc w:val="center"/>
              <w:rPr>
                <w:rFonts w:ascii="Times New Roman" w:hAnsi="Times New Roman" w:cs="Times New Roman"/>
                <w:sz w:val="21"/>
                <w:szCs w:val="21"/>
              </w:rPr>
            </w:pPr>
            <w:r>
              <w:rPr>
                <w:rFonts w:ascii="Times New Roman" w:hAnsi="Times New Roman" w:cs="Times New Roman"/>
                <w:sz w:val="21"/>
                <w:szCs w:val="21"/>
              </w:rPr>
              <w:t>二级公路</w:t>
            </w:r>
            <w:r>
              <w:rPr>
                <w:rFonts w:hint="eastAsia" w:ascii="Times New Roman" w:hAnsi="Times New Roman" w:cs="Times New Roman"/>
                <w:sz w:val="21"/>
                <w:szCs w:val="21"/>
              </w:rPr>
              <w:t>（</w:t>
            </w:r>
            <w:r>
              <w:rPr>
                <w:rFonts w:ascii="Times New Roman" w:hAnsi="Times New Roman" w:cs="Times New Roman"/>
                <w:sz w:val="21"/>
                <w:szCs w:val="21"/>
              </w:rPr>
              <w:t>K0+794.953-K27+860.939、</w:t>
            </w:r>
          </w:p>
          <w:p w14:paraId="41341A42">
            <w:pPr>
              <w:spacing w:line="240" w:lineRule="exact"/>
              <w:jc w:val="center"/>
              <w:rPr>
                <w:rFonts w:ascii="Times New Roman" w:hAnsi="Times New Roman" w:cs="Times New Roman"/>
                <w:sz w:val="21"/>
                <w:szCs w:val="21"/>
              </w:rPr>
            </w:pPr>
            <w:r>
              <w:rPr>
                <w:rFonts w:ascii="Times New Roman" w:hAnsi="Times New Roman" w:cs="Times New Roman"/>
                <w:sz w:val="21"/>
                <w:szCs w:val="21"/>
              </w:rPr>
              <w:t>K28+611.981-K33+452.782</w:t>
            </w:r>
            <w:r>
              <w:rPr>
                <w:rFonts w:hint="eastAsia" w:ascii="Times New Roman" w:hAnsi="Times New Roman" w:cs="Times New Roman"/>
                <w:sz w:val="21"/>
                <w:szCs w:val="21"/>
              </w:rPr>
              <w:t>)</w:t>
            </w:r>
          </w:p>
        </w:tc>
        <w:tc>
          <w:tcPr>
            <w:tcW w:w="1588" w:type="pct"/>
            <w:vAlign w:val="center"/>
          </w:tcPr>
          <w:p w14:paraId="06E0264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三级公路</w:t>
            </w:r>
          </w:p>
          <w:p w14:paraId="602A270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w:t>
            </w:r>
            <w:r>
              <w:rPr>
                <w:rFonts w:ascii="Times New Roman" w:hAnsi="Times New Roman" w:cs="Times New Roman"/>
                <w:sz w:val="21"/>
                <w:szCs w:val="21"/>
              </w:rPr>
              <w:t>K27+860.939-K28+611.981）</w:t>
            </w:r>
          </w:p>
        </w:tc>
      </w:tr>
      <w:tr w14:paraId="41F4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3050A8EF">
            <w:pPr>
              <w:spacing w:line="240" w:lineRule="exact"/>
              <w:jc w:val="center"/>
              <w:rPr>
                <w:rFonts w:ascii="Times New Roman" w:hAnsi="Times New Roman" w:cs="Times New Roman"/>
                <w:sz w:val="21"/>
                <w:szCs w:val="21"/>
              </w:rPr>
            </w:pPr>
            <w:r>
              <w:rPr>
                <w:rFonts w:ascii="Times New Roman" w:hAnsi="Times New Roman" w:cs="Times New Roman"/>
                <w:sz w:val="21"/>
                <w:szCs w:val="21"/>
              </w:rPr>
              <w:t>2</w:t>
            </w:r>
          </w:p>
        </w:tc>
        <w:tc>
          <w:tcPr>
            <w:tcW w:w="1217" w:type="pct"/>
            <w:gridSpan w:val="2"/>
            <w:shd w:val="clear" w:color="auto" w:fill="auto"/>
            <w:noWrap/>
            <w:vAlign w:val="center"/>
          </w:tcPr>
          <w:p w14:paraId="216D9777">
            <w:pPr>
              <w:spacing w:line="240" w:lineRule="exact"/>
              <w:jc w:val="center"/>
              <w:rPr>
                <w:rFonts w:ascii="Times New Roman" w:hAnsi="Times New Roman" w:cs="Times New Roman"/>
                <w:sz w:val="21"/>
                <w:szCs w:val="21"/>
              </w:rPr>
            </w:pPr>
            <w:r>
              <w:rPr>
                <w:rFonts w:ascii="Times New Roman" w:hAnsi="Times New Roman" w:cs="Times New Roman"/>
                <w:sz w:val="21"/>
                <w:szCs w:val="21"/>
              </w:rPr>
              <w:t>设计速度</w:t>
            </w:r>
          </w:p>
        </w:tc>
        <w:tc>
          <w:tcPr>
            <w:tcW w:w="427" w:type="pct"/>
            <w:shd w:val="clear" w:color="auto" w:fill="auto"/>
            <w:noWrap/>
            <w:vAlign w:val="center"/>
          </w:tcPr>
          <w:p w14:paraId="04588461">
            <w:pPr>
              <w:spacing w:line="240" w:lineRule="exact"/>
              <w:jc w:val="center"/>
              <w:rPr>
                <w:rFonts w:ascii="Times New Roman" w:hAnsi="Times New Roman" w:cs="Times New Roman"/>
                <w:sz w:val="21"/>
                <w:szCs w:val="21"/>
              </w:rPr>
            </w:pPr>
            <w:r>
              <w:rPr>
                <w:rFonts w:ascii="Times New Roman" w:hAnsi="Times New Roman" w:cs="Times New Roman"/>
                <w:sz w:val="21"/>
                <w:szCs w:val="21"/>
              </w:rPr>
              <w:t>km/h</w:t>
            </w:r>
          </w:p>
        </w:tc>
        <w:tc>
          <w:tcPr>
            <w:tcW w:w="1451" w:type="pct"/>
            <w:shd w:val="clear" w:color="auto" w:fill="auto"/>
            <w:noWrap/>
            <w:vAlign w:val="center"/>
          </w:tcPr>
          <w:p w14:paraId="52DB300A">
            <w:pPr>
              <w:spacing w:line="240" w:lineRule="exact"/>
              <w:jc w:val="center"/>
              <w:rPr>
                <w:rFonts w:ascii="Times New Roman" w:hAnsi="Times New Roman" w:cs="Times New Roman"/>
                <w:sz w:val="21"/>
                <w:szCs w:val="21"/>
              </w:rPr>
            </w:pPr>
            <w:r>
              <w:rPr>
                <w:rFonts w:ascii="Times New Roman" w:hAnsi="Times New Roman" w:cs="Times New Roman"/>
                <w:sz w:val="21"/>
                <w:szCs w:val="21"/>
              </w:rPr>
              <w:t>80</w:t>
            </w:r>
          </w:p>
        </w:tc>
        <w:tc>
          <w:tcPr>
            <w:tcW w:w="1588" w:type="pct"/>
            <w:vAlign w:val="center"/>
          </w:tcPr>
          <w:p w14:paraId="3DCECF5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0</w:t>
            </w:r>
          </w:p>
        </w:tc>
      </w:tr>
      <w:tr w14:paraId="3859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4FAA5559">
            <w:pPr>
              <w:spacing w:line="240" w:lineRule="exact"/>
              <w:jc w:val="center"/>
              <w:rPr>
                <w:rFonts w:ascii="Times New Roman" w:hAnsi="Times New Roman" w:cs="Times New Roman"/>
                <w:sz w:val="21"/>
                <w:szCs w:val="21"/>
              </w:rPr>
            </w:pPr>
            <w:r>
              <w:rPr>
                <w:rFonts w:ascii="Times New Roman" w:hAnsi="Times New Roman" w:cs="Times New Roman"/>
                <w:sz w:val="21"/>
                <w:szCs w:val="21"/>
              </w:rPr>
              <w:t>3</w:t>
            </w:r>
          </w:p>
        </w:tc>
        <w:tc>
          <w:tcPr>
            <w:tcW w:w="1217" w:type="pct"/>
            <w:gridSpan w:val="2"/>
            <w:shd w:val="clear" w:color="auto" w:fill="auto"/>
            <w:noWrap/>
            <w:vAlign w:val="center"/>
          </w:tcPr>
          <w:p w14:paraId="549922C7">
            <w:pPr>
              <w:spacing w:line="240" w:lineRule="exact"/>
              <w:jc w:val="center"/>
              <w:rPr>
                <w:rFonts w:ascii="Times New Roman" w:hAnsi="Times New Roman" w:cs="Times New Roman"/>
                <w:sz w:val="21"/>
                <w:szCs w:val="21"/>
              </w:rPr>
            </w:pPr>
            <w:r>
              <w:rPr>
                <w:rFonts w:ascii="Times New Roman" w:hAnsi="Times New Roman" w:cs="Times New Roman"/>
                <w:sz w:val="21"/>
                <w:szCs w:val="21"/>
              </w:rPr>
              <w:t>车道数</w:t>
            </w:r>
          </w:p>
        </w:tc>
        <w:tc>
          <w:tcPr>
            <w:tcW w:w="427" w:type="pct"/>
            <w:shd w:val="clear" w:color="auto" w:fill="auto"/>
            <w:noWrap/>
            <w:vAlign w:val="center"/>
          </w:tcPr>
          <w:p w14:paraId="11D81845">
            <w:pPr>
              <w:spacing w:line="240" w:lineRule="exact"/>
              <w:jc w:val="center"/>
              <w:rPr>
                <w:rFonts w:ascii="Times New Roman" w:hAnsi="Times New Roman" w:cs="Times New Roman"/>
                <w:sz w:val="21"/>
                <w:szCs w:val="21"/>
              </w:rPr>
            </w:pPr>
            <w:r>
              <w:rPr>
                <w:rFonts w:ascii="Times New Roman" w:hAnsi="Times New Roman" w:cs="Times New Roman"/>
                <w:sz w:val="21"/>
                <w:szCs w:val="21"/>
              </w:rPr>
              <w:t>车道</w:t>
            </w:r>
          </w:p>
        </w:tc>
        <w:tc>
          <w:tcPr>
            <w:tcW w:w="1451" w:type="pct"/>
            <w:shd w:val="clear" w:color="auto" w:fill="auto"/>
            <w:noWrap/>
            <w:vAlign w:val="center"/>
          </w:tcPr>
          <w:p w14:paraId="2A27B8BA">
            <w:pPr>
              <w:spacing w:line="240" w:lineRule="exact"/>
              <w:jc w:val="center"/>
              <w:rPr>
                <w:rFonts w:ascii="Times New Roman" w:hAnsi="Times New Roman" w:cs="Times New Roman"/>
                <w:sz w:val="21"/>
                <w:szCs w:val="21"/>
              </w:rPr>
            </w:pPr>
            <w:r>
              <w:rPr>
                <w:rFonts w:ascii="Times New Roman" w:hAnsi="Times New Roman" w:cs="Times New Roman"/>
                <w:sz w:val="21"/>
                <w:szCs w:val="21"/>
              </w:rPr>
              <w:t>2（双向）</w:t>
            </w:r>
          </w:p>
        </w:tc>
        <w:tc>
          <w:tcPr>
            <w:tcW w:w="1588" w:type="pct"/>
            <w:vAlign w:val="center"/>
          </w:tcPr>
          <w:p w14:paraId="50E6911C">
            <w:pPr>
              <w:spacing w:line="240" w:lineRule="exact"/>
              <w:jc w:val="center"/>
              <w:rPr>
                <w:rFonts w:ascii="Times New Roman" w:hAnsi="Times New Roman" w:cs="Times New Roman"/>
                <w:sz w:val="21"/>
                <w:szCs w:val="21"/>
              </w:rPr>
            </w:pPr>
            <w:r>
              <w:rPr>
                <w:rFonts w:ascii="Times New Roman" w:hAnsi="Times New Roman" w:cs="Times New Roman"/>
                <w:sz w:val="21"/>
                <w:szCs w:val="21"/>
              </w:rPr>
              <w:t>2（双向）</w:t>
            </w:r>
          </w:p>
        </w:tc>
      </w:tr>
      <w:tr w14:paraId="7CFA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657495C0">
            <w:pPr>
              <w:spacing w:line="240" w:lineRule="exact"/>
              <w:jc w:val="center"/>
              <w:rPr>
                <w:rFonts w:ascii="Times New Roman" w:hAnsi="Times New Roman" w:cs="Times New Roman"/>
                <w:sz w:val="21"/>
                <w:szCs w:val="21"/>
              </w:rPr>
            </w:pPr>
            <w:r>
              <w:rPr>
                <w:rFonts w:ascii="Times New Roman" w:hAnsi="Times New Roman" w:cs="Times New Roman"/>
                <w:sz w:val="21"/>
                <w:szCs w:val="21"/>
              </w:rPr>
              <w:t>4</w:t>
            </w:r>
          </w:p>
        </w:tc>
        <w:tc>
          <w:tcPr>
            <w:tcW w:w="1217" w:type="pct"/>
            <w:gridSpan w:val="2"/>
            <w:shd w:val="clear" w:color="auto" w:fill="auto"/>
            <w:noWrap/>
            <w:vAlign w:val="center"/>
          </w:tcPr>
          <w:p w14:paraId="44A1D9D7">
            <w:pPr>
              <w:spacing w:line="240" w:lineRule="exact"/>
              <w:jc w:val="center"/>
              <w:rPr>
                <w:rFonts w:ascii="Times New Roman" w:hAnsi="Times New Roman" w:cs="Times New Roman"/>
                <w:sz w:val="21"/>
                <w:szCs w:val="21"/>
              </w:rPr>
            </w:pPr>
            <w:r>
              <w:rPr>
                <w:rFonts w:ascii="Times New Roman" w:hAnsi="Times New Roman" w:cs="Times New Roman"/>
                <w:sz w:val="21"/>
                <w:szCs w:val="21"/>
              </w:rPr>
              <w:t>路基宽度</w:t>
            </w:r>
          </w:p>
        </w:tc>
        <w:tc>
          <w:tcPr>
            <w:tcW w:w="427" w:type="pct"/>
            <w:shd w:val="clear" w:color="auto" w:fill="auto"/>
            <w:noWrap/>
            <w:vAlign w:val="center"/>
          </w:tcPr>
          <w:p w14:paraId="102EE6F3">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725EA39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2</w:t>
            </w:r>
          </w:p>
        </w:tc>
        <w:tc>
          <w:tcPr>
            <w:tcW w:w="1588" w:type="pct"/>
            <w:vAlign w:val="center"/>
          </w:tcPr>
          <w:p w14:paraId="33B68AE2">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.5</w:t>
            </w:r>
          </w:p>
        </w:tc>
      </w:tr>
      <w:tr w14:paraId="6D1F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3CCD1824">
            <w:pPr>
              <w:spacing w:line="240" w:lineRule="exact"/>
              <w:jc w:val="center"/>
              <w:rPr>
                <w:rFonts w:ascii="Times New Roman" w:hAnsi="Times New Roman" w:cs="Times New Roman"/>
                <w:sz w:val="21"/>
                <w:szCs w:val="21"/>
              </w:rPr>
            </w:pPr>
            <w:r>
              <w:rPr>
                <w:rFonts w:ascii="Times New Roman" w:hAnsi="Times New Roman" w:cs="Times New Roman"/>
                <w:sz w:val="21"/>
                <w:szCs w:val="21"/>
              </w:rPr>
              <w:t>5</w:t>
            </w:r>
          </w:p>
        </w:tc>
        <w:tc>
          <w:tcPr>
            <w:tcW w:w="1217" w:type="pct"/>
            <w:gridSpan w:val="2"/>
            <w:shd w:val="clear" w:color="auto" w:fill="auto"/>
            <w:noWrap/>
            <w:vAlign w:val="center"/>
          </w:tcPr>
          <w:p w14:paraId="2323E4F0">
            <w:pPr>
              <w:spacing w:line="240" w:lineRule="exact"/>
              <w:jc w:val="center"/>
              <w:rPr>
                <w:rFonts w:ascii="Times New Roman" w:hAnsi="Times New Roman" w:cs="Times New Roman"/>
                <w:sz w:val="21"/>
                <w:szCs w:val="21"/>
              </w:rPr>
            </w:pPr>
            <w:r>
              <w:rPr>
                <w:rFonts w:ascii="Times New Roman" w:hAnsi="Times New Roman" w:cs="Times New Roman"/>
                <w:sz w:val="21"/>
                <w:szCs w:val="21"/>
              </w:rPr>
              <w:t>行车道宽度</w:t>
            </w:r>
          </w:p>
        </w:tc>
        <w:tc>
          <w:tcPr>
            <w:tcW w:w="427" w:type="pct"/>
            <w:shd w:val="clear" w:color="auto" w:fill="auto"/>
            <w:noWrap/>
            <w:vAlign w:val="center"/>
          </w:tcPr>
          <w:p w14:paraId="33128615">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68AEA4A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.75</w:t>
            </w:r>
          </w:p>
        </w:tc>
        <w:tc>
          <w:tcPr>
            <w:tcW w:w="1588" w:type="pct"/>
            <w:vAlign w:val="center"/>
          </w:tcPr>
          <w:p w14:paraId="0EEE7588">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.25</w:t>
            </w:r>
          </w:p>
        </w:tc>
      </w:tr>
      <w:tr w14:paraId="40FD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6DD76704">
            <w:pPr>
              <w:spacing w:line="240" w:lineRule="exact"/>
              <w:jc w:val="center"/>
              <w:rPr>
                <w:rFonts w:ascii="Times New Roman" w:hAnsi="Times New Roman" w:cs="Times New Roman"/>
                <w:sz w:val="21"/>
                <w:szCs w:val="21"/>
              </w:rPr>
            </w:pPr>
            <w:r>
              <w:rPr>
                <w:rFonts w:ascii="Times New Roman" w:hAnsi="Times New Roman" w:cs="Times New Roman"/>
                <w:sz w:val="21"/>
                <w:szCs w:val="21"/>
              </w:rPr>
              <w:t>6</w:t>
            </w:r>
          </w:p>
        </w:tc>
        <w:tc>
          <w:tcPr>
            <w:tcW w:w="1217" w:type="pct"/>
            <w:gridSpan w:val="2"/>
            <w:shd w:val="clear" w:color="auto" w:fill="auto"/>
            <w:noWrap/>
            <w:vAlign w:val="center"/>
          </w:tcPr>
          <w:p w14:paraId="7B97F046">
            <w:pPr>
              <w:spacing w:line="240" w:lineRule="exact"/>
              <w:jc w:val="center"/>
              <w:rPr>
                <w:rFonts w:ascii="Times New Roman" w:hAnsi="Times New Roman" w:cs="Times New Roman"/>
                <w:sz w:val="21"/>
                <w:szCs w:val="21"/>
              </w:rPr>
            </w:pPr>
            <w:r>
              <w:rPr>
                <w:rFonts w:ascii="Times New Roman" w:hAnsi="Times New Roman" w:cs="Times New Roman"/>
                <w:sz w:val="21"/>
                <w:szCs w:val="21"/>
              </w:rPr>
              <w:t>硬路肩宽度</w:t>
            </w:r>
          </w:p>
        </w:tc>
        <w:tc>
          <w:tcPr>
            <w:tcW w:w="427" w:type="pct"/>
            <w:shd w:val="clear" w:color="auto" w:fill="auto"/>
            <w:noWrap/>
            <w:vAlign w:val="center"/>
          </w:tcPr>
          <w:p w14:paraId="0EE995F5">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322A9A7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.5</w:t>
            </w:r>
          </w:p>
        </w:tc>
        <w:tc>
          <w:tcPr>
            <w:tcW w:w="1588" w:type="pct"/>
            <w:vAlign w:val="center"/>
          </w:tcPr>
          <w:p w14:paraId="2774A57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w:t>
            </w:r>
          </w:p>
        </w:tc>
      </w:tr>
      <w:tr w14:paraId="4BD2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5BF9B58E">
            <w:pPr>
              <w:spacing w:line="240" w:lineRule="exact"/>
              <w:jc w:val="center"/>
              <w:rPr>
                <w:rFonts w:ascii="Times New Roman" w:hAnsi="Times New Roman" w:cs="Times New Roman"/>
                <w:sz w:val="21"/>
                <w:szCs w:val="21"/>
              </w:rPr>
            </w:pPr>
            <w:r>
              <w:rPr>
                <w:rFonts w:ascii="Times New Roman" w:hAnsi="Times New Roman" w:cs="Times New Roman"/>
                <w:sz w:val="21"/>
                <w:szCs w:val="21"/>
              </w:rPr>
              <w:t>7</w:t>
            </w:r>
          </w:p>
        </w:tc>
        <w:tc>
          <w:tcPr>
            <w:tcW w:w="1217" w:type="pct"/>
            <w:gridSpan w:val="2"/>
            <w:shd w:val="clear" w:color="auto" w:fill="auto"/>
            <w:noWrap/>
            <w:vAlign w:val="center"/>
          </w:tcPr>
          <w:p w14:paraId="15B6ECEB">
            <w:pPr>
              <w:spacing w:line="240" w:lineRule="exact"/>
              <w:jc w:val="center"/>
              <w:rPr>
                <w:rFonts w:ascii="Times New Roman" w:hAnsi="Times New Roman" w:cs="Times New Roman"/>
                <w:sz w:val="21"/>
                <w:szCs w:val="21"/>
              </w:rPr>
            </w:pPr>
            <w:r>
              <w:rPr>
                <w:rFonts w:ascii="Times New Roman" w:hAnsi="Times New Roman" w:cs="Times New Roman"/>
                <w:sz w:val="21"/>
                <w:szCs w:val="21"/>
              </w:rPr>
              <w:t>土路肩宽度</w:t>
            </w:r>
          </w:p>
        </w:tc>
        <w:tc>
          <w:tcPr>
            <w:tcW w:w="427" w:type="pct"/>
            <w:shd w:val="clear" w:color="auto" w:fill="auto"/>
            <w:noWrap/>
            <w:vAlign w:val="center"/>
          </w:tcPr>
          <w:p w14:paraId="25ABAF2A">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466BB62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.75</w:t>
            </w:r>
          </w:p>
        </w:tc>
        <w:tc>
          <w:tcPr>
            <w:tcW w:w="1588" w:type="pct"/>
            <w:vAlign w:val="center"/>
          </w:tcPr>
          <w:p w14:paraId="2D37AC1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.5</w:t>
            </w:r>
          </w:p>
        </w:tc>
      </w:tr>
      <w:tr w14:paraId="2CAC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70F636D0">
            <w:pPr>
              <w:spacing w:line="240" w:lineRule="exact"/>
              <w:jc w:val="center"/>
              <w:rPr>
                <w:rFonts w:ascii="Times New Roman" w:hAnsi="Times New Roman" w:cs="Times New Roman"/>
                <w:sz w:val="21"/>
                <w:szCs w:val="21"/>
              </w:rPr>
            </w:pPr>
            <w:r>
              <w:rPr>
                <w:rFonts w:ascii="Times New Roman" w:hAnsi="Times New Roman" w:cs="Times New Roman"/>
                <w:sz w:val="21"/>
                <w:szCs w:val="21"/>
              </w:rPr>
              <w:t>8</w:t>
            </w:r>
          </w:p>
        </w:tc>
        <w:tc>
          <w:tcPr>
            <w:tcW w:w="1217" w:type="pct"/>
            <w:gridSpan w:val="2"/>
            <w:shd w:val="clear" w:color="auto" w:fill="auto"/>
            <w:noWrap/>
            <w:vAlign w:val="center"/>
          </w:tcPr>
          <w:p w14:paraId="30A1CA84">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停车视距</w:t>
            </w:r>
          </w:p>
        </w:tc>
        <w:tc>
          <w:tcPr>
            <w:tcW w:w="427" w:type="pct"/>
            <w:shd w:val="clear" w:color="auto" w:fill="auto"/>
            <w:noWrap/>
            <w:vAlign w:val="center"/>
          </w:tcPr>
          <w:p w14:paraId="49E2F4A8">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22D0AE8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10</w:t>
            </w:r>
          </w:p>
        </w:tc>
        <w:tc>
          <w:tcPr>
            <w:tcW w:w="1588" w:type="pct"/>
            <w:vAlign w:val="center"/>
          </w:tcPr>
          <w:p w14:paraId="3AC4D85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0</w:t>
            </w:r>
          </w:p>
        </w:tc>
      </w:tr>
      <w:tr w14:paraId="640A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752723E3">
            <w:pPr>
              <w:spacing w:line="240" w:lineRule="exact"/>
              <w:jc w:val="center"/>
              <w:rPr>
                <w:rFonts w:ascii="Times New Roman" w:hAnsi="Times New Roman" w:cs="Times New Roman"/>
                <w:sz w:val="21"/>
                <w:szCs w:val="21"/>
              </w:rPr>
            </w:pPr>
            <w:r>
              <w:rPr>
                <w:rFonts w:ascii="Times New Roman" w:hAnsi="Times New Roman" w:cs="Times New Roman"/>
                <w:sz w:val="21"/>
                <w:szCs w:val="21"/>
              </w:rPr>
              <w:t>9</w:t>
            </w:r>
          </w:p>
        </w:tc>
        <w:tc>
          <w:tcPr>
            <w:tcW w:w="1217" w:type="pct"/>
            <w:gridSpan w:val="2"/>
            <w:shd w:val="clear" w:color="auto" w:fill="auto"/>
            <w:noWrap/>
            <w:vAlign w:val="center"/>
          </w:tcPr>
          <w:p w14:paraId="7998C0D6">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圆曲线最小</w:t>
            </w:r>
            <w:r>
              <w:rPr>
                <w:rFonts w:ascii="Times New Roman" w:hAnsi="Times New Roman" w:cs="Times New Roman"/>
                <w:sz w:val="21"/>
                <w:szCs w:val="21"/>
              </w:rPr>
              <w:t>半径</w:t>
            </w:r>
          </w:p>
        </w:tc>
        <w:tc>
          <w:tcPr>
            <w:tcW w:w="427" w:type="pct"/>
            <w:shd w:val="clear" w:color="auto" w:fill="auto"/>
            <w:noWrap/>
            <w:vAlign w:val="center"/>
          </w:tcPr>
          <w:p w14:paraId="742AB7DE">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25DCAFA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00</w:t>
            </w:r>
          </w:p>
        </w:tc>
        <w:tc>
          <w:tcPr>
            <w:tcW w:w="1588" w:type="pct"/>
            <w:vAlign w:val="center"/>
          </w:tcPr>
          <w:p w14:paraId="1E4BFBE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600</w:t>
            </w:r>
          </w:p>
        </w:tc>
      </w:tr>
      <w:tr w14:paraId="5537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07F008F4">
            <w:pPr>
              <w:spacing w:line="240" w:lineRule="exact"/>
              <w:jc w:val="center"/>
              <w:rPr>
                <w:rFonts w:ascii="Times New Roman" w:hAnsi="Times New Roman" w:cs="Times New Roman"/>
                <w:sz w:val="21"/>
                <w:szCs w:val="21"/>
              </w:rPr>
            </w:pPr>
            <w:r>
              <w:rPr>
                <w:rFonts w:ascii="Times New Roman" w:hAnsi="Times New Roman" w:cs="Times New Roman"/>
                <w:sz w:val="21"/>
                <w:szCs w:val="21"/>
              </w:rPr>
              <w:t>10</w:t>
            </w:r>
          </w:p>
        </w:tc>
        <w:tc>
          <w:tcPr>
            <w:tcW w:w="1217" w:type="pct"/>
            <w:gridSpan w:val="2"/>
            <w:shd w:val="clear" w:color="auto" w:fill="auto"/>
            <w:noWrap/>
            <w:vAlign w:val="center"/>
          </w:tcPr>
          <w:p w14:paraId="1E943E2D">
            <w:pPr>
              <w:spacing w:line="240" w:lineRule="exact"/>
              <w:jc w:val="center"/>
              <w:rPr>
                <w:rFonts w:ascii="Times New Roman" w:hAnsi="Times New Roman" w:cs="Times New Roman"/>
                <w:sz w:val="21"/>
                <w:szCs w:val="21"/>
              </w:rPr>
            </w:pPr>
            <w:r>
              <w:rPr>
                <w:rFonts w:ascii="Times New Roman" w:hAnsi="Times New Roman" w:cs="Times New Roman"/>
                <w:sz w:val="21"/>
                <w:szCs w:val="21"/>
              </w:rPr>
              <w:t>不设超高</w:t>
            </w:r>
            <w:r>
              <w:rPr>
                <w:rFonts w:hint="eastAsia" w:ascii="Times New Roman" w:hAnsi="Times New Roman" w:cs="Times New Roman"/>
                <w:sz w:val="21"/>
                <w:szCs w:val="21"/>
              </w:rPr>
              <w:t>最小</w:t>
            </w:r>
            <w:r>
              <w:rPr>
                <w:rFonts w:ascii="Times New Roman" w:hAnsi="Times New Roman" w:cs="Times New Roman"/>
                <w:sz w:val="21"/>
                <w:szCs w:val="21"/>
              </w:rPr>
              <w:t>半径</w:t>
            </w:r>
          </w:p>
        </w:tc>
        <w:tc>
          <w:tcPr>
            <w:tcW w:w="427" w:type="pct"/>
            <w:shd w:val="clear" w:color="auto" w:fill="auto"/>
            <w:noWrap/>
            <w:vAlign w:val="center"/>
          </w:tcPr>
          <w:p w14:paraId="38220D67">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0D690615">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500</w:t>
            </w:r>
          </w:p>
        </w:tc>
        <w:tc>
          <w:tcPr>
            <w:tcW w:w="1588" w:type="pct"/>
            <w:vAlign w:val="center"/>
          </w:tcPr>
          <w:p w14:paraId="111B090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600</w:t>
            </w:r>
          </w:p>
        </w:tc>
      </w:tr>
      <w:tr w14:paraId="1870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3F97D13B">
            <w:pPr>
              <w:spacing w:line="240" w:lineRule="exact"/>
              <w:jc w:val="center"/>
              <w:rPr>
                <w:rFonts w:ascii="Times New Roman" w:hAnsi="Times New Roman" w:cs="Times New Roman"/>
                <w:sz w:val="21"/>
                <w:szCs w:val="21"/>
              </w:rPr>
            </w:pPr>
            <w:r>
              <w:rPr>
                <w:rFonts w:ascii="Times New Roman" w:hAnsi="Times New Roman" w:cs="Times New Roman"/>
                <w:sz w:val="21"/>
                <w:szCs w:val="21"/>
              </w:rPr>
              <w:t>11</w:t>
            </w:r>
          </w:p>
        </w:tc>
        <w:tc>
          <w:tcPr>
            <w:tcW w:w="1217" w:type="pct"/>
            <w:gridSpan w:val="2"/>
            <w:shd w:val="clear" w:color="auto" w:fill="auto"/>
            <w:noWrap/>
            <w:vAlign w:val="center"/>
          </w:tcPr>
          <w:p w14:paraId="3E429C66">
            <w:pPr>
              <w:spacing w:line="240" w:lineRule="exact"/>
              <w:jc w:val="center"/>
              <w:rPr>
                <w:rFonts w:ascii="Times New Roman" w:hAnsi="Times New Roman" w:cs="Times New Roman"/>
                <w:sz w:val="21"/>
                <w:szCs w:val="21"/>
              </w:rPr>
            </w:pPr>
            <w:r>
              <w:rPr>
                <w:rFonts w:ascii="Times New Roman" w:hAnsi="Times New Roman" w:cs="Times New Roman"/>
                <w:sz w:val="21"/>
                <w:szCs w:val="21"/>
              </w:rPr>
              <w:t>最大纵坡</w:t>
            </w:r>
          </w:p>
        </w:tc>
        <w:tc>
          <w:tcPr>
            <w:tcW w:w="427" w:type="pct"/>
            <w:shd w:val="clear" w:color="auto" w:fill="auto"/>
            <w:noWrap/>
            <w:vAlign w:val="center"/>
          </w:tcPr>
          <w:p w14:paraId="1C76D856">
            <w:pPr>
              <w:spacing w:line="240" w:lineRule="exact"/>
              <w:jc w:val="center"/>
              <w:rPr>
                <w:rFonts w:ascii="Times New Roman" w:hAnsi="Times New Roman" w:cs="Times New Roman"/>
                <w:sz w:val="21"/>
                <w:szCs w:val="21"/>
              </w:rPr>
            </w:pPr>
            <w:r>
              <w:rPr>
                <w:rFonts w:ascii="Times New Roman" w:hAnsi="Times New Roman" w:cs="Times New Roman"/>
                <w:sz w:val="21"/>
                <w:szCs w:val="21"/>
              </w:rPr>
              <w:t>%</w:t>
            </w:r>
          </w:p>
        </w:tc>
        <w:tc>
          <w:tcPr>
            <w:tcW w:w="1451" w:type="pct"/>
            <w:shd w:val="clear" w:color="auto" w:fill="auto"/>
            <w:noWrap/>
            <w:vAlign w:val="center"/>
          </w:tcPr>
          <w:p w14:paraId="16562892">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1588" w:type="pct"/>
            <w:vAlign w:val="center"/>
          </w:tcPr>
          <w:p w14:paraId="025F2DE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.1</w:t>
            </w:r>
          </w:p>
        </w:tc>
      </w:tr>
      <w:tr w14:paraId="44A1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34DB5B27">
            <w:pPr>
              <w:spacing w:line="240" w:lineRule="exact"/>
              <w:jc w:val="center"/>
              <w:rPr>
                <w:rFonts w:ascii="Times New Roman" w:hAnsi="Times New Roman" w:cs="Times New Roman"/>
                <w:sz w:val="21"/>
                <w:szCs w:val="21"/>
              </w:rPr>
            </w:pPr>
            <w:r>
              <w:rPr>
                <w:rFonts w:ascii="Times New Roman" w:hAnsi="Times New Roman" w:cs="Times New Roman"/>
                <w:sz w:val="21"/>
                <w:szCs w:val="21"/>
              </w:rPr>
              <w:t>12</w:t>
            </w:r>
          </w:p>
        </w:tc>
        <w:tc>
          <w:tcPr>
            <w:tcW w:w="1217" w:type="pct"/>
            <w:gridSpan w:val="2"/>
            <w:shd w:val="clear" w:color="auto" w:fill="auto"/>
            <w:noWrap/>
            <w:vAlign w:val="center"/>
          </w:tcPr>
          <w:p w14:paraId="5E44B03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最小坡长</w:t>
            </w:r>
          </w:p>
        </w:tc>
        <w:tc>
          <w:tcPr>
            <w:tcW w:w="427" w:type="pct"/>
            <w:shd w:val="clear" w:color="auto" w:fill="auto"/>
            <w:noWrap/>
            <w:vAlign w:val="center"/>
          </w:tcPr>
          <w:p w14:paraId="0C29585F">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292FE9F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00</w:t>
            </w:r>
          </w:p>
        </w:tc>
        <w:tc>
          <w:tcPr>
            <w:tcW w:w="1588" w:type="pct"/>
            <w:vAlign w:val="center"/>
          </w:tcPr>
          <w:p w14:paraId="2E2E6339">
            <w:pPr>
              <w:spacing w:line="240" w:lineRule="exact"/>
              <w:jc w:val="center"/>
              <w:rPr>
                <w:rFonts w:ascii="Times New Roman" w:hAnsi="Times New Roman" w:cs="Times New Roman"/>
                <w:sz w:val="21"/>
                <w:szCs w:val="21"/>
              </w:rPr>
            </w:pPr>
            <w:r>
              <w:rPr>
                <w:rFonts w:ascii="Times New Roman" w:hAnsi="Times New Roman" w:cs="Times New Roman"/>
                <w:sz w:val="21"/>
                <w:szCs w:val="21"/>
              </w:rPr>
              <w:t>333.758</w:t>
            </w:r>
          </w:p>
        </w:tc>
      </w:tr>
      <w:tr w14:paraId="0799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78A190CF">
            <w:pPr>
              <w:spacing w:line="240" w:lineRule="exact"/>
              <w:jc w:val="center"/>
              <w:rPr>
                <w:rFonts w:ascii="Times New Roman" w:hAnsi="Times New Roman" w:cs="Times New Roman"/>
                <w:sz w:val="21"/>
                <w:szCs w:val="21"/>
              </w:rPr>
            </w:pPr>
            <w:r>
              <w:rPr>
                <w:rFonts w:ascii="Times New Roman" w:hAnsi="Times New Roman" w:cs="Times New Roman"/>
                <w:sz w:val="21"/>
                <w:szCs w:val="21"/>
              </w:rPr>
              <w:t>13</w:t>
            </w:r>
          </w:p>
        </w:tc>
        <w:tc>
          <w:tcPr>
            <w:tcW w:w="1217" w:type="pct"/>
            <w:gridSpan w:val="2"/>
            <w:shd w:val="clear" w:color="auto" w:fill="auto"/>
            <w:noWrap/>
            <w:vAlign w:val="center"/>
          </w:tcPr>
          <w:p w14:paraId="693D5ED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凸型竖曲线最小半径</w:t>
            </w:r>
          </w:p>
        </w:tc>
        <w:tc>
          <w:tcPr>
            <w:tcW w:w="427" w:type="pct"/>
            <w:shd w:val="clear" w:color="auto" w:fill="auto"/>
            <w:noWrap/>
            <w:vAlign w:val="center"/>
          </w:tcPr>
          <w:p w14:paraId="726C51DE">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408DA3D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600</w:t>
            </w:r>
          </w:p>
        </w:tc>
        <w:tc>
          <w:tcPr>
            <w:tcW w:w="1588" w:type="pct"/>
            <w:vAlign w:val="center"/>
          </w:tcPr>
          <w:p w14:paraId="14D3420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w:t>
            </w:r>
          </w:p>
        </w:tc>
      </w:tr>
      <w:tr w14:paraId="0425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31D36EF1">
            <w:pPr>
              <w:spacing w:line="240" w:lineRule="exact"/>
              <w:jc w:val="center"/>
              <w:rPr>
                <w:rFonts w:ascii="Times New Roman" w:hAnsi="Times New Roman" w:cs="Times New Roman"/>
                <w:sz w:val="21"/>
                <w:szCs w:val="21"/>
              </w:rPr>
            </w:pPr>
            <w:r>
              <w:rPr>
                <w:rFonts w:ascii="Times New Roman" w:hAnsi="Times New Roman" w:cs="Times New Roman"/>
                <w:sz w:val="21"/>
                <w:szCs w:val="21"/>
              </w:rPr>
              <w:t>14</w:t>
            </w:r>
          </w:p>
        </w:tc>
        <w:tc>
          <w:tcPr>
            <w:tcW w:w="1217" w:type="pct"/>
            <w:gridSpan w:val="2"/>
            <w:shd w:val="clear" w:color="auto" w:fill="auto"/>
            <w:noWrap/>
            <w:vAlign w:val="center"/>
          </w:tcPr>
          <w:p w14:paraId="1753E5A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凹型竖曲线最小半径</w:t>
            </w:r>
          </w:p>
        </w:tc>
        <w:tc>
          <w:tcPr>
            <w:tcW w:w="427" w:type="pct"/>
            <w:shd w:val="clear" w:color="auto" w:fill="auto"/>
            <w:noWrap/>
            <w:vAlign w:val="center"/>
          </w:tcPr>
          <w:p w14:paraId="089ED453">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504429A7">
            <w:pPr>
              <w:spacing w:line="240" w:lineRule="exact"/>
              <w:jc w:val="center"/>
              <w:rPr>
                <w:rFonts w:ascii="Times New Roman" w:hAnsi="Times New Roman" w:cs="Times New Roman"/>
                <w:sz w:val="21"/>
                <w:szCs w:val="21"/>
              </w:rPr>
            </w:pPr>
            <w:r>
              <w:rPr>
                <w:rFonts w:ascii="Times New Roman" w:hAnsi="Times New Roman" w:cs="Times New Roman"/>
                <w:sz w:val="21"/>
                <w:szCs w:val="21"/>
              </w:rPr>
              <w:t>6757.576</w:t>
            </w:r>
          </w:p>
        </w:tc>
        <w:tc>
          <w:tcPr>
            <w:tcW w:w="1588" w:type="pct"/>
            <w:vAlign w:val="center"/>
          </w:tcPr>
          <w:p w14:paraId="61FEB9A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6500</w:t>
            </w:r>
          </w:p>
        </w:tc>
      </w:tr>
      <w:tr w14:paraId="421C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35373F38">
            <w:pPr>
              <w:spacing w:line="240" w:lineRule="exact"/>
              <w:jc w:val="center"/>
              <w:rPr>
                <w:rFonts w:ascii="Times New Roman" w:hAnsi="Times New Roman" w:cs="Times New Roman"/>
                <w:sz w:val="21"/>
                <w:szCs w:val="21"/>
              </w:rPr>
            </w:pPr>
            <w:r>
              <w:rPr>
                <w:rFonts w:ascii="Times New Roman" w:hAnsi="Times New Roman" w:cs="Times New Roman"/>
                <w:sz w:val="21"/>
                <w:szCs w:val="21"/>
              </w:rPr>
              <w:t>15</w:t>
            </w:r>
          </w:p>
        </w:tc>
        <w:tc>
          <w:tcPr>
            <w:tcW w:w="1217" w:type="pct"/>
            <w:gridSpan w:val="2"/>
            <w:shd w:val="clear" w:color="auto" w:fill="auto"/>
            <w:noWrap/>
            <w:vAlign w:val="center"/>
          </w:tcPr>
          <w:p w14:paraId="2381271B">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竖曲线最小长度</w:t>
            </w:r>
          </w:p>
        </w:tc>
        <w:tc>
          <w:tcPr>
            <w:tcW w:w="427" w:type="pct"/>
            <w:shd w:val="clear" w:color="auto" w:fill="auto"/>
            <w:noWrap/>
            <w:vAlign w:val="center"/>
          </w:tcPr>
          <w:p w14:paraId="2CC5EF88">
            <w:pPr>
              <w:spacing w:line="240" w:lineRule="exact"/>
              <w:jc w:val="center"/>
              <w:rPr>
                <w:rFonts w:ascii="Times New Roman" w:hAnsi="Times New Roman" w:cs="Times New Roman"/>
                <w:sz w:val="21"/>
                <w:szCs w:val="21"/>
              </w:rPr>
            </w:pPr>
            <w:r>
              <w:rPr>
                <w:rFonts w:ascii="Times New Roman" w:hAnsi="Times New Roman" w:cs="Times New Roman"/>
                <w:sz w:val="21"/>
                <w:szCs w:val="21"/>
              </w:rPr>
              <w:t>m</w:t>
            </w:r>
          </w:p>
        </w:tc>
        <w:tc>
          <w:tcPr>
            <w:tcW w:w="1451" w:type="pct"/>
            <w:shd w:val="clear" w:color="auto" w:fill="auto"/>
            <w:noWrap/>
            <w:vAlign w:val="center"/>
          </w:tcPr>
          <w:p w14:paraId="4082FB24">
            <w:pPr>
              <w:spacing w:line="240" w:lineRule="exact"/>
              <w:jc w:val="center"/>
              <w:rPr>
                <w:rFonts w:ascii="Times New Roman" w:hAnsi="Times New Roman" w:cs="Times New Roman"/>
                <w:sz w:val="21"/>
                <w:szCs w:val="21"/>
              </w:rPr>
            </w:pPr>
            <w:r>
              <w:rPr>
                <w:rFonts w:ascii="Times New Roman" w:hAnsi="Times New Roman" w:cs="Times New Roman"/>
                <w:sz w:val="21"/>
                <w:szCs w:val="21"/>
              </w:rPr>
              <w:t>171.433</w:t>
            </w:r>
          </w:p>
        </w:tc>
        <w:tc>
          <w:tcPr>
            <w:tcW w:w="1588" w:type="pct"/>
            <w:vAlign w:val="center"/>
          </w:tcPr>
          <w:p w14:paraId="7BE95989">
            <w:pPr>
              <w:spacing w:line="240" w:lineRule="exact"/>
              <w:jc w:val="center"/>
              <w:rPr>
                <w:rFonts w:ascii="Times New Roman" w:hAnsi="Times New Roman" w:cs="Times New Roman"/>
                <w:sz w:val="21"/>
                <w:szCs w:val="21"/>
              </w:rPr>
            </w:pPr>
            <w:r>
              <w:rPr>
                <w:rFonts w:ascii="Times New Roman" w:hAnsi="Times New Roman" w:cs="Times New Roman"/>
                <w:sz w:val="21"/>
                <w:szCs w:val="21"/>
              </w:rPr>
              <w:t>174.867</w:t>
            </w:r>
          </w:p>
        </w:tc>
      </w:tr>
      <w:tr w14:paraId="75A6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64C6D746">
            <w:pPr>
              <w:spacing w:line="240" w:lineRule="exact"/>
              <w:jc w:val="center"/>
              <w:rPr>
                <w:rFonts w:ascii="Times New Roman" w:hAnsi="Times New Roman" w:cs="Times New Roman"/>
                <w:sz w:val="21"/>
                <w:szCs w:val="21"/>
              </w:rPr>
            </w:pPr>
            <w:r>
              <w:rPr>
                <w:rFonts w:ascii="Times New Roman" w:hAnsi="Times New Roman" w:cs="Times New Roman"/>
                <w:sz w:val="21"/>
                <w:szCs w:val="21"/>
              </w:rPr>
              <w:t>16</w:t>
            </w:r>
          </w:p>
        </w:tc>
        <w:tc>
          <w:tcPr>
            <w:tcW w:w="1217" w:type="pct"/>
            <w:gridSpan w:val="2"/>
            <w:shd w:val="clear" w:color="auto" w:fill="auto"/>
            <w:noWrap/>
            <w:vAlign w:val="center"/>
          </w:tcPr>
          <w:p w14:paraId="3B3D81C8">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汽车设计荷载等级</w:t>
            </w:r>
          </w:p>
        </w:tc>
        <w:tc>
          <w:tcPr>
            <w:tcW w:w="427" w:type="pct"/>
            <w:shd w:val="clear" w:color="auto" w:fill="auto"/>
            <w:noWrap/>
            <w:vAlign w:val="center"/>
          </w:tcPr>
          <w:p w14:paraId="41A897F8">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7BDAD56A">
            <w:pPr>
              <w:spacing w:line="240" w:lineRule="exact"/>
              <w:jc w:val="center"/>
              <w:rPr>
                <w:rFonts w:ascii="Times New Roman" w:hAnsi="Times New Roman" w:cs="Times New Roman"/>
                <w:sz w:val="21"/>
                <w:szCs w:val="21"/>
              </w:rPr>
            </w:pPr>
            <w:r>
              <w:rPr>
                <w:rFonts w:ascii="Times New Roman" w:hAnsi="Times New Roman" w:cs="Times New Roman"/>
                <w:sz w:val="21"/>
                <w:szCs w:val="21"/>
              </w:rPr>
              <w:t>公路-I级</w:t>
            </w:r>
          </w:p>
        </w:tc>
        <w:tc>
          <w:tcPr>
            <w:tcW w:w="1588" w:type="pct"/>
            <w:vAlign w:val="center"/>
          </w:tcPr>
          <w:p w14:paraId="153A38E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公路－Ⅱ级</w:t>
            </w:r>
          </w:p>
        </w:tc>
      </w:tr>
      <w:tr w14:paraId="6322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17" w:type="pct"/>
            <w:shd w:val="clear" w:color="auto" w:fill="auto"/>
            <w:noWrap/>
            <w:vAlign w:val="center"/>
          </w:tcPr>
          <w:p w14:paraId="0FC26464">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7</w:t>
            </w:r>
          </w:p>
        </w:tc>
        <w:tc>
          <w:tcPr>
            <w:tcW w:w="1217" w:type="pct"/>
            <w:gridSpan w:val="2"/>
            <w:shd w:val="clear" w:color="auto" w:fill="auto"/>
            <w:noWrap/>
            <w:vAlign w:val="center"/>
          </w:tcPr>
          <w:p w14:paraId="2F920B0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路基设计洪水频率</w:t>
            </w:r>
          </w:p>
        </w:tc>
        <w:tc>
          <w:tcPr>
            <w:tcW w:w="427" w:type="pct"/>
            <w:shd w:val="clear" w:color="auto" w:fill="auto"/>
            <w:noWrap/>
            <w:vAlign w:val="center"/>
          </w:tcPr>
          <w:p w14:paraId="10BCBB19">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3362551F">
            <w:pPr>
              <w:spacing w:line="240" w:lineRule="exact"/>
              <w:jc w:val="center"/>
              <w:rPr>
                <w:rFonts w:ascii="Times New Roman" w:hAnsi="Times New Roman" w:cs="Times New Roman"/>
                <w:sz w:val="21"/>
                <w:szCs w:val="21"/>
              </w:rPr>
            </w:pPr>
            <w:r>
              <w:rPr>
                <w:rFonts w:ascii="Times New Roman" w:hAnsi="Times New Roman" w:cs="Times New Roman"/>
                <w:sz w:val="21"/>
                <w:szCs w:val="21"/>
              </w:rPr>
              <w:t>1/50</w:t>
            </w:r>
          </w:p>
        </w:tc>
        <w:tc>
          <w:tcPr>
            <w:tcW w:w="1588" w:type="pct"/>
            <w:vAlign w:val="center"/>
          </w:tcPr>
          <w:p w14:paraId="5E685216">
            <w:pPr>
              <w:spacing w:line="240" w:lineRule="exact"/>
              <w:jc w:val="center"/>
              <w:rPr>
                <w:rFonts w:ascii="Times New Roman" w:hAnsi="Times New Roman" w:cs="Times New Roman"/>
                <w:sz w:val="21"/>
                <w:szCs w:val="21"/>
              </w:rPr>
            </w:pPr>
            <w:r>
              <w:rPr>
                <w:rFonts w:ascii="Times New Roman" w:hAnsi="Times New Roman" w:cs="Times New Roman"/>
                <w:sz w:val="21"/>
                <w:szCs w:val="21"/>
              </w:rPr>
              <w:t>1/50</w:t>
            </w:r>
          </w:p>
        </w:tc>
      </w:tr>
      <w:tr w14:paraId="21F9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vMerge w:val="restart"/>
            <w:shd w:val="clear" w:color="auto" w:fill="auto"/>
            <w:noWrap/>
            <w:vAlign w:val="center"/>
          </w:tcPr>
          <w:p w14:paraId="2CB1D9B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8</w:t>
            </w:r>
          </w:p>
        </w:tc>
        <w:tc>
          <w:tcPr>
            <w:tcW w:w="363" w:type="pct"/>
            <w:vMerge w:val="restart"/>
            <w:shd w:val="clear" w:color="auto" w:fill="auto"/>
            <w:noWrap/>
            <w:vAlign w:val="center"/>
          </w:tcPr>
          <w:p w14:paraId="3DFAD63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桥涵设计洪水频率</w:t>
            </w:r>
          </w:p>
        </w:tc>
        <w:tc>
          <w:tcPr>
            <w:tcW w:w="854" w:type="pct"/>
            <w:shd w:val="clear" w:color="auto" w:fill="auto"/>
            <w:vAlign w:val="center"/>
          </w:tcPr>
          <w:p w14:paraId="5AF7E7E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特大桥</w:t>
            </w:r>
          </w:p>
        </w:tc>
        <w:tc>
          <w:tcPr>
            <w:tcW w:w="427" w:type="pct"/>
            <w:shd w:val="clear" w:color="auto" w:fill="auto"/>
            <w:noWrap/>
            <w:vAlign w:val="center"/>
          </w:tcPr>
          <w:p w14:paraId="73892591">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6F732DE6">
            <w:pPr>
              <w:spacing w:line="240" w:lineRule="exact"/>
              <w:jc w:val="center"/>
              <w:rPr>
                <w:rFonts w:ascii="Times New Roman" w:hAnsi="Times New Roman" w:cs="Times New Roman"/>
                <w:sz w:val="21"/>
                <w:szCs w:val="21"/>
              </w:rPr>
            </w:pPr>
            <w:r>
              <w:rPr>
                <w:rFonts w:ascii="Times New Roman" w:hAnsi="Times New Roman" w:cs="Times New Roman"/>
                <w:sz w:val="21"/>
                <w:szCs w:val="21"/>
              </w:rPr>
              <w:t>1/100</w:t>
            </w:r>
          </w:p>
        </w:tc>
        <w:tc>
          <w:tcPr>
            <w:tcW w:w="1588" w:type="pct"/>
            <w:vAlign w:val="center"/>
          </w:tcPr>
          <w:p w14:paraId="30B4C512">
            <w:pPr>
              <w:spacing w:line="240" w:lineRule="exact"/>
              <w:jc w:val="center"/>
              <w:rPr>
                <w:rFonts w:ascii="Times New Roman" w:hAnsi="Times New Roman" w:cs="Times New Roman"/>
                <w:sz w:val="21"/>
                <w:szCs w:val="21"/>
              </w:rPr>
            </w:pPr>
            <w:r>
              <w:rPr>
                <w:rFonts w:ascii="Times New Roman" w:hAnsi="Times New Roman" w:cs="Times New Roman"/>
                <w:sz w:val="21"/>
                <w:szCs w:val="21"/>
              </w:rPr>
              <w:t>1/100</w:t>
            </w:r>
          </w:p>
        </w:tc>
      </w:tr>
      <w:tr w14:paraId="23CB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vMerge w:val="continue"/>
            <w:shd w:val="clear" w:color="auto" w:fill="auto"/>
            <w:noWrap/>
            <w:vAlign w:val="center"/>
          </w:tcPr>
          <w:p w14:paraId="69C4081E">
            <w:pPr>
              <w:spacing w:line="240" w:lineRule="exact"/>
              <w:jc w:val="center"/>
              <w:rPr>
                <w:rFonts w:ascii="Times New Roman" w:hAnsi="Times New Roman" w:cs="Times New Roman"/>
                <w:sz w:val="21"/>
                <w:szCs w:val="21"/>
              </w:rPr>
            </w:pPr>
          </w:p>
        </w:tc>
        <w:tc>
          <w:tcPr>
            <w:tcW w:w="363" w:type="pct"/>
            <w:vMerge w:val="continue"/>
            <w:shd w:val="clear" w:color="auto" w:fill="auto"/>
            <w:noWrap/>
            <w:vAlign w:val="center"/>
          </w:tcPr>
          <w:p w14:paraId="207869A7">
            <w:pPr>
              <w:spacing w:line="240" w:lineRule="exact"/>
              <w:jc w:val="center"/>
              <w:rPr>
                <w:rFonts w:ascii="Times New Roman" w:hAnsi="Times New Roman" w:cs="Times New Roman"/>
                <w:sz w:val="21"/>
                <w:szCs w:val="21"/>
              </w:rPr>
            </w:pPr>
          </w:p>
        </w:tc>
        <w:tc>
          <w:tcPr>
            <w:tcW w:w="854" w:type="pct"/>
            <w:shd w:val="clear" w:color="auto" w:fill="auto"/>
            <w:vAlign w:val="center"/>
          </w:tcPr>
          <w:p w14:paraId="4679DDB8">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大桥、中桥</w:t>
            </w:r>
          </w:p>
        </w:tc>
        <w:tc>
          <w:tcPr>
            <w:tcW w:w="427" w:type="pct"/>
            <w:shd w:val="clear" w:color="auto" w:fill="auto"/>
            <w:noWrap/>
            <w:vAlign w:val="center"/>
          </w:tcPr>
          <w:p w14:paraId="4C3BC292">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2BA43601">
            <w:pPr>
              <w:spacing w:line="240" w:lineRule="exact"/>
              <w:jc w:val="center"/>
              <w:rPr>
                <w:rFonts w:ascii="Times New Roman" w:hAnsi="Times New Roman" w:cs="Times New Roman"/>
                <w:sz w:val="21"/>
                <w:szCs w:val="21"/>
              </w:rPr>
            </w:pPr>
            <w:r>
              <w:rPr>
                <w:rFonts w:ascii="Times New Roman" w:hAnsi="Times New Roman" w:cs="Times New Roman"/>
                <w:sz w:val="21"/>
                <w:szCs w:val="21"/>
              </w:rPr>
              <w:t>1/100</w:t>
            </w:r>
          </w:p>
        </w:tc>
        <w:tc>
          <w:tcPr>
            <w:tcW w:w="1588" w:type="pct"/>
            <w:vAlign w:val="center"/>
          </w:tcPr>
          <w:p w14:paraId="55B88B78">
            <w:pPr>
              <w:spacing w:line="240" w:lineRule="exact"/>
              <w:jc w:val="center"/>
              <w:rPr>
                <w:rFonts w:ascii="Times New Roman" w:hAnsi="Times New Roman" w:cs="Times New Roman"/>
                <w:sz w:val="21"/>
                <w:szCs w:val="21"/>
              </w:rPr>
            </w:pPr>
            <w:r>
              <w:rPr>
                <w:rFonts w:ascii="Times New Roman" w:hAnsi="Times New Roman" w:cs="Times New Roman"/>
                <w:sz w:val="21"/>
                <w:szCs w:val="21"/>
              </w:rPr>
              <w:t>1/100</w:t>
            </w:r>
          </w:p>
        </w:tc>
      </w:tr>
      <w:tr w14:paraId="29CE8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vMerge w:val="continue"/>
            <w:shd w:val="clear" w:color="auto" w:fill="auto"/>
            <w:noWrap/>
            <w:vAlign w:val="center"/>
          </w:tcPr>
          <w:p w14:paraId="4C9DBF09">
            <w:pPr>
              <w:spacing w:line="240" w:lineRule="exact"/>
              <w:jc w:val="center"/>
              <w:rPr>
                <w:rFonts w:ascii="Times New Roman" w:hAnsi="Times New Roman" w:cs="Times New Roman"/>
                <w:sz w:val="21"/>
                <w:szCs w:val="21"/>
              </w:rPr>
            </w:pPr>
          </w:p>
        </w:tc>
        <w:tc>
          <w:tcPr>
            <w:tcW w:w="363" w:type="pct"/>
            <w:vMerge w:val="continue"/>
            <w:shd w:val="clear" w:color="auto" w:fill="auto"/>
            <w:noWrap/>
            <w:vAlign w:val="center"/>
          </w:tcPr>
          <w:p w14:paraId="5AB69FEC">
            <w:pPr>
              <w:spacing w:line="240" w:lineRule="exact"/>
              <w:jc w:val="center"/>
              <w:rPr>
                <w:rFonts w:ascii="Times New Roman" w:hAnsi="Times New Roman" w:cs="Times New Roman"/>
                <w:sz w:val="21"/>
                <w:szCs w:val="21"/>
              </w:rPr>
            </w:pPr>
          </w:p>
        </w:tc>
        <w:tc>
          <w:tcPr>
            <w:tcW w:w="854" w:type="pct"/>
            <w:shd w:val="clear" w:color="auto" w:fill="auto"/>
            <w:vAlign w:val="center"/>
          </w:tcPr>
          <w:p w14:paraId="2B2210E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小桥、涵</w:t>
            </w:r>
          </w:p>
          <w:p w14:paraId="54EF448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洞</w:t>
            </w:r>
          </w:p>
        </w:tc>
        <w:tc>
          <w:tcPr>
            <w:tcW w:w="427" w:type="pct"/>
            <w:shd w:val="clear" w:color="auto" w:fill="auto"/>
            <w:noWrap/>
            <w:vAlign w:val="center"/>
          </w:tcPr>
          <w:p w14:paraId="7A2514B5">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7B9854E4">
            <w:pPr>
              <w:spacing w:line="240" w:lineRule="exact"/>
              <w:jc w:val="center"/>
              <w:rPr>
                <w:rFonts w:ascii="Times New Roman" w:hAnsi="Times New Roman" w:cs="Times New Roman"/>
                <w:sz w:val="21"/>
                <w:szCs w:val="21"/>
              </w:rPr>
            </w:pPr>
            <w:r>
              <w:rPr>
                <w:rFonts w:ascii="Times New Roman" w:hAnsi="Times New Roman" w:cs="Times New Roman"/>
                <w:sz w:val="21"/>
                <w:szCs w:val="21"/>
              </w:rPr>
              <w:t>1/50</w:t>
            </w:r>
          </w:p>
        </w:tc>
        <w:tc>
          <w:tcPr>
            <w:tcW w:w="1588" w:type="pct"/>
            <w:vAlign w:val="center"/>
          </w:tcPr>
          <w:p w14:paraId="1DFDB9D3">
            <w:pPr>
              <w:spacing w:line="240" w:lineRule="exact"/>
              <w:jc w:val="center"/>
              <w:rPr>
                <w:rFonts w:ascii="Times New Roman" w:hAnsi="Times New Roman" w:cs="Times New Roman"/>
                <w:sz w:val="21"/>
                <w:szCs w:val="21"/>
              </w:rPr>
            </w:pPr>
            <w:r>
              <w:rPr>
                <w:rFonts w:ascii="Times New Roman" w:hAnsi="Times New Roman" w:cs="Times New Roman"/>
                <w:sz w:val="21"/>
                <w:szCs w:val="21"/>
              </w:rPr>
              <w:t>1/50</w:t>
            </w:r>
          </w:p>
        </w:tc>
      </w:tr>
      <w:tr w14:paraId="1BF5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72D25247">
            <w:pPr>
              <w:spacing w:line="240" w:lineRule="exact"/>
              <w:jc w:val="center"/>
              <w:rPr>
                <w:rFonts w:ascii="Times New Roman" w:hAnsi="Times New Roman" w:cs="Times New Roman"/>
                <w:sz w:val="21"/>
                <w:szCs w:val="21"/>
              </w:rPr>
            </w:pPr>
            <w:r>
              <w:rPr>
                <w:rFonts w:ascii="Times New Roman" w:hAnsi="Times New Roman" w:cs="Times New Roman"/>
                <w:sz w:val="21"/>
                <w:szCs w:val="21"/>
              </w:rPr>
              <w:t>19</w:t>
            </w:r>
          </w:p>
        </w:tc>
        <w:tc>
          <w:tcPr>
            <w:tcW w:w="1217" w:type="pct"/>
            <w:gridSpan w:val="2"/>
            <w:shd w:val="clear" w:color="auto" w:fill="auto"/>
            <w:noWrap/>
            <w:vAlign w:val="center"/>
          </w:tcPr>
          <w:p w14:paraId="09AB6DD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路面类型</w:t>
            </w:r>
          </w:p>
        </w:tc>
        <w:tc>
          <w:tcPr>
            <w:tcW w:w="427" w:type="pct"/>
            <w:shd w:val="clear" w:color="auto" w:fill="auto"/>
            <w:noWrap/>
            <w:vAlign w:val="center"/>
          </w:tcPr>
          <w:p w14:paraId="10A1E1A5">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2D5A392E">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沥青路面</w:t>
            </w:r>
          </w:p>
        </w:tc>
        <w:tc>
          <w:tcPr>
            <w:tcW w:w="1588" w:type="pct"/>
            <w:vAlign w:val="center"/>
          </w:tcPr>
          <w:p w14:paraId="79506310">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沥青路面</w:t>
            </w:r>
          </w:p>
        </w:tc>
      </w:tr>
      <w:tr w14:paraId="0C06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2DFE5FC9">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0</w:t>
            </w:r>
          </w:p>
        </w:tc>
        <w:tc>
          <w:tcPr>
            <w:tcW w:w="1217" w:type="pct"/>
            <w:gridSpan w:val="2"/>
            <w:shd w:val="clear" w:color="auto" w:fill="auto"/>
            <w:noWrap/>
            <w:vAlign w:val="center"/>
          </w:tcPr>
          <w:p w14:paraId="12AD787D">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路线长度</w:t>
            </w:r>
          </w:p>
        </w:tc>
        <w:tc>
          <w:tcPr>
            <w:tcW w:w="427" w:type="pct"/>
            <w:shd w:val="clear" w:color="auto" w:fill="auto"/>
            <w:noWrap/>
            <w:vAlign w:val="center"/>
          </w:tcPr>
          <w:p w14:paraId="23F41E6A">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673F9B8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1.907</w:t>
            </w:r>
          </w:p>
        </w:tc>
        <w:tc>
          <w:tcPr>
            <w:tcW w:w="1588" w:type="pct"/>
            <w:vAlign w:val="center"/>
          </w:tcPr>
          <w:p w14:paraId="0E3E6DC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0</w:t>
            </w:r>
            <w:r>
              <w:rPr>
                <w:rFonts w:ascii="Times New Roman" w:hAnsi="Times New Roman" w:cs="Times New Roman"/>
                <w:sz w:val="21"/>
                <w:szCs w:val="21"/>
              </w:rPr>
              <w:t>.795</w:t>
            </w:r>
          </w:p>
        </w:tc>
      </w:tr>
      <w:tr w14:paraId="0B3C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607B6CE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1</w:t>
            </w:r>
          </w:p>
        </w:tc>
        <w:tc>
          <w:tcPr>
            <w:tcW w:w="1217" w:type="pct"/>
            <w:gridSpan w:val="2"/>
            <w:shd w:val="clear" w:color="auto" w:fill="auto"/>
            <w:noWrap/>
            <w:vAlign w:val="center"/>
          </w:tcPr>
          <w:p w14:paraId="7A0D19C7">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路面设计轴载</w:t>
            </w:r>
          </w:p>
        </w:tc>
        <w:tc>
          <w:tcPr>
            <w:tcW w:w="427" w:type="pct"/>
            <w:shd w:val="clear" w:color="auto" w:fill="auto"/>
            <w:noWrap/>
            <w:vAlign w:val="center"/>
          </w:tcPr>
          <w:p w14:paraId="63A2D4E9">
            <w:pPr>
              <w:spacing w:line="240" w:lineRule="exact"/>
              <w:jc w:val="center"/>
              <w:rPr>
                <w:rFonts w:ascii="Times New Roman" w:hAnsi="Times New Roman" w:cs="Times New Roman"/>
                <w:sz w:val="21"/>
                <w:szCs w:val="21"/>
              </w:rPr>
            </w:pPr>
            <w:r>
              <w:rPr>
                <w:rFonts w:ascii="Times New Roman" w:hAnsi="Times New Roman" w:cs="Times New Roman"/>
                <w:sz w:val="21"/>
                <w:szCs w:val="21"/>
              </w:rPr>
              <w:t>kN</w:t>
            </w:r>
          </w:p>
        </w:tc>
        <w:tc>
          <w:tcPr>
            <w:tcW w:w="1451" w:type="pct"/>
            <w:shd w:val="clear" w:color="auto" w:fill="auto"/>
            <w:noWrap/>
            <w:vAlign w:val="center"/>
          </w:tcPr>
          <w:p w14:paraId="78CEE4F4">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00</w:t>
            </w:r>
          </w:p>
        </w:tc>
        <w:tc>
          <w:tcPr>
            <w:tcW w:w="1588" w:type="pct"/>
            <w:vAlign w:val="center"/>
          </w:tcPr>
          <w:p w14:paraId="34325D93">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00</w:t>
            </w:r>
          </w:p>
        </w:tc>
      </w:tr>
      <w:tr w14:paraId="386A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7" w:type="pct"/>
            <w:shd w:val="clear" w:color="auto" w:fill="auto"/>
            <w:noWrap/>
            <w:vAlign w:val="center"/>
          </w:tcPr>
          <w:p w14:paraId="3258D2D1">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2</w:t>
            </w:r>
          </w:p>
        </w:tc>
        <w:tc>
          <w:tcPr>
            <w:tcW w:w="1217" w:type="pct"/>
            <w:gridSpan w:val="2"/>
            <w:shd w:val="clear" w:color="auto" w:fill="auto"/>
            <w:noWrap/>
            <w:vAlign w:val="center"/>
          </w:tcPr>
          <w:p w14:paraId="149C63EF">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路面设计使用年限</w:t>
            </w:r>
          </w:p>
        </w:tc>
        <w:tc>
          <w:tcPr>
            <w:tcW w:w="427" w:type="pct"/>
            <w:shd w:val="clear" w:color="auto" w:fill="auto"/>
            <w:noWrap/>
            <w:vAlign w:val="center"/>
          </w:tcPr>
          <w:p w14:paraId="4EB290A7">
            <w:pPr>
              <w:spacing w:line="240" w:lineRule="exact"/>
              <w:jc w:val="center"/>
              <w:rPr>
                <w:rFonts w:ascii="Times New Roman" w:hAnsi="Times New Roman" w:cs="Times New Roman"/>
                <w:sz w:val="21"/>
                <w:szCs w:val="21"/>
              </w:rPr>
            </w:pPr>
          </w:p>
        </w:tc>
        <w:tc>
          <w:tcPr>
            <w:tcW w:w="1451" w:type="pct"/>
            <w:shd w:val="clear" w:color="auto" w:fill="auto"/>
            <w:noWrap/>
            <w:vAlign w:val="center"/>
          </w:tcPr>
          <w:p w14:paraId="336445CA">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2</w:t>
            </w:r>
          </w:p>
        </w:tc>
        <w:tc>
          <w:tcPr>
            <w:tcW w:w="1588" w:type="pct"/>
            <w:vAlign w:val="center"/>
          </w:tcPr>
          <w:p w14:paraId="28D6182C">
            <w:pPr>
              <w:spacing w:line="240" w:lineRule="exact"/>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0</w:t>
            </w:r>
          </w:p>
        </w:tc>
      </w:tr>
    </w:tbl>
    <w:p w14:paraId="58D6B7B9">
      <w:pPr>
        <w:pStyle w:val="4"/>
        <w:adjustRightInd w:val="0"/>
        <w:snapToGrid w:val="0"/>
        <w:spacing w:before="156" w:after="156" w:line="240" w:lineRule="auto"/>
        <w:rPr>
          <w:rFonts w:ascii="Times New Roman" w:hAnsi="Times New Roman" w:cs="Times New Roman"/>
          <w:sz w:val="30"/>
        </w:rPr>
      </w:pPr>
      <w:bookmarkStart w:id="303" w:name="_Toc98413504"/>
      <w:bookmarkStart w:id="304" w:name="_Toc98414186"/>
      <w:bookmarkStart w:id="305" w:name="_Toc34989548"/>
      <w:bookmarkStart w:id="306" w:name="_Toc97464609"/>
      <w:bookmarkStart w:id="307" w:name="_Toc57826712"/>
      <w:bookmarkStart w:id="308" w:name="_Hlk3383693"/>
      <w:r>
        <w:rPr>
          <w:rFonts w:ascii="Times New Roman" w:hAnsi="Times New Roman" w:cs="Times New Roman"/>
          <w:sz w:val="30"/>
        </w:rPr>
        <w:t>3.1.5交通量预测</w:t>
      </w:r>
      <w:bookmarkEnd w:id="303"/>
      <w:bookmarkEnd w:id="304"/>
      <w:bookmarkEnd w:id="305"/>
      <w:bookmarkEnd w:id="306"/>
      <w:bookmarkEnd w:id="307"/>
    </w:p>
    <w:bookmarkEnd w:id="308"/>
    <w:p w14:paraId="405323A0">
      <w:pPr>
        <w:spacing w:line="560" w:lineRule="exact"/>
        <w:ind w:firstLine="480"/>
        <w:jc w:val="both"/>
        <w:rPr>
          <w:rFonts w:ascii="Times New Roman" w:hAnsi="Times New Roman" w:cs="Times New Roman"/>
        </w:rPr>
      </w:pPr>
      <w:bookmarkStart w:id="309" w:name="_Toc98413506"/>
      <w:bookmarkStart w:id="310" w:name="_Toc34989552"/>
      <w:bookmarkStart w:id="311" w:name="_Toc57826714"/>
      <w:bookmarkStart w:id="312" w:name="_Toc97464611"/>
      <w:bookmarkStart w:id="313" w:name="_Toc98414188"/>
      <w:bookmarkStart w:id="314" w:name="_Toc34989550"/>
      <w:r>
        <w:rPr>
          <w:rFonts w:ascii="Times New Roman" w:hAnsi="Times New Roman" w:cs="Times New Roman"/>
        </w:rPr>
        <w:t>根据可行性研究报告提供的</w:t>
      </w:r>
      <w:r>
        <w:rPr>
          <w:rFonts w:hint="eastAsia" w:ascii="Times New Roman" w:hAnsi="Times New Roman" w:cs="Times New Roman"/>
        </w:rPr>
        <w:t>2</w:t>
      </w:r>
      <w:r>
        <w:rPr>
          <w:rFonts w:ascii="Times New Roman" w:hAnsi="Times New Roman" w:cs="Times New Roman"/>
        </w:rPr>
        <w:t>030</w:t>
      </w:r>
      <w:r>
        <w:rPr>
          <w:rFonts w:hint="eastAsia" w:ascii="Times New Roman" w:hAnsi="Times New Roman" w:cs="Times New Roman"/>
        </w:rPr>
        <w:t>年</w:t>
      </w:r>
      <w:r>
        <w:rPr>
          <w:rFonts w:ascii="Times New Roman" w:hAnsi="Times New Roman" w:cs="Times New Roman"/>
        </w:rPr>
        <w:t>日交通量（折算成标准小客车交通量）预测结果</w:t>
      </w:r>
      <w:r>
        <w:rPr>
          <w:rFonts w:hint="eastAsia" w:ascii="Times New Roman" w:hAnsi="Times New Roman" w:cs="Times New Roman"/>
        </w:rPr>
        <w:t>为4</w:t>
      </w:r>
      <w:r>
        <w:rPr>
          <w:rFonts w:ascii="Times New Roman" w:hAnsi="Times New Roman" w:cs="Times New Roman"/>
        </w:rPr>
        <w:t>007</w:t>
      </w:r>
      <w:r>
        <w:rPr>
          <w:rFonts w:hint="eastAsia" w:ascii="Times New Roman" w:hAnsi="Times New Roman" w:cs="Times New Roman"/>
        </w:rPr>
        <w:t>辆，交通量年均增长率约为</w:t>
      </w:r>
      <w:r>
        <w:rPr>
          <w:rFonts w:ascii="Times New Roman" w:hAnsi="Times New Roman" w:cs="Times New Roman"/>
        </w:rPr>
        <w:t>5.1%</w:t>
      </w:r>
      <w:r>
        <w:rPr>
          <w:rFonts w:hint="eastAsia" w:ascii="Times New Roman" w:hAnsi="Times New Roman" w:cs="Times New Roman"/>
        </w:rPr>
        <w:t>，据此推算各特征年交通量。</w:t>
      </w:r>
    </w:p>
    <w:p w14:paraId="508A8EC9">
      <w:pPr>
        <w:spacing w:line="360" w:lineRule="auto"/>
        <w:ind w:firstLine="480" w:firstLineChars="200"/>
        <w:jc w:val="both"/>
        <w:rPr>
          <w:rFonts w:ascii="Times New Roman" w:hAnsi="Times New Roman" w:cs="Times New Roman"/>
        </w:rPr>
      </w:pPr>
      <w:bookmarkStart w:id="315" w:name="_Hlk151483914"/>
      <w:r>
        <w:rPr>
          <w:rFonts w:ascii="Times New Roman" w:hAnsi="Times New Roman" w:cs="Times New Roman"/>
        </w:rPr>
        <w:t>本项目预计2026年可投入使用，项目建成后各路段各特征年（近期2026年、中期2032年、远期2040年），日交通量（折算成标准小客车交通量）预测结果</w:t>
      </w:r>
      <w:bookmarkEnd w:id="315"/>
      <w:r>
        <w:rPr>
          <w:rFonts w:ascii="Times New Roman" w:hAnsi="Times New Roman" w:cs="Times New Roman"/>
        </w:rPr>
        <w:t>见表3.1-3，车型比见表3.1-4。</w:t>
      </w:r>
    </w:p>
    <w:p w14:paraId="6E9490CE">
      <w:pPr>
        <w:jc w:val="center"/>
        <w:rPr>
          <w:rFonts w:ascii="Times New Roman" w:hAnsi="Times New Roman" w:cs="Times New Roman"/>
          <w:b/>
        </w:rPr>
      </w:pPr>
      <w:r>
        <w:rPr>
          <w:rFonts w:ascii="Times New Roman" w:hAnsi="Times New Roman" w:cs="Times New Roman"/>
          <w:b/>
        </w:rPr>
        <w:t>表3.1-3  本项目特征年份</w:t>
      </w:r>
      <w:r>
        <w:rPr>
          <w:rFonts w:hint="eastAsia" w:ascii="Times New Roman" w:hAnsi="Times New Roman" w:cs="Times New Roman"/>
          <w:b/>
        </w:rPr>
        <w:t>日</w:t>
      </w:r>
      <w:r>
        <w:rPr>
          <w:rFonts w:ascii="Times New Roman" w:hAnsi="Times New Roman" w:cs="Times New Roman"/>
          <w:b/>
        </w:rPr>
        <w:t>交通量  单位：pcu/d</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2137"/>
        <w:gridCol w:w="1876"/>
        <w:gridCol w:w="2081"/>
      </w:tblGrid>
      <w:tr w14:paraId="25BE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7" w:type="pct"/>
            <w:vAlign w:val="center"/>
          </w:tcPr>
          <w:p w14:paraId="54841C3B">
            <w:pPr>
              <w:jc w:val="center"/>
              <w:rPr>
                <w:rFonts w:ascii="Times New Roman" w:hAnsi="Times New Roman" w:cs="Times New Roman"/>
                <w:sz w:val="21"/>
                <w:szCs w:val="18"/>
              </w:rPr>
            </w:pPr>
            <w:r>
              <w:rPr>
                <w:rFonts w:ascii="Times New Roman" w:hAnsi="Times New Roman" w:cs="Times New Roman"/>
                <w:sz w:val="21"/>
                <w:szCs w:val="18"/>
              </w:rPr>
              <w:t>年份</w:t>
            </w:r>
          </w:p>
        </w:tc>
        <w:tc>
          <w:tcPr>
            <w:tcW w:w="1253" w:type="pct"/>
            <w:vAlign w:val="center"/>
          </w:tcPr>
          <w:p w14:paraId="6B3BE4C3">
            <w:pPr>
              <w:topLinePunct/>
              <w:jc w:val="center"/>
              <w:rPr>
                <w:rFonts w:ascii="Times New Roman" w:hAnsi="Times New Roman" w:cs="Times New Roman"/>
                <w:sz w:val="21"/>
                <w:szCs w:val="18"/>
              </w:rPr>
            </w:pPr>
            <w:r>
              <w:rPr>
                <w:rFonts w:ascii="Times New Roman" w:hAnsi="Times New Roman" w:cs="Times New Roman"/>
                <w:sz w:val="21"/>
                <w:szCs w:val="18"/>
              </w:rPr>
              <w:t>2026年</w:t>
            </w:r>
          </w:p>
        </w:tc>
        <w:tc>
          <w:tcPr>
            <w:tcW w:w="1100" w:type="pct"/>
            <w:vAlign w:val="center"/>
          </w:tcPr>
          <w:p w14:paraId="73C40B2B">
            <w:pPr>
              <w:topLinePunct/>
              <w:jc w:val="center"/>
              <w:rPr>
                <w:rFonts w:ascii="Times New Roman" w:hAnsi="Times New Roman" w:cs="Times New Roman"/>
                <w:sz w:val="21"/>
                <w:szCs w:val="18"/>
              </w:rPr>
            </w:pPr>
            <w:r>
              <w:rPr>
                <w:rFonts w:ascii="Times New Roman" w:hAnsi="Times New Roman" w:cs="Times New Roman"/>
                <w:sz w:val="21"/>
                <w:szCs w:val="18"/>
              </w:rPr>
              <w:t>2032年</w:t>
            </w:r>
          </w:p>
        </w:tc>
        <w:tc>
          <w:tcPr>
            <w:tcW w:w="1220" w:type="pct"/>
            <w:vAlign w:val="center"/>
          </w:tcPr>
          <w:p w14:paraId="42ED540D">
            <w:pPr>
              <w:topLinePunct/>
              <w:jc w:val="center"/>
              <w:rPr>
                <w:rFonts w:ascii="Times New Roman" w:hAnsi="Times New Roman" w:cs="Times New Roman"/>
                <w:sz w:val="21"/>
                <w:szCs w:val="18"/>
              </w:rPr>
            </w:pPr>
            <w:r>
              <w:rPr>
                <w:rFonts w:ascii="Times New Roman" w:hAnsi="Times New Roman" w:cs="Times New Roman"/>
                <w:sz w:val="21"/>
                <w:szCs w:val="18"/>
              </w:rPr>
              <w:t>2040年</w:t>
            </w:r>
          </w:p>
        </w:tc>
      </w:tr>
      <w:tr w14:paraId="0B93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 w:type="pct"/>
            <w:vAlign w:val="center"/>
          </w:tcPr>
          <w:p w14:paraId="115EF367">
            <w:pPr>
              <w:jc w:val="center"/>
              <w:rPr>
                <w:rFonts w:ascii="Times New Roman" w:hAnsi="Times New Roman" w:cs="Times New Roman"/>
                <w:sz w:val="21"/>
                <w:szCs w:val="18"/>
              </w:rPr>
            </w:pPr>
            <w:bookmarkStart w:id="316" w:name="_Hlk172054342"/>
            <w:r>
              <w:rPr>
                <w:rFonts w:ascii="Times New Roman" w:hAnsi="Times New Roman" w:cs="Times New Roman"/>
                <w:sz w:val="21"/>
                <w:szCs w:val="18"/>
              </w:rPr>
              <w:t>日交通量</w:t>
            </w:r>
            <w:bookmarkEnd w:id="316"/>
            <w:r>
              <w:rPr>
                <w:rFonts w:ascii="Times New Roman" w:hAnsi="Times New Roman" w:cs="Times New Roman"/>
                <w:sz w:val="21"/>
                <w:szCs w:val="18"/>
              </w:rPr>
              <w:t>预测结</w:t>
            </w:r>
            <w:r>
              <w:rPr>
                <w:rFonts w:hint="eastAsia" w:ascii="Times New Roman" w:hAnsi="Times New Roman" w:cs="Times New Roman"/>
                <w:sz w:val="21"/>
                <w:szCs w:val="18"/>
              </w:rPr>
              <w:t>果</w:t>
            </w:r>
          </w:p>
        </w:tc>
        <w:tc>
          <w:tcPr>
            <w:tcW w:w="1253" w:type="pct"/>
            <w:vAlign w:val="center"/>
          </w:tcPr>
          <w:p w14:paraId="02AC63C1">
            <w:pPr>
              <w:topLinePunct/>
              <w:jc w:val="center"/>
              <w:rPr>
                <w:rFonts w:ascii="Times New Roman" w:hAnsi="Times New Roman" w:cs="Times New Roman"/>
                <w:sz w:val="21"/>
                <w:szCs w:val="18"/>
              </w:rPr>
            </w:pPr>
            <w:r>
              <w:rPr>
                <w:rFonts w:ascii="Times New Roman" w:hAnsi="Times New Roman" w:cs="Times New Roman"/>
                <w:sz w:val="21"/>
                <w:szCs w:val="18"/>
              </w:rPr>
              <w:t>3009</w:t>
            </w:r>
          </w:p>
        </w:tc>
        <w:tc>
          <w:tcPr>
            <w:tcW w:w="1100" w:type="pct"/>
            <w:vAlign w:val="center"/>
          </w:tcPr>
          <w:p w14:paraId="2A7B9278">
            <w:pPr>
              <w:topLinePunct/>
              <w:jc w:val="center"/>
              <w:rPr>
                <w:rFonts w:ascii="Times New Roman" w:hAnsi="Times New Roman" w:cs="Times New Roman"/>
                <w:sz w:val="21"/>
                <w:szCs w:val="18"/>
              </w:rPr>
            </w:pPr>
            <w:r>
              <w:rPr>
                <w:rFonts w:ascii="Times New Roman" w:hAnsi="Times New Roman" w:cs="Times New Roman"/>
                <w:sz w:val="21"/>
                <w:szCs w:val="18"/>
              </w:rPr>
              <w:t>4426</w:t>
            </w:r>
          </w:p>
        </w:tc>
        <w:tc>
          <w:tcPr>
            <w:tcW w:w="1220" w:type="pct"/>
            <w:vAlign w:val="center"/>
          </w:tcPr>
          <w:p w14:paraId="61AED7A4">
            <w:pPr>
              <w:topLinePunct/>
              <w:jc w:val="center"/>
              <w:rPr>
                <w:rFonts w:ascii="Times New Roman" w:hAnsi="Times New Roman" w:cs="Times New Roman"/>
                <w:sz w:val="21"/>
                <w:szCs w:val="18"/>
              </w:rPr>
            </w:pPr>
            <w:r>
              <w:rPr>
                <w:rFonts w:ascii="Times New Roman" w:hAnsi="Times New Roman" w:cs="Times New Roman"/>
                <w:sz w:val="21"/>
                <w:szCs w:val="18"/>
              </w:rPr>
              <w:t>6591</w:t>
            </w:r>
          </w:p>
        </w:tc>
      </w:tr>
    </w:tbl>
    <w:p w14:paraId="38BF61B2">
      <w:pPr>
        <w:spacing w:before="156" w:beforeLines="50"/>
        <w:jc w:val="center"/>
        <w:rPr>
          <w:rFonts w:ascii="Times New Roman" w:hAnsi="Times New Roman" w:cs="Times New Roman"/>
          <w:b/>
        </w:rPr>
      </w:pPr>
      <w:r>
        <w:rPr>
          <w:rFonts w:ascii="Times New Roman" w:hAnsi="Times New Roman" w:cs="Times New Roman"/>
          <w:b/>
        </w:rPr>
        <w:t>表3.1-4  项目车型比预测结果  单位：%</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2769"/>
        <w:gridCol w:w="1440"/>
        <w:gridCol w:w="1440"/>
        <w:gridCol w:w="1440"/>
      </w:tblGrid>
      <w:tr w14:paraId="2630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shd w:val="clear" w:color="auto" w:fill="auto"/>
            <w:noWrap/>
            <w:vAlign w:val="center"/>
          </w:tcPr>
          <w:p w14:paraId="2113B81E">
            <w:pPr>
              <w:jc w:val="center"/>
              <w:rPr>
                <w:rFonts w:ascii="Times New Roman" w:hAnsi="Times New Roman" w:cs="Times New Roman"/>
                <w:sz w:val="21"/>
                <w:szCs w:val="21"/>
              </w:rPr>
            </w:pPr>
            <w:r>
              <w:rPr>
                <w:rFonts w:ascii="Times New Roman" w:hAnsi="Times New Roman" w:cs="Times New Roman"/>
                <w:sz w:val="21"/>
                <w:szCs w:val="21"/>
              </w:rPr>
              <w:t>车型分类</w:t>
            </w:r>
          </w:p>
        </w:tc>
        <w:tc>
          <w:tcPr>
            <w:tcW w:w="1624" w:type="pct"/>
            <w:shd w:val="clear" w:color="auto" w:fill="auto"/>
            <w:noWrap/>
            <w:vAlign w:val="center"/>
          </w:tcPr>
          <w:p w14:paraId="0C8B1132">
            <w:pPr>
              <w:jc w:val="center"/>
              <w:rPr>
                <w:rFonts w:ascii="Times New Roman" w:hAnsi="Times New Roman" w:cs="Times New Roman"/>
                <w:sz w:val="21"/>
                <w:szCs w:val="21"/>
              </w:rPr>
            </w:pPr>
            <w:r>
              <w:rPr>
                <w:rFonts w:ascii="Times New Roman" w:hAnsi="Times New Roman" w:cs="Times New Roman"/>
                <w:sz w:val="21"/>
                <w:szCs w:val="21"/>
              </w:rPr>
              <w:t>设计统计车型</w:t>
            </w:r>
          </w:p>
        </w:tc>
        <w:tc>
          <w:tcPr>
            <w:tcW w:w="844" w:type="pct"/>
            <w:shd w:val="clear" w:color="auto" w:fill="auto"/>
            <w:noWrap/>
            <w:vAlign w:val="center"/>
          </w:tcPr>
          <w:p w14:paraId="4E1F6AC7">
            <w:pPr>
              <w:jc w:val="center"/>
              <w:rPr>
                <w:rFonts w:ascii="Times New Roman" w:hAnsi="Times New Roman" w:eastAsia="等线" w:cs="Times New Roman"/>
                <w:sz w:val="21"/>
                <w:szCs w:val="21"/>
              </w:rPr>
            </w:pPr>
            <w:r>
              <w:rPr>
                <w:rFonts w:ascii="Times New Roman" w:hAnsi="Times New Roman" w:eastAsia="等线" w:cs="Times New Roman"/>
                <w:sz w:val="21"/>
                <w:szCs w:val="21"/>
              </w:rPr>
              <w:t>2026</w:t>
            </w:r>
            <w:r>
              <w:rPr>
                <w:rFonts w:ascii="Times New Roman" w:hAnsi="Times New Roman" w:cs="Times New Roman"/>
                <w:sz w:val="21"/>
                <w:szCs w:val="21"/>
              </w:rPr>
              <w:t>年</w:t>
            </w:r>
          </w:p>
        </w:tc>
        <w:tc>
          <w:tcPr>
            <w:tcW w:w="844" w:type="pct"/>
            <w:shd w:val="clear" w:color="auto" w:fill="auto"/>
            <w:noWrap/>
            <w:vAlign w:val="center"/>
          </w:tcPr>
          <w:p w14:paraId="2650364D">
            <w:pPr>
              <w:jc w:val="center"/>
              <w:rPr>
                <w:rFonts w:ascii="Times New Roman" w:hAnsi="Times New Roman" w:eastAsia="等线" w:cs="Times New Roman"/>
                <w:sz w:val="21"/>
                <w:szCs w:val="21"/>
              </w:rPr>
            </w:pPr>
            <w:r>
              <w:rPr>
                <w:rFonts w:ascii="Times New Roman" w:hAnsi="Times New Roman" w:eastAsia="等线" w:cs="Times New Roman"/>
                <w:sz w:val="21"/>
                <w:szCs w:val="21"/>
              </w:rPr>
              <w:t>2032</w:t>
            </w:r>
            <w:r>
              <w:rPr>
                <w:rFonts w:ascii="Times New Roman" w:hAnsi="Times New Roman" w:cs="Times New Roman"/>
                <w:sz w:val="21"/>
                <w:szCs w:val="21"/>
              </w:rPr>
              <w:t>年</w:t>
            </w:r>
          </w:p>
        </w:tc>
        <w:tc>
          <w:tcPr>
            <w:tcW w:w="844" w:type="pct"/>
            <w:shd w:val="clear" w:color="auto" w:fill="auto"/>
            <w:noWrap/>
            <w:vAlign w:val="center"/>
          </w:tcPr>
          <w:p w14:paraId="6E3FF1ED">
            <w:pPr>
              <w:jc w:val="center"/>
              <w:rPr>
                <w:rFonts w:ascii="Times New Roman" w:hAnsi="Times New Roman" w:eastAsia="等线" w:cs="Times New Roman"/>
                <w:sz w:val="21"/>
                <w:szCs w:val="21"/>
              </w:rPr>
            </w:pPr>
            <w:r>
              <w:rPr>
                <w:rFonts w:ascii="Times New Roman" w:hAnsi="Times New Roman" w:eastAsia="等线" w:cs="Times New Roman"/>
                <w:sz w:val="21"/>
                <w:szCs w:val="21"/>
              </w:rPr>
              <w:t>2040</w:t>
            </w:r>
            <w:r>
              <w:rPr>
                <w:rFonts w:ascii="Times New Roman" w:hAnsi="Times New Roman" w:cs="Times New Roman"/>
                <w:sz w:val="21"/>
                <w:szCs w:val="21"/>
              </w:rPr>
              <w:t>年</w:t>
            </w:r>
          </w:p>
        </w:tc>
      </w:tr>
      <w:tr w14:paraId="4903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restart"/>
            <w:shd w:val="clear" w:color="auto" w:fill="auto"/>
            <w:noWrap/>
            <w:vAlign w:val="center"/>
          </w:tcPr>
          <w:p w14:paraId="3F4CD884">
            <w:pPr>
              <w:jc w:val="center"/>
              <w:rPr>
                <w:rFonts w:ascii="Times New Roman" w:hAnsi="Times New Roman" w:cs="Times New Roman"/>
                <w:sz w:val="21"/>
                <w:szCs w:val="21"/>
              </w:rPr>
            </w:pPr>
            <w:r>
              <w:rPr>
                <w:rFonts w:ascii="Times New Roman" w:hAnsi="Times New Roman" w:cs="Times New Roman"/>
                <w:sz w:val="21"/>
                <w:szCs w:val="21"/>
              </w:rPr>
              <w:t>小型车</w:t>
            </w:r>
          </w:p>
        </w:tc>
        <w:tc>
          <w:tcPr>
            <w:tcW w:w="1624" w:type="pct"/>
            <w:shd w:val="clear" w:color="auto" w:fill="auto"/>
            <w:noWrap/>
            <w:vAlign w:val="center"/>
          </w:tcPr>
          <w:p w14:paraId="021B196C">
            <w:pPr>
              <w:jc w:val="center"/>
              <w:rPr>
                <w:rFonts w:ascii="Times New Roman" w:hAnsi="Times New Roman" w:cs="Times New Roman"/>
                <w:sz w:val="21"/>
                <w:szCs w:val="21"/>
              </w:rPr>
            </w:pPr>
            <w:r>
              <w:rPr>
                <w:rFonts w:ascii="Times New Roman" w:hAnsi="Times New Roman" w:cs="Times New Roman"/>
                <w:sz w:val="21"/>
                <w:szCs w:val="21"/>
              </w:rPr>
              <w:t>小货车</w:t>
            </w:r>
          </w:p>
        </w:tc>
        <w:tc>
          <w:tcPr>
            <w:tcW w:w="844" w:type="pct"/>
            <w:shd w:val="clear" w:color="auto" w:fill="auto"/>
            <w:noWrap/>
            <w:vAlign w:val="center"/>
          </w:tcPr>
          <w:p w14:paraId="64AAF310">
            <w:pPr>
              <w:jc w:val="center"/>
              <w:rPr>
                <w:rFonts w:ascii="Times New Roman" w:hAnsi="Times New Roman" w:eastAsia="等线" w:cs="Times New Roman"/>
                <w:sz w:val="21"/>
                <w:szCs w:val="21"/>
              </w:rPr>
            </w:pPr>
            <w:r>
              <w:rPr>
                <w:rFonts w:ascii="Times New Roman" w:hAnsi="Times New Roman" w:eastAsia="等线" w:cs="Times New Roman"/>
                <w:sz w:val="21"/>
                <w:szCs w:val="21"/>
              </w:rPr>
              <w:t>11.26%</w:t>
            </w:r>
          </w:p>
        </w:tc>
        <w:tc>
          <w:tcPr>
            <w:tcW w:w="844" w:type="pct"/>
            <w:shd w:val="clear" w:color="auto" w:fill="auto"/>
            <w:noWrap/>
            <w:vAlign w:val="center"/>
          </w:tcPr>
          <w:p w14:paraId="0D3B9AD0">
            <w:pPr>
              <w:jc w:val="center"/>
              <w:rPr>
                <w:rFonts w:ascii="Times New Roman" w:hAnsi="Times New Roman" w:eastAsia="等线" w:cs="Times New Roman"/>
                <w:sz w:val="21"/>
                <w:szCs w:val="21"/>
              </w:rPr>
            </w:pPr>
            <w:r>
              <w:rPr>
                <w:rFonts w:ascii="Times New Roman" w:hAnsi="Times New Roman" w:eastAsia="等线" w:cs="Times New Roman"/>
                <w:sz w:val="21"/>
                <w:szCs w:val="21"/>
              </w:rPr>
              <w:t>11.59%</w:t>
            </w:r>
          </w:p>
        </w:tc>
        <w:tc>
          <w:tcPr>
            <w:tcW w:w="844" w:type="pct"/>
            <w:shd w:val="clear" w:color="auto" w:fill="auto"/>
            <w:noWrap/>
            <w:vAlign w:val="center"/>
          </w:tcPr>
          <w:p w14:paraId="42AEDA8E">
            <w:pPr>
              <w:jc w:val="center"/>
              <w:rPr>
                <w:rFonts w:ascii="Times New Roman" w:hAnsi="Times New Roman" w:eastAsia="等线" w:cs="Times New Roman"/>
                <w:sz w:val="21"/>
                <w:szCs w:val="21"/>
              </w:rPr>
            </w:pPr>
            <w:r>
              <w:rPr>
                <w:rFonts w:ascii="Times New Roman" w:hAnsi="Times New Roman" w:eastAsia="等线" w:cs="Times New Roman"/>
                <w:sz w:val="21"/>
                <w:szCs w:val="21"/>
              </w:rPr>
              <w:t>12.03%</w:t>
            </w:r>
          </w:p>
        </w:tc>
      </w:tr>
      <w:tr w14:paraId="2090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continue"/>
            <w:vAlign w:val="center"/>
          </w:tcPr>
          <w:p w14:paraId="1ECF97D8">
            <w:pPr>
              <w:jc w:val="center"/>
              <w:rPr>
                <w:rFonts w:ascii="Times New Roman" w:hAnsi="Times New Roman" w:cs="Times New Roman"/>
                <w:sz w:val="21"/>
                <w:szCs w:val="21"/>
              </w:rPr>
            </w:pPr>
          </w:p>
        </w:tc>
        <w:tc>
          <w:tcPr>
            <w:tcW w:w="1624" w:type="pct"/>
            <w:shd w:val="clear" w:color="auto" w:fill="auto"/>
            <w:noWrap/>
            <w:vAlign w:val="center"/>
          </w:tcPr>
          <w:p w14:paraId="1D00EA8D">
            <w:pPr>
              <w:jc w:val="center"/>
              <w:rPr>
                <w:rFonts w:ascii="Times New Roman" w:hAnsi="Times New Roman" w:cs="Times New Roman"/>
                <w:sz w:val="21"/>
                <w:szCs w:val="21"/>
              </w:rPr>
            </w:pPr>
            <w:r>
              <w:rPr>
                <w:rFonts w:ascii="Times New Roman" w:hAnsi="Times New Roman" w:cs="Times New Roman"/>
                <w:sz w:val="21"/>
                <w:szCs w:val="21"/>
              </w:rPr>
              <w:t>小客车</w:t>
            </w:r>
          </w:p>
        </w:tc>
        <w:tc>
          <w:tcPr>
            <w:tcW w:w="844" w:type="pct"/>
            <w:shd w:val="clear" w:color="auto" w:fill="auto"/>
            <w:noWrap/>
            <w:vAlign w:val="center"/>
          </w:tcPr>
          <w:p w14:paraId="4732D5B9">
            <w:pPr>
              <w:jc w:val="center"/>
              <w:rPr>
                <w:rFonts w:ascii="Times New Roman" w:hAnsi="Times New Roman" w:eastAsia="等线" w:cs="Times New Roman"/>
                <w:sz w:val="21"/>
                <w:szCs w:val="21"/>
              </w:rPr>
            </w:pPr>
            <w:r>
              <w:rPr>
                <w:rFonts w:ascii="Times New Roman" w:hAnsi="Times New Roman" w:eastAsia="等线" w:cs="Times New Roman"/>
                <w:sz w:val="21"/>
                <w:szCs w:val="21"/>
              </w:rPr>
              <w:t>70.9%</w:t>
            </w:r>
          </w:p>
        </w:tc>
        <w:tc>
          <w:tcPr>
            <w:tcW w:w="844" w:type="pct"/>
            <w:shd w:val="clear" w:color="auto" w:fill="auto"/>
            <w:noWrap/>
            <w:vAlign w:val="center"/>
          </w:tcPr>
          <w:p w14:paraId="043E0462">
            <w:pPr>
              <w:jc w:val="center"/>
              <w:rPr>
                <w:rFonts w:ascii="Times New Roman" w:hAnsi="Times New Roman" w:eastAsia="等线" w:cs="Times New Roman"/>
                <w:sz w:val="21"/>
                <w:szCs w:val="21"/>
              </w:rPr>
            </w:pPr>
            <w:r>
              <w:rPr>
                <w:rFonts w:ascii="Times New Roman" w:hAnsi="Times New Roman" w:eastAsia="等线" w:cs="Times New Roman"/>
                <w:sz w:val="21"/>
                <w:szCs w:val="21"/>
              </w:rPr>
              <w:t>71.63%</w:t>
            </w:r>
          </w:p>
        </w:tc>
        <w:tc>
          <w:tcPr>
            <w:tcW w:w="844" w:type="pct"/>
            <w:shd w:val="clear" w:color="auto" w:fill="auto"/>
            <w:noWrap/>
            <w:vAlign w:val="center"/>
          </w:tcPr>
          <w:p w14:paraId="5A3AE5D6">
            <w:pPr>
              <w:jc w:val="center"/>
              <w:rPr>
                <w:rFonts w:ascii="Times New Roman" w:hAnsi="Times New Roman" w:eastAsia="等线" w:cs="Times New Roman"/>
                <w:sz w:val="21"/>
                <w:szCs w:val="21"/>
              </w:rPr>
            </w:pPr>
            <w:r>
              <w:rPr>
                <w:rFonts w:ascii="Times New Roman" w:hAnsi="Times New Roman" w:eastAsia="等线" w:cs="Times New Roman"/>
                <w:sz w:val="21"/>
                <w:szCs w:val="21"/>
              </w:rPr>
              <w:t>71.79%</w:t>
            </w:r>
          </w:p>
        </w:tc>
      </w:tr>
      <w:tr w14:paraId="6A33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continue"/>
            <w:vAlign w:val="center"/>
          </w:tcPr>
          <w:p w14:paraId="56ECAC09">
            <w:pPr>
              <w:jc w:val="center"/>
              <w:rPr>
                <w:rFonts w:ascii="Times New Roman" w:hAnsi="Times New Roman" w:cs="Times New Roman"/>
                <w:sz w:val="21"/>
                <w:szCs w:val="21"/>
              </w:rPr>
            </w:pPr>
          </w:p>
        </w:tc>
        <w:tc>
          <w:tcPr>
            <w:tcW w:w="1624" w:type="pct"/>
            <w:shd w:val="clear" w:color="auto" w:fill="auto"/>
            <w:vAlign w:val="center"/>
          </w:tcPr>
          <w:p w14:paraId="5090C6EF">
            <w:pPr>
              <w:jc w:val="center"/>
              <w:rPr>
                <w:rFonts w:ascii="Times New Roman" w:hAnsi="Times New Roman" w:cs="Times New Roman"/>
                <w:sz w:val="21"/>
                <w:szCs w:val="21"/>
              </w:rPr>
            </w:pPr>
            <w:r>
              <w:rPr>
                <w:rFonts w:ascii="Times New Roman" w:hAnsi="Times New Roman" w:cs="Times New Roman"/>
                <w:sz w:val="21"/>
                <w:szCs w:val="21"/>
              </w:rPr>
              <w:t>合计</w:t>
            </w:r>
          </w:p>
        </w:tc>
        <w:tc>
          <w:tcPr>
            <w:tcW w:w="844" w:type="pct"/>
            <w:shd w:val="clear" w:color="auto" w:fill="auto"/>
            <w:vAlign w:val="center"/>
          </w:tcPr>
          <w:p w14:paraId="5D2CADB7">
            <w:pPr>
              <w:jc w:val="center"/>
              <w:rPr>
                <w:rFonts w:ascii="Times New Roman" w:hAnsi="Times New Roman" w:eastAsia="等线" w:cs="Times New Roman"/>
                <w:sz w:val="21"/>
                <w:szCs w:val="21"/>
              </w:rPr>
            </w:pPr>
            <w:r>
              <w:rPr>
                <w:rFonts w:ascii="Times New Roman" w:hAnsi="Times New Roman" w:eastAsia="等线" w:cs="Times New Roman"/>
                <w:sz w:val="21"/>
                <w:szCs w:val="21"/>
              </w:rPr>
              <w:t>82.16%</w:t>
            </w:r>
          </w:p>
        </w:tc>
        <w:tc>
          <w:tcPr>
            <w:tcW w:w="844" w:type="pct"/>
            <w:shd w:val="clear" w:color="auto" w:fill="auto"/>
            <w:vAlign w:val="center"/>
          </w:tcPr>
          <w:p w14:paraId="16113F18">
            <w:pPr>
              <w:jc w:val="center"/>
              <w:rPr>
                <w:rFonts w:ascii="Times New Roman" w:hAnsi="Times New Roman" w:eastAsia="等线" w:cs="Times New Roman"/>
                <w:sz w:val="21"/>
                <w:szCs w:val="21"/>
              </w:rPr>
            </w:pPr>
            <w:r>
              <w:rPr>
                <w:rFonts w:ascii="Times New Roman" w:hAnsi="Times New Roman" w:eastAsia="等线" w:cs="Times New Roman"/>
                <w:sz w:val="21"/>
                <w:szCs w:val="21"/>
              </w:rPr>
              <w:t>83.22%</w:t>
            </w:r>
          </w:p>
        </w:tc>
        <w:tc>
          <w:tcPr>
            <w:tcW w:w="844" w:type="pct"/>
            <w:shd w:val="clear" w:color="auto" w:fill="auto"/>
            <w:vAlign w:val="center"/>
          </w:tcPr>
          <w:p w14:paraId="2EAE27A1">
            <w:pPr>
              <w:jc w:val="center"/>
              <w:rPr>
                <w:rFonts w:ascii="Times New Roman" w:hAnsi="Times New Roman" w:eastAsia="等线" w:cs="Times New Roman"/>
                <w:sz w:val="21"/>
                <w:szCs w:val="21"/>
              </w:rPr>
            </w:pPr>
            <w:r>
              <w:rPr>
                <w:rFonts w:ascii="Times New Roman" w:hAnsi="Times New Roman" w:eastAsia="等线" w:cs="Times New Roman"/>
                <w:sz w:val="21"/>
                <w:szCs w:val="21"/>
              </w:rPr>
              <w:t>83.82%</w:t>
            </w:r>
          </w:p>
        </w:tc>
      </w:tr>
      <w:tr w14:paraId="6C9B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restart"/>
            <w:shd w:val="clear" w:color="auto" w:fill="auto"/>
            <w:noWrap/>
            <w:vAlign w:val="center"/>
          </w:tcPr>
          <w:p w14:paraId="43F5BE2D">
            <w:pPr>
              <w:jc w:val="center"/>
              <w:rPr>
                <w:rFonts w:ascii="Times New Roman" w:hAnsi="Times New Roman" w:cs="Times New Roman"/>
                <w:sz w:val="21"/>
                <w:szCs w:val="21"/>
              </w:rPr>
            </w:pPr>
            <w:r>
              <w:rPr>
                <w:rFonts w:ascii="Times New Roman" w:hAnsi="Times New Roman" w:cs="Times New Roman"/>
                <w:sz w:val="21"/>
                <w:szCs w:val="21"/>
              </w:rPr>
              <w:t>中型车</w:t>
            </w:r>
          </w:p>
        </w:tc>
        <w:tc>
          <w:tcPr>
            <w:tcW w:w="1624" w:type="pct"/>
            <w:shd w:val="clear" w:color="auto" w:fill="auto"/>
            <w:noWrap/>
            <w:vAlign w:val="center"/>
          </w:tcPr>
          <w:p w14:paraId="458D9319">
            <w:pPr>
              <w:jc w:val="center"/>
              <w:rPr>
                <w:rFonts w:ascii="Times New Roman" w:hAnsi="Times New Roman" w:cs="Times New Roman"/>
                <w:sz w:val="21"/>
                <w:szCs w:val="21"/>
              </w:rPr>
            </w:pPr>
            <w:r>
              <w:rPr>
                <w:rFonts w:ascii="Times New Roman" w:hAnsi="Times New Roman" w:cs="Times New Roman"/>
                <w:sz w:val="21"/>
                <w:szCs w:val="21"/>
              </w:rPr>
              <w:t>中货车</w:t>
            </w:r>
          </w:p>
        </w:tc>
        <w:tc>
          <w:tcPr>
            <w:tcW w:w="844" w:type="pct"/>
            <w:shd w:val="clear" w:color="auto" w:fill="auto"/>
            <w:noWrap/>
            <w:vAlign w:val="center"/>
          </w:tcPr>
          <w:p w14:paraId="6350FC3F">
            <w:pPr>
              <w:jc w:val="center"/>
              <w:rPr>
                <w:rFonts w:ascii="Times New Roman" w:hAnsi="Times New Roman" w:eastAsia="等线" w:cs="Times New Roman"/>
                <w:sz w:val="21"/>
                <w:szCs w:val="21"/>
              </w:rPr>
            </w:pPr>
            <w:r>
              <w:rPr>
                <w:rFonts w:ascii="Times New Roman" w:hAnsi="Times New Roman" w:eastAsia="等线" w:cs="Times New Roman"/>
                <w:sz w:val="21"/>
                <w:szCs w:val="21"/>
              </w:rPr>
              <w:t>4.65%</w:t>
            </w:r>
          </w:p>
        </w:tc>
        <w:tc>
          <w:tcPr>
            <w:tcW w:w="844" w:type="pct"/>
            <w:shd w:val="clear" w:color="auto" w:fill="auto"/>
            <w:noWrap/>
            <w:vAlign w:val="center"/>
          </w:tcPr>
          <w:p w14:paraId="34E9F8BF">
            <w:pPr>
              <w:jc w:val="center"/>
              <w:rPr>
                <w:rFonts w:ascii="Times New Roman" w:hAnsi="Times New Roman" w:eastAsia="等线" w:cs="Times New Roman"/>
                <w:sz w:val="21"/>
                <w:szCs w:val="21"/>
              </w:rPr>
            </w:pPr>
            <w:r>
              <w:rPr>
                <w:rFonts w:ascii="Times New Roman" w:hAnsi="Times New Roman" w:eastAsia="等线" w:cs="Times New Roman"/>
                <w:sz w:val="21"/>
                <w:szCs w:val="21"/>
              </w:rPr>
              <w:t>4.56%</w:t>
            </w:r>
          </w:p>
        </w:tc>
        <w:tc>
          <w:tcPr>
            <w:tcW w:w="844" w:type="pct"/>
            <w:shd w:val="clear" w:color="auto" w:fill="auto"/>
            <w:noWrap/>
            <w:vAlign w:val="center"/>
          </w:tcPr>
          <w:p w14:paraId="0EF87488">
            <w:pPr>
              <w:jc w:val="center"/>
              <w:rPr>
                <w:rFonts w:ascii="Times New Roman" w:hAnsi="Times New Roman" w:eastAsia="等线" w:cs="Times New Roman"/>
                <w:sz w:val="21"/>
                <w:szCs w:val="21"/>
              </w:rPr>
            </w:pPr>
            <w:r>
              <w:rPr>
                <w:rFonts w:ascii="Times New Roman" w:hAnsi="Times New Roman" w:eastAsia="等线" w:cs="Times New Roman"/>
                <w:sz w:val="21"/>
                <w:szCs w:val="21"/>
              </w:rPr>
              <w:t>4.43%</w:t>
            </w:r>
          </w:p>
        </w:tc>
      </w:tr>
      <w:tr w14:paraId="70F2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continue"/>
            <w:vAlign w:val="center"/>
          </w:tcPr>
          <w:p w14:paraId="1B23F94B">
            <w:pPr>
              <w:jc w:val="center"/>
              <w:rPr>
                <w:rFonts w:ascii="Times New Roman" w:hAnsi="Times New Roman" w:cs="Times New Roman"/>
                <w:sz w:val="21"/>
                <w:szCs w:val="21"/>
              </w:rPr>
            </w:pPr>
          </w:p>
        </w:tc>
        <w:tc>
          <w:tcPr>
            <w:tcW w:w="1624" w:type="pct"/>
            <w:shd w:val="clear" w:color="auto" w:fill="auto"/>
            <w:vAlign w:val="center"/>
          </w:tcPr>
          <w:p w14:paraId="4E1F6439">
            <w:pPr>
              <w:jc w:val="center"/>
              <w:rPr>
                <w:rFonts w:ascii="Times New Roman" w:hAnsi="Times New Roman" w:cs="Times New Roman"/>
                <w:sz w:val="21"/>
                <w:szCs w:val="21"/>
              </w:rPr>
            </w:pPr>
            <w:r>
              <w:rPr>
                <w:rFonts w:ascii="Times New Roman" w:hAnsi="Times New Roman" w:cs="Times New Roman"/>
                <w:sz w:val="21"/>
                <w:szCs w:val="21"/>
              </w:rPr>
              <w:t>大客车</w:t>
            </w:r>
          </w:p>
        </w:tc>
        <w:tc>
          <w:tcPr>
            <w:tcW w:w="844" w:type="pct"/>
            <w:shd w:val="clear" w:color="auto" w:fill="auto"/>
            <w:vAlign w:val="center"/>
          </w:tcPr>
          <w:p w14:paraId="2554BE78">
            <w:pPr>
              <w:jc w:val="center"/>
              <w:rPr>
                <w:rFonts w:ascii="Times New Roman" w:hAnsi="Times New Roman" w:eastAsia="等线" w:cs="Times New Roman"/>
                <w:sz w:val="21"/>
                <w:szCs w:val="21"/>
              </w:rPr>
            </w:pPr>
            <w:r>
              <w:rPr>
                <w:rFonts w:ascii="Times New Roman" w:hAnsi="Times New Roman" w:eastAsia="等线" w:cs="Times New Roman"/>
                <w:sz w:val="21"/>
                <w:szCs w:val="21"/>
              </w:rPr>
              <w:t>2.18%</w:t>
            </w:r>
          </w:p>
        </w:tc>
        <w:tc>
          <w:tcPr>
            <w:tcW w:w="844" w:type="pct"/>
            <w:shd w:val="clear" w:color="auto" w:fill="auto"/>
            <w:vAlign w:val="center"/>
          </w:tcPr>
          <w:p w14:paraId="3F1BBA51">
            <w:pPr>
              <w:jc w:val="center"/>
              <w:rPr>
                <w:rFonts w:ascii="Times New Roman" w:hAnsi="Times New Roman" w:eastAsia="等线" w:cs="Times New Roman"/>
                <w:sz w:val="21"/>
                <w:szCs w:val="21"/>
              </w:rPr>
            </w:pPr>
            <w:r>
              <w:rPr>
                <w:rFonts w:ascii="Times New Roman" w:hAnsi="Times New Roman" w:eastAsia="等线" w:cs="Times New Roman"/>
                <w:sz w:val="21"/>
                <w:szCs w:val="21"/>
              </w:rPr>
              <w:t>2.13%</w:t>
            </w:r>
          </w:p>
        </w:tc>
        <w:tc>
          <w:tcPr>
            <w:tcW w:w="844" w:type="pct"/>
            <w:shd w:val="clear" w:color="auto" w:fill="auto"/>
            <w:vAlign w:val="center"/>
          </w:tcPr>
          <w:p w14:paraId="25C77C29">
            <w:pPr>
              <w:jc w:val="center"/>
              <w:rPr>
                <w:rFonts w:ascii="Times New Roman" w:hAnsi="Times New Roman" w:eastAsia="等线" w:cs="Times New Roman"/>
                <w:sz w:val="21"/>
                <w:szCs w:val="21"/>
              </w:rPr>
            </w:pPr>
            <w:r>
              <w:rPr>
                <w:rFonts w:ascii="Times New Roman" w:hAnsi="Times New Roman" w:eastAsia="等线" w:cs="Times New Roman"/>
                <w:sz w:val="21"/>
                <w:szCs w:val="21"/>
              </w:rPr>
              <w:t>2.07%</w:t>
            </w:r>
          </w:p>
        </w:tc>
      </w:tr>
      <w:tr w14:paraId="33B6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continue"/>
            <w:vAlign w:val="center"/>
          </w:tcPr>
          <w:p w14:paraId="33E1C325">
            <w:pPr>
              <w:jc w:val="center"/>
              <w:rPr>
                <w:rFonts w:ascii="Times New Roman" w:hAnsi="Times New Roman" w:cs="Times New Roman"/>
                <w:sz w:val="21"/>
                <w:szCs w:val="21"/>
              </w:rPr>
            </w:pPr>
          </w:p>
        </w:tc>
        <w:tc>
          <w:tcPr>
            <w:tcW w:w="1624" w:type="pct"/>
            <w:shd w:val="clear" w:color="auto" w:fill="auto"/>
            <w:vAlign w:val="center"/>
          </w:tcPr>
          <w:p w14:paraId="7708445F">
            <w:pPr>
              <w:jc w:val="center"/>
              <w:rPr>
                <w:rFonts w:ascii="Times New Roman" w:hAnsi="Times New Roman" w:cs="Times New Roman"/>
                <w:sz w:val="21"/>
                <w:szCs w:val="21"/>
              </w:rPr>
            </w:pPr>
            <w:r>
              <w:rPr>
                <w:rFonts w:ascii="Times New Roman" w:hAnsi="Times New Roman" w:cs="Times New Roman"/>
                <w:sz w:val="21"/>
                <w:szCs w:val="21"/>
              </w:rPr>
              <w:t>合计</w:t>
            </w:r>
          </w:p>
        </w:tc>
        <w:tc>
          <w:tcPr>
            <w:tcW w:w="844" w:type="pct"/>
            <w:shd w:val="clear" w:color="auto" w:fill="auto"/>
            <w:vAlign w:val="center"/>
          </w:tcPr>
          <w:p w14:paraId="1333D9DD">
            <w:pPr>
              <w:jc w:val="center"/>
              <w:rPr>
                <w:rFonts w:ascii="Times New Roman" w:hAnsi="Times New Roman" w:eastAsia="等线" w:cs="Times New Roman"/>
                <w:sz w:val="21"/>
                <w:szCs w:val="21"/>
              </w:rPr>
            </w:pPr>
            <w:r>
              <w:rPr>
                <w:rFonts w:ascii="Times New Roman" w:hAnsi="Times New Roman" w:eastAsia="等线" w:cs="Times New Roman"/>
                <w:sz w:val="21"/>
                <w:szCs w:val="21"/>
              </w:rPr>
              <w:t>6.83%</w:t>
            </w:r>
          </w:p>
        </w:tc>
        <w:tc>
          <w:tcPr>
            <w:tcW w:w="844" w:type="pct"/>
            <w:shd w:val="clear" w:color="auto" w:fill="auto"/>
            <w:vAlign w:val="center"/>
          </w:tcPr>
          <w:p w14:paraId="4739B5BF">
            <w:pPr>
              <w:jc w:val="center"/>
              <w:rPr>
                <w:rFonts w:ascii="Times New Roman" w:hAnsi="Times New Roman" w:eastAsia="等线" w:cs="Times New Roman"/>
                <w:sz w:val="21"/>
                <w:szCs w:val="21"/>
              </w:rPr>
            </w:pPr>
            <w:r>
              <w:rPr>
                <w:rFonts w:ascii="Times New Roman" w:hAnsi="Times New Roman" w:eastAsia="等线" w:cs="Times New Roman"/>
                <w:sz w:val="21"/>
                <w:szCs w:val="21"/>
              </w:rPr>
              <w:t>6.69%</w:t>
            </w:r>
          </w:p>
        </w:tc>
        <w:tc>
          <w:tcPr>
            <w:tcW w:w="844" w:type="pct"/>
            <w:shd w:val="clear" w:color="auto" w:fill="auto"/>
            <w:vAlign w:val="center"/>
          </w:tcPr>
          <w:p w14:paraId="0BFE3EA6">
            <w:pPr>
              <w:jc w:val="center"/>
              <w:rPr>
                <w:rFonts w:ascii="Times New Roman" w:hAnsi="Times New Roman" w:eastAsia="等线" w:cs="Times New Roman"/>
                <w:sz w:val="21"/>
                <w:szCs w:val="21"/>
              </w:rPr>
            </w:pPr>
            <w:r>
              <w:rPr>
                <w:rFonts w:ascii="Times New Roman" w:hAnsi="Times New Roman" w:eastAsia="等线" w:cs="Times New Roman"/>
                <w:sz w:val="21"/>
                <w:szCs w:val="21"/>
              </w:rPr>
              <w:t>6.50%</w:t>
            </w:r>
          </w:p>
        </w:tc>
      </w:tr>
      <w:tr w14:paraId="00AC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restart"/>
            <w:shd w:val="clear" w:color="auto" w:fill="auto"/>
            <w:noWrap/>
            <w:vAlign w:val="center"/>
          </w:tcPr>
          <w:p w14:paraId="6EED7DF6">
            <w:pPr>
              <w:jc w:val="center"/>
              <w:rPr>
                <w:rFonts w:ascii="Times New Roman" w:hAnsi="Times New Roman" w:cs="Times New Roman"/>
                <w:sz w:val="21"/>
                <w:szCs w:val="21"/>
              </w:rPr>
            </w:pPr>
            <w:r>
              <w:rPr>
                <w:rFonts w:ascii="Times New Roman" w:hAnsi="Times New Roman" w:cs="Times New Roman"/>
                <w:sz w:val="21"/>
                <w:szCs w:val="21"/>
              </w:rPr>
              <w:t>大型车</w:t>
            </w:r>
          </w:p>
        </w:tc>
        <w:tc>
          <w:tcPr>
            <w:tcW w:w="1624" w:type="pct"/>
            <w:shd w:val="clear" w:color="auto" w:fill="auto"/>
            <w:noWrap/>
            <w:vAlign w:val="center"/>
          </w:tcPr>
          <w:p w14:paraId="28062AB3">
            <w:pPr>
              <w:jc w:val="center"/>
              <w:rPr>
                <w:rFonts w:ascii="Times New Roman" w:hAnsi="Times New Roman" w:cs="Times New Roman"/>
                <w:sz w:val="21"/>
                <w:szCs w:val="21"/>
              </w:rPr>
            </w:pPr>
            <w:r>
              <w:rPr>
                <w:rFonts w:ascii="Times New Roman" w:hAnsi="Times New Roman" w:cs="Times New Roman"/>
                <w:sz w:val="21"/>
                <w:szCs w:val="21"/>
              </w:rPr>
              <w:t>大货车</w:t>
            </w:r>
          </w:p>
        </w:tc>
        <w:tc>
          <w:tcPr>
            <w:tcW w:w="844" w:type="pct"/>
            <w:shd w:val="clear" w:color="auto" w:fill="auto"/>
            <w:noWrap/>
            <w:vAlign w:val="center"/>
          </w:tcPr>
          <w:p w14:paraId="0FA0D0E6">
            <w:pPr>
              <w:jc w:val="center"/>
              <w:rPr>
                <w:rFonts w:ascii="Times New Roman" w:hAnsi="Times New Roman" w:eastAsia="等线" w:cs="Times New Roman"/>
                <w:sz w:val="21"/>
                <w:szCs w:val="21"/>
              </w:rPr>
            </w:pPr>
            <w:r>
              <w:rPr>
                <w:rFonts w:ascii="Times New Roman" w:hAnsi="Times New Roman" w:eastAsia="等线" w:cs="Times New Roman"/>
                <w:sz w:val="21"/>
                <w:szCs w:val="21"/>
              </w:rPr>
              <w:t>3.67%</w:t>
            </w:r>
          </w:p>
        </w:tc>
        <w:tc>
          <w:tcPr>
            <w:tcW w:w="844" w:type="pct"/>
            <w:shd w:val="clear" w:color="auto" w:fill="auto"/>
            <w:noWrap/>
            <w:vAlign w:val="center"/>
          </w:tcPr>
          <w:p w14:paraId="277AC00D">
            <w:pPr>
              <w:jc w:val="center"/>
              <w:rPr>
                <w:rFonts w:ascii="Times New Roman" w:hAnsi="Times New Roman" w:eastAsia="等线" w:cs="Times New Roman"/>
                <w:sz w:val="21"/>
                <w:szCs w:val="21"/>
              </w:rPr>
            </w:pPr>
            <w:r>
              <w:rPr>
                <w:rFonts w:ascii="Times New Roman" w:hAnsi="Times New Roman" w:eastAsia="等线" w:cs="Times New Roman"/>
                <w:sz w:val="21"/>
                <w:szCs w:val="21"/>
              </w:rPr>
              <w:t>3.41%</w:t>
            </w:r>
          </w:p>
        </w:tc>
        <w:tc>
          <w:tcPr>
            <w:tcW w:w="844" w:type="pct"/>
            <w:shd w:val="clear" w:color="auto" w:fill="auto"/>
            <w:noWrap/>
            <w:vAlign w:val="center"/>
          </w:tcPr>
          <w:p w14:paraId="2B268AEA">
            <w:pPr>
              <w:jc w:val="center"/>
              <w:rPr>
                <w:rFonts w:ascii="Times New Roman" w:hAnsi="Times New Roman" w:eastAsia="等线" w:cs="Times New Roman"/>
                <w:sz w:val="21"/>
                <w:szCs w:val="21"/>
              </w:rPr>
            </w:pPr>
            <w:r>
              <w:rPr>
                <w:rFonts w:ascii="Times New Roman" w:hAnsi="Times New Roman" w:eastAsia="等线" w:cs="Times New Roman"/>
                <w:sz w:val="21"/>
                <w:szCs w:val="21"/>
              </w:rPr>
              <w:t>3.03%</w:t>
            </w:r>
          </w:p>
        </w:tc>
      </w:tr>
      <w:tr w14:paraId="26BD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44" w:type="pct"/>
            <w:vMerge w:val="continue"/>
            <w:vAlign w:val="center"/>
          </w:tcPr>
          <w:p w14:paraId="62422057">
            <w:pPr>
              <w:jc w:val="center"/>
              <w:rPr>
                <w:rFonts w:ascii="Times New Roman" w:hAnsi="Times New Roman" w:cs="Times New Roman"/>
                <w:sz w:val="21"/>
                <w:szCs w:val="21"/>
              </w:rPr>
            </w:pPr>
          </w:p>
        </w:tc>
        <w:tc>
          <w:tcPr>
            <w:tcW w:w="1624" w:type="pct"/>
            <w:shd w:val="clear" w:color="auto" w:fill="auto"/>
            <w:noWrap/>
            <w:vAlign w:val="center"/>
          </w:tcPr>
          <w:p w14:paraId="1DDF95F5">
            <w:pPr>
              <w:jc w:val="center"/>
              <w:rPr>
                <w:rFonts w:ascii="Times New Roman" w:hAnsi="Times New Roman" w:cs="Times New Roman"/>
                <w:sz w:val="21"/>
                <w:szCs w:val="21"/>
              </w:rPr>
            </w:pPr>
            <w:r>
              <w:rPr>
                <w:rFonts w:hint="eastAsia" w:ascii="Times New Roman" w:hAnsi="Times New Roman" w:cs="Times New Roman"/>
                <w:sz w:val="21"/>
                <w:szCs w:val="21"/>
              </w:rPr>
              <w:t>汽车列车</w:t>
            </w:r>
          </w:p>
        </w:tc>
        <w:tc>
          <w:tcPr>
            <w:tcW w:w="844" w:type="pct"/>
            <w:shd w:val="clear" w:color="auto" w:fill="auto"/>
            <w:noWrap/>
            <w:vAlign w:val="center"/>
          </w:tcPr>
          <w:p w14:paraId="2588899C">
            <w:pPr>
              <w:jc w:val="center"/>
              <w:rPr>
                <w:rFonts w:ascii="Times New Roman" w:hAnsi="Times New Roman" w:eastAsia="等线" w:cs="Times New Roman"/>
                <w:sz w:val="21"/>
                <w:szCs w:val="21"/>
              </w:rPr>
            </w:pPr>
            <w:r>
              <w:rPr>
                <w:rFonts w:ascii="Times New Roman" w:hAnsi="Times New Roman" w:eastAsia="等线" w:cs="Times New Roman"/>
                <w:sz w:val="21"/>
                <w:szCs w:val="21"/>
              </w:rPr>
              <w:t>7.34%</w:t>
            </w:r>
          </w:p>
        </w:tc>
        <w:tc>
          <w:tcPr>
            <w:tcW w:w="844" w:type="pct"/>
            <w:shd w:val="clear" w:color="auto" w:fill="auto"/>
            <w:noWrap/>
            <w:vAlign w:val="center"/>
          </w:tcPr>
          <w:p w14:paraId="0213E298">
            <w:pPr>
              <w:jc w:val="center"/>
              <w:rPr>
                <w:rFonts w:ascii="Times New Roman" w:hAnsi="Times New Roman" w:eastAsia="等线" w:cs="Times New Roman"/>
                <w:sz w:val="21"/>
                <w:szCs w:val="21"/>
              </w:rPr>
            </w:pPr>
            <w:r>
              <w:rPr>
                <w:rFonts w:ascii="Times New Roman" w:hAnsi="Times New Roman" w:eastAsia="等线" w:cs="Times New Roman"/>
                <w:sz w:val="21"/>
                <w:szCs w:val="21"/>
              </w:rPr>
              <w:t>6.68%</w:t>
            </w:r>
          </w:p>
        </w:tc>
        <w:tc>
          <w:tcPr>
            <w:tcW w:w="844" w:type="pct"/>
            <w:shd w:val="clear" w:color="auto" w:fill="auto"/>
            <w:noWrap/>
            <w:vAlign w:val="center"/>
          </w:tcPr>
          <w:p w14:paraId="4FE8882E">
            <w:pPr>
              <w:jc w:val="center"/>
              <w:rPr>
                <w:rFonts w:ascii="Times New Roman" w:hAnsi="Times New Roman" w:eastAsia="等线" w:cs="Times New Roman"/>
                <w:sz w:val="21"/>
                <w:szCs w:val="21"/>
              </w:rPr>
            </w:pPr>
            <w:r>
              <w:rPr>
                <w:rFonts w:ascii="Times New Roman" w:hAnsi="Times New Roman" w:eastAsia="等线" w:cs="Times New Roman"/>
                <w:sz w:val="21"/>
                <w:szCs w:val="21"/>
              </w:rPr>
              <w:t>6.65%</w:t>
            </w:r>
          </w:p>
        </w:tc>
      </w:tr>
      <w:tr w14:paraId="332D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468" w:type="pct"/>
            <w:gridSpan w:val="2"/>
            <w:vAlign w:val="center"/>
          </w:tcPr>
          <w:p w14:paraId="4417B9E5">
            <w:pPr>
              <w:jc w:val="center"/>
              <w:rPr>
                <w:rFonts w:ascii="Times New Roman" w:hAnsi="Times New Roman" w:cs="Times New Roman"/>
                <w:sz w:val="21"/>
                <w:szCs w:val="21"/>
              </w:rPr>
            </w:pPr>
            <w:r>
              <w:rPr>
                <w:rFonts w:ascii="Times New Roman" w:hAnsi="Times New Roman" w:cs="Times New Roman"/>
                <w:sz w:val="21"/>
                <w:szCs w:val="21"/>
              </w:rPr>
              <w:t>合计</w:t>
            </w:r>
          </w:p>
        </w:tc>
        <w:tc>
          <w:tcPr>
            <w:tcW w:w="844" w:type="pct"/>
            <w:shd w:val="clear" w:color="auto" w:fill="auto"/>
            <w:noWrap/>
            <w:vAlign w:val="center"/>
          </w:tcPr>
          <w:p w14:paraId="5D435983">
            <w:pPr>
              <w:jc w:val="center"/>
              <w:rPr>
                <w:rFonts w:ascii="Times New Roman" w:hAnsi="Times New Roman" w:eastAsia="等线" w:cs="Times New Roman"/>
                <w:sz w:val="21"/>
                <w:szCs w:val="21"/>
              </w:rPr>
            </w:pPr>
            <w:r>
              <w:rPr>
                <w:rFonts w:ascii="Times New Roman" w:hAnsi="Times New Roman" w:eastAsia="等线" w:cs="Times New Roman"/>
                <w:sz w:val="21"/>
                <w:szCs w:val="21"/>
              </w:rPr>
              <w:t>100%</w:t>
            </w:r>
          </w:p>
        </w:tc>
        <w:tc>
          <w:tcPr>
            <w:tcW w:w="844" w:type="pct"/>
            <w:shd w:val="clear" w:color="auto" w:fill="auto"/>
            <w:noWrap/>
            <w:vAlign w:val="center"/>
          </w:tcPr>
          <w:p w14:paraId="7BCDCFD3">
            <w:pPr>
              <w:jc w:val="center"/>
              <w:rPr>
                <w:rFonts w:ascii="Times New Roman" w:hAnsi="Times New Roman" w:eastAsia="等线" w:cs="Times New Roman"/>
                <w:sz w:val="21"/>
                <w:szCs w:val="21"/>
              </w:rPr>
            </w:pPr>
            <w:r>
              <w:rPr>
                <w:rFonts w:ascii="Times New Roman" w:hAnsi="Times New Roman" w:eastAsia="等线" w:cs="Times New Roman"/>
                <w:sz w:val="21"/>
                <w:szCs w:val="21"/>
              </w:rPr>
              <w:t>100%</w:t>
            </w:r>
          </w:p>
        </w:tc>
        <w:tc>
          <w:tcPr>
            <w:tcW w:w="844" w:type="pct"/>
            <w:shd w:val="clear" w:color="auto" w:fill="auto"/>
            <w:noWrap/>
            <w:vAlign w:val="center"/>
          </w:tcPr>
          <w:p w14:paraId="21AADEAB">
            <w:pPr>
              <w:jc w:val="center"/>
              <w:rPr>
                <w:rFonts w:ascii="Times New Roman" w:hAnsi="Times New Roman" w:eastAsia="等线" w:cs="Times New Roman"/>
                <w:sz w:val="21"/>
                <w:szCs w:val="21"/>
              </w:rPr>
            </w:pPr>
            <w:r>
              <w:rPr>
                <w:rFonts w:ascii="Times New Roman" w:hAnsi="Times New Roman" w:eastAsia="等线" w:cs="Times New Roman"/>
                <w:sz w:val="21"/>
                <w:szCs w:val="21"/>
              </w:rPr>
              <w:t>100%</w:t>
            </w:r>
          </w:p>
        </w:tc>
      </w:tr>
    </w:tbl>
    <w:p w14:paraId="64557BDE">
      <w:pPr>
        <w:autoSpaceDE w:val="0"/>
        <w:autoSpaceDN w:val="0"/>
        <w:adjustRightInd w:val="0"/>
        <w:spacing w:line="360" w:lineRule="auto"/>
        <w:ind w:firstLine="480" w:firstLineChars="200"/>
        <w:jc w:val="both"/>
        <w:rPr>
          <w:rFonts w:ascii="Times New Roman" w:hAnsi="Times New Roman" w:cs="Times New Roman"/>
        </w:rPr>
      </w:pPr>
      <w:r>
        <w:rPr>
          <w:rFonts w:ascii="Times New Roman" w:hAnsi="Times New Roman" w:cs="Times New Roman"/>
        </w:rPr>
        <w:t>根据《环境影响评价技术导则 公路建设项目》（HJ1358-2024）附录B.1.1.1中的</w:t>
      </w:r>
      <w:r>
        <w:rPr>
          <w:rFonts w:hint="eastAsia" w:ascii="Times New Roman" w:hAnsi="Times New Roman" w:cs="Times New Roman"/>
        </w:rPr>
        <w:t>“</w:t>
      </w: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车型分类及车辆折算系数</w:t>
      </w:r>
      <w:r>
        <w:rPr>
          <w:rFonts w:hint="eastAsia" w:ascii="Times New Roman" w:hAnsi="Times New Roman" w:cs="Times New Roman"/>
        </w:rPr>
        <w:t>”</w:t>
      </w:r>
      <w:r>
        <w:rPr>
          <w:rFonts w:ascii="Times New Roman" w:hAnsi="Times New Roman" w:cs="Times New Roman"/>
        </w:rPr>
        <w:t>，车型分类方法按照JTG B01中有关车型划分的标准进行，按照不同折算系数</w:t>
      </w:r>
      <w:r>
        <w:rPr>
          <w:rFonts w:hint="eastAsia" w:ascii="Times New Roman" w:hAnsi="Times New Roman" w:cs="Times New Roman"/>
        </w:rPr>
        <w:t>（表3</w:t>
      </w:r>
      <w:r>
        <w:rPr>
          <w:rFonts w:ascii="Times New Roman" w:hAnsi="Times New Roman" w:cs="Times New Roman"/>
        </w:rPr>
        <w:t>.1-6</w:t>
      </w:r>
      <w:r>
        <w:rPr>
          <w:rFonts w:hint="eastAsia" w:ascii="Times New Roman" w:hAnsi="Times New Roman" w:cs="Times New Roman"/>
        </w:rPr>
        <w:t>）</w:t>
      </w:r>
      <w:r>
        <w:rPr>
          <w:rFonts w:ascii="Times New Roman" w:hAnsi="Times New Roman" w:cs="Times New Roman"/>
        </w:rPr>
        <w:t>折算后，根据表</w:t>
      </w:r>
      <w:r>
        <w:rPr>
          <w:rFonts w:hint="eastAsia" w:ascii="Times New Roman" w:hAnsi="Times New Roman" w:cs="Times New Roman"/>
        </w:rPr>
        <w:t>3</w:t>
      </w:r>
      <w:r>
        <w:rPr>
          <w:rFonts w:ascii="Times New Roman" w:hAnsi="Times New Roman" w:cs="Times New Roman"/>
        </w:rPr>
        <w:t>.1-4，</w:t>
      </w:r>
      <w:r>
        <w:rPr>
          <w:rFonts w:hint="eastAsia" w:ascii="Times New Roman" w:hAnsi="Times New Roman" w:cs="Times New Roman"/>
        </w:rPr>
        <w:t>得出本项目</w:t>
      </w:r>
      <w:r>
        <w:rPr>
          <w:rFonts w:ascii="Times New Roman" w:hAnsi="Times New Roman" w:cs="Times New Roman"/>
        </w:rPr>
        <w:t>特征年份各类车型的交通量见表3.1-7。</w:t>
      </w:r>
    </w:p>
    <w:p w14:paraId="3E7DD355">
      <w:pPr>
        <w:autoSpaceDE w:val="0"/>
        <w:autoSpaceDN w:val="0"/>
        <w:adjustRightInd w:val="0"/>
        <w:spacing w:line="360" w:lineRule="auto"/>
        <w:jc w:val="center"/>
        <w:rPr>
          <w:rFonts w:ascii="Times New Roman" w:hAnsi="Times New Roman" w:cs="Times New Roman"/>
          <w:b/>
        </w:rPr>
      </w:pPr>
      <w:r>
        <w:rPr>
          <w:rFonts w:ascii="Times New Roman" w:hAnsi="Times New Roman" w:cs="Times New Roman"/>
          <w:b/>
        </w:rPr>
        <w:t>表3.1-6  车型分类及车辆折算系数</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726"/>
        <w:gridCol w:w="1726"/>
        <w:gridCol w:w="4308"/>
      </w:tblGrid>
      <w:tr w14:paraId="001F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7C213BFE">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车型</w:t>
            </w:r>
          </w:p>
        </w:tc>
        <w:tc>
          <w:tcPr>
            <w:tcW w:w="1012" w:type="pct"/>
            <w:vAlign w:val="center"/>
          </w:tcPr>
          <w:p w14:paraId="2207707E">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汽车代表车型</w:t>
            </w:r>
          </w:p>
        </w:tc>
        <w:tc>
          <w:tcPr>
            <w:tcW w:w="1012" w:type="pct"/>
            <w:vAlign w:val="center"/>
          </w:tcPr>
          <w:p w14:paraId="127356EF">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车辆折算系数</w:t>
            </w:r>
          </w:p>
        </w:tc>
        <w:tc>
          <w:tcPr>
            <w:tcW w:w="2526" w:type="pct"/>
            <w:vAlign w:val="center"/>
          </w:tcPr>
          <w:p w14:paraId="6DDADB66">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说明</w:t>
            </w:r>
          </w:p>
        </w:tc>
      </w:tr>
      <w:tr w14:paraId="3DAA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5EA185C7">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小</w:t>
            </w:r>
          </w:p>
        </w:tc>
        <w:tc>
          <w:tcPr>
            <w:tcW w:w="1012" w:type="pct"/>
            <w:vAlign w:val="center"/>
          </w:tcPr>
          <w:p w14:paraId="759602E6">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小型车</w:t>
            </w:r>
          </w:p>
        </w:tc>
        <w:tc>
          <w:tcPr>
            <w:tcW w:w="1012" w:type="pct"/>
            <w:vAlign w:val="center"/>
          </w:tcPr>
          <w:p w14:paraId="16FA3774">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1.0</w:t>
            </w:r>
          </w:p>
        </w:tc>
        <w:tc>
          <w:tcPr>
            <w:tcW w:w="2526" w:type="pct"/>
            <w:vAlign w:val="center"/>
          </w:tcPr>
          <w:p w14:paraId="182E2766">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座位≤19座的客车和载质量≤2t的货车</w:t>
            </w:r>
          </w:p>
        </w:tc>
      </w:tr>
      <w:tr w14:paraId="288D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Align w:val="center"/>
          </w:tcPr>
          <w:p w14:paraId="43C3FDB1">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中</w:t>
            </w:r>
          </w:p>
        </w:tc>
        <w:tc>
          <w:tcPr>
            <w:tcW w:w="1012" w:type="pct"/>
            <w:vAlign w:val="center"/>
          </w:tcPr>
          <w:p w14:paraId="50E83C54">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中型车</w:t>
            </w:r>
          </w:p>
        </w:tc>
        <w:tc>
          <w:tcPr>
            <w:tcW w:w="1012" w:type="pct"/>
            <w:vAlign w:val="center"/>
          </w:tcPr>
          <w:p w14:paraId="785F31DD">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1.5</w:t>
            </w:r>
          </w:p>
        </w:tc>
        <w:tc>
          <w:tcPr>
            <w:tcW w:w="2526" w:type="pct"/>
            <w:vAlign w:val="center"/>
          </w:tcPr>
          <w:p w14:paraId="7708D2D5">
            <w:pPr>
              <w:widowControl w:val="0"/>
              <w:autoSpaceDE w:val="0"/>
              <w:autoSpaceDN w:val="0"/>
              <w:adjustRightInd w:val="0"/>
              <w:jc w:val="both"/>
              <w:rPr>
                <w:rFonts w:ascii="Times New Roman" w:hAnsi="Times New Roman" w:cs="Times New Roman"/>
                <w:sz w:val="21"/>
                <w:szCs w:val="21"/>
              </w:rPr>
            </w:pPr>
            <w:r>
              <w:rPr>
                <w:rFonts w:ascii="Times New Roman" w:hAnsi="Times New Roman" w:cs="Times New Roman"/>
                <w:sz w:val="21"/>
                <w:szCs w:val="21"/>
              </w:rPr>
              <w:t>座位＞19座的客车和2t&lt;载质量≤7t的货车</w:t>
            </w:r>
          </w:p>
        </w:tc>
      </w:tr>
      <w:tr w14:paraId="68BB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restart"/>
            <w:vAlign w:val="center"/>
          </w:tcPr>
          <w:p w14:paraId="4C7B64CE">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大</w:t>
            </w:r>
          </w:p>
        </w:tc>
        <w:tc>
          <w:tcPr>
            <w:tcW w:w="1012" w:type="pct"/>
            <w:vAlign w:val="center"/>
          </w:tcPr>
          <w:p w14:paraId="34D71DFC">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大型车</w:t>
            </w:r>
          </w:p>
        </w:tc>
        <w:tc>
          <w:tcPr>
            <w:tcW w:w="1012" w:type="pct"/>
            <w:vAlign w:val="center"/>
          </w:tcPr>
          <w:p w14:paraId="3BA61CA5">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2.5</w:t>
            </w:r>
          </w:p>
        </w:tc>
        <w:tc>
          <w:tcPr>
            <w:tcW w:w="2526" w:type="pct"/>
            <w:vAlign w:val="center"/>
          </w:tcPr>
          <w:p w14:paraId="6EA5C672">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7t&lt;载质量≤20t的货车</w:t>
            </w:r>
          </w:p>
        </w:tc>
      </w:tr>
      <w:tr w14:paraId="7994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pct"/>
            <w:vMerge w:val="continue"/>
            <w:vAlign w:val="center"/>
          </w:tcPr>
          <w:p w14:paraId="6941993F">
            <w:pPr>
              <w:widowControl w:val="0"/>
              <w:autoSpaceDE w:val="0"/>
              <w:autoSpaceDN w:val="0"/>
              <w:adjustRightInd w:val="0"/>
              <w:jc w:val="center"/>
              <w:rPr>
                <w:rFonts w:ascii="Times New Roman" w:hAnsi="Times New Roman" w:cs="Times New Roman"/>
                <w:sz w:val="21"/>
                <w:szCs w:val="21"/>
              </w:rPr>
            </w:pPr>
          </w:p>
        </w:tc>
        <w:tc>
          <w:tcPr>
            <w:tcW w:w="1012" w:type="pct"/>
            <w:vAlign w:val="center"/>
          </w:tcPr>
          <w:p w14:paraId="14A0FC6D">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汽车列车</w:t>
            </w:r>
          </w:p>
        </w:tc>
        <w:tc>
          <w:tcPr>
            <w:tcW w:w="1012" w:type="pct"/>
            <w:vAlign w:val="center"/>
          </w:tcPr>
          <w:p w14:paraId="7F00A2B5">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4.0</w:t>
            </w:r>
          </w:p>
        </w:tc>
        <w:tc>
          <w:tcPr>
            <w:tcW w:w="2526" w:type="pct"/>
            <w:vAlign w:val="center"/>
          </w:tcPr>
          <w:p w14:paraId="566EF409">
            <w:pPr>
              <w:widowControl w:val="0"/>
              <w:autoSpaceDE w:val="0"/>
              <w:autoSpaceDN w:val="0"/>
              <w:adjustRightInd w:val="0"/>
              <w:jc w:val="center"/>
              <w:rPr>
                <w:rFonts w:ascii="Times New Roman" w:hAnsi="Times New Roman" w:cs="Times New Roman"/>
                <w:sz w:val="21"/>
                <w:szCs w:val="21"/>
              </w:rPr>
            </w:pPr>
            <w:r>
              <w:rPr>
                <w:rFonts w:ascii="Times New Roman" w:hAnsi="Times New Roman" w:cs="Times New Roman"/>
                <w:sz w:val="21"/>
                <w:szCs w:val="21"/>
              </w:rPr>
              <w:t>载质量&gt;20t的货车</w:t>
            </w:r>
          </w:p>
        </w:tc>
      </w:tr>
    </w:tbl>
    <w:p w14:paraId="609101E0">
      <w:pPr>
        <w:adjustRightInd w:val="0"/>
        <w:snapToGrid w:val="0"/>
        <w:spacing w:line="360" w:lineRule="auto"/>
        <w:ind w:firstLine="480" w:firstLineChars="200"/>
        <w:rPr>
          <w:rFonts w:ascii="Times New Roman" w:hAnsi="Times New Roman" w:cs="Times New Roman"/>
        </w:rPr>
      </w:pPr>
    </w:p>
    <w:p w14:paraId="3601C584">
      <w:pPr>
        <w:adjustRightInd w:val="0"/>
        <w:snapToGrid w:val="0"/>
        <w:jc w:val="center"/>
        <w:rPr>
          <w:rFonts w:ascii="Times New Roman" w:hAnsi="Times New Roman" w:cs="Times New Roman"/>
          <w:b/>
          <w:bCs/>
        </w:rPr>
      </w:pPr>
      <w:r>
        <w:rPr>
          <w:rFonts w:ascii="Times New Roman" w:hAnsi="Times New Roman" w:cs="Times New Roman"/>
          <w:b/>
        </w:rPr>
        <w:t>表3.1-7  本项目特征年份各类车型的交通量</w:t>
      </w:r>
      <w:r>
        <w:rPr>
          <w:rFonts w:ascii="Times New Roman" w:hAnsi="Times New Roman" w:cs="Times New Roman"/>
          <w:b/>
          <w:bCs/>
        </w:rPr>
        <w:t xml:space="preserve">  单位：</w:t>
      </w:r>
      <w:r>
        <w:rPr>
          <w:rFonts w:ascii="Times New Roman" w:hAnsi="Times New Roman" w:cs="Times New Roman"/>
          <w:b/>
        </w:rPr>
        <w:t>pcu/d</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6"/>
        <w:gridCol w:w="1580"/>
        <w:gridCol w:w="1581"/>
        <w:gridCol w:w="1581"/>
      </w:tblGrid>
      <w:tr w14:paraId="7851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50" w:type="pct"/>
            <w:shd w:val="clear" w:color="auto" w:fill="auto"/>
            <w:noWrap/>
            <w:vAlign w:val="center"/>
          </w:tcPr>
          <w:p w14:paraId="7D033C4E">
            <w:pPr>
              <w:jc w:val="center"/>
              <w:rPr>
                <w:rFonts w:ascii="Times New Roman" w:hAnsi="Times New Roman" w:cs="Times New Roman"/>
                <w:sz w:val="21"/>
                <w:szCs w:val="21"/>
              </w:rPr>
            </w:pPr>
            <w:r>
              <w:rPr>
                <w:rFonts w:ascii="Times New Roman" w:hAnsi="Times New Roman" w:cs="Times New Roman"/>
                <w:sz w:val="21"/>
                <w:szCs w:val="21"/>
              </w:rPr>
              <w:t>车型分类</w:t>
            </w:r>
          </w:p>
        </w:tc>
        <w:tc>
          <w:tcPr>
            <w:tcW w:w="1250" w:type="pct"/>
            <w:shd w:val="clear" w:color="auto" w:fill="auto"/>
            <w:noWrap/>
            <w:vAlign w:val="center"/>
          </w:tcPr>
          <w:p w14:paraId="002D76FF">
            <w:pPr>
              <w:jc w:val="center"/>
              <w:rPr>
                <w:rFonts w:ascii="Times New Roman" w:hAnsi="Times New Roman" w:cs="Times New Roman"/>
                <w:sz w:val="21"/>
                <w:szCs w:val="21"/>
              </w:rPr>
            </w:pPr>
            <w:r>
              <w:rPr>
                <w:rFonts w:ascii="Times New Roman" w:hAnsi="Times New Roman" w:cs="Times New Roman"/>
                <w:sz w:val="21"/>
                <w:szCs w:val="21"/>
              </w:rPr>
              <w:t>2026年</w:t>
            </w:r>
          </w:p>
        </w:tc>
        <w:tc>
          <w:tcPr>
            <w:tcW w:w="1250" w:type="pct"/>
            <w:shd w:val="clear" w:color="auto" w:fill="auto"/>
            <w:noWrap/>
            <w:vAlign w:val="center"/>
          </w:tcPr>
          <w:p w14:paraId="6B3AD573">
            <w:pPr>
              <w:jc w:val="center"/>
              <w:rPr>
                <w:rFonts w:ascii="Times New Roman" w:hAnsi="Times New Roman" w:cs="Times New Roman"/>
                <w:sz w:val="21"/>
                <w:szCs w:val="21"/>
              </w:rPr>
            </w:pPr>
            <w:r>
              <w:rPr>
                <w:rFonts w:ascii="Times New Roman" w:hAnsi="Times New Roman" w:cs="Times New Roman"/>
                <w:sz w:val="21"/>
                <w:szCs w:val="21"/>
              </w:rPr>
              <w:t>2032年</w:t>
            </w:r>
          </w:p>
        </w:tc>
        <w:tc>
          <w:tcPr>
            <w:tcW w:w="1250" w:type="pct"/>
            <w:shd w:val="clear" w:color="auto" w:fill="auto"/>
            <w:noWrap/>
            <w:vAlign w:val="center"/>
          </w:tcPr>
          <w:p w14:paraId="4B1B7B30">
            <w:pPr>
              <w:jc w:val="center"/>
              <w:rPr>
                <w:rFonts w:ascii="Times New Roman" w:hAnsi="Times New Roman" w:cs="Times New Roman"/>
                <w:sz w:val="21"/>
                <w:szCs w:val="21"/>
              </w:rPr>
            </w:pPr>
            <w:r>
              <w:rPr>
                <w:rFonts w:ascii="Times New Roman" w:hAnsi="Times New Roman" w:cs="Times New Roman"/>
                <w:sz w:val="21"/>
                <w:szCs w:val="21"/>
              </w:rPr>
              <w:t>2040年</w:t>
            </w:r>
          </w:p>
        </w:tc>
      </w:tr>
      <w:tr w14:paraId="6F7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50" w:type="pct"/>
            <w:shd w:val="clear" w:color="auto" w:fill="auto"/>
            <w:vAlign w:val="center"/>
          </w:tcPr>
          <w:p w14:paraId="73C8776D">
            <w:pPr>
              <w:jc w:val="center"/>
              <w:rPr>
                <w:rFonts w:ascii="Times New Roman" w:hAnsi="Times New Roman" w:cs="Times New Roman"/>
                <w:sz w:val="21"/>
                <w:szCs w:val="21"/>
              </w:rPr>
            </w:pPr>
            <w:r>
              <w:rPr>
                <w:rFonts w:ascii="Times New Roman" w:hAnsi="Times New Roman" w:cs="Times New Roman"/>
                <w:sz w:val="21"/>
                <w:szCs w:val="21"/>
              </w:rPr>
              <w:t>小型车（折算成标准小客车交通量）</w:t>
            </w:r>
          </w:p>
        </w:tc>
        <w:tc>
          <w:tcPr>
            <w:tcW w:w="1250" w:type="pct"/>
            <w:shd w:val="clear" w:color="auto" w:fill="auto"/>
            <w:vAlign w:val="center"/>
          </w:tcPr>
          <w:p w14:paraId="6C9A8436">
            <w:pPr>
              <w:jc w:val="center"/>
              <w:rPr>
                <w:rFonts w:ascii="Times New Roman" w:hAnsi="Times New Roman" w:cs="Times New Roman"/>
                <w:sz w:val="21"/>
                <w:szCs w:val="21"/>
              </w:rPr>
            </w:pPr>
            <w:r>
              <w:rPr>
                <w:rFonts w:ascii="Times New Roman" w:hAnsi="Times New Roman" w:cs="Times New Roman"/>
                <w:sz w:val="21"/>
                <w:szCs w:val="21"/>
              </w:rPr>
              <w:t>1888</w:t>
            </w:r>
          </w:p>
        </w:tc>
        <w:tc>
          <w:tcPr>
            <w:tcW w:w="1250" w:type="pct"/>
            <w:shd w:val="clear" w:color="auto" w:fill="auto"/>
            <w:vAlign w:val="center"/>
          </w:tcPr>
          <w:p w14:paraId="7ECEEFF1">
            <w:pPr>
              <w:jc w:val="center"/>
              <w:rPr>
                <w:rFonts w:ascii="Times New Roman" w:hAnsi="Times New Roman" w:cs="Times New Roman"/>
                <w:sz w:val="21"/>
                <w:szCs w:val="21"/>
              </w:rPr>
            </w:pPr>
            <w:r>
              <w:rPr>
                <w:rFonts w:ascii="Times New Roman" w:hAnsi="Times New Roman" w:cs="Times New Roman"/>
                <w:sz w:val="21"/>
                <w:szCs w:val="21"/>
              </w:rPr>
              <w:t>2867</w:t>
            </w:r>
          </w:p>
        </w:tc>
        <w:tc>
          <w:tcPr>
            <w:tcW w:w="1250" w:type="pct"/>
            <w:shd w:val="clear" w:color="auto" w:fill="auto"/>
            <w:vAlign w:val="center"/>
          </w:tcPr>
          <w:p w14:paraId="63D7F925">
            <w:pPr>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325</w:t>
            </w:r>
          </w:p>
        </w:tc>
      </w:tr>
      <w:tr w14:paraId="67DE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50" w:type="pct"/>
            <w:shd w:val="clear" w:color="auto" w:fill="auto"/>
            <w:vAlign w:val="center"/>
          </w:tcPr>
          <w:p w14:paraId="4AEF4509">
            <w:pPr>
              <w:jc w:val="center"/>
              <w:rPr>
                <w:rFonts w:ascii="Times New Roman" w:hAnsi="Times New Roman" w:cs="Times New Roman"/>
                <w:sz w:val="21"/>
                <w:szCs w:val="21"/>
              </w:rPr>
            </w:pPr>
            <w:r>
              <w:rPr>
                <w:rFonts w:ascii="Times New Roman" w:hAnsi="Times New Roman" w:cs="Times New Roman"/>
                <w:sz w:val="21"/>
                <w:szCs w:val="21"/>
              </w:rPr>
              <w:t>中型车（折算成标准小客车交通量）</w:t>
            </w:r>
          </w:p>
        </w:tc>
        <w:tc>
          <w:tcPr>
            <w:tcW w:w="1250" w:type="pct"/>
            <w:shd w:val="clear" w:color="auto" w:fill="auto"/>
            <w:vAlign w:val="center"/>
          </w:tcPr>
          <w:p w14:paraId="5838381E">
            <w:pPr>
              <w:jc w:val="center"/>
              <w:rPr>
                <w:rFonts w:ascii="Times New Roman" w:hAnsi="Times New Roman" w:cs="Times New Roman"/>
                <w:sz w:val="21"/>
                <w:szCs w:val="21"/>
              </w:rPr>
            </w:pPr>
            <w:r>
              <w:rPr>
                <w:rFonts w:ascii="Times New Roman" w:hAnsi="Times New Roman" w:cs="Times New Roman"/>
                <w:sz w:val="21"/>
                <w:szCs w:val="21"/>
              </w:rPr>
              <w:t>235</w:t>
            </w:r>
          </w:p>
        </w:tc>
        <w:tc>
          <w:tcPr>
            <w:tcW w:w="1250" w:type="pct"/>
            <w:shd w:val="clear" w:color="auto" w:fill="auto"/>
            <w:vAlign w:val="center"/>
          </w:tcPr>
          <w:p w14:paraId="7FCDCC88">
            <w:pPr>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45</w:t>
            </w:r>
          </w:p>
        </w:tc>
        <w:tc>
          <w:tcPr>
            <w:tcW w:w="1250" w:type="pct"/>
            <w:shd w:val="clear" w:color="auto" w:fill="auto"/>
            <w:vAlign w:val="center"/>
          </w:tcPr>
          <w:p w14:paraId="152C845B">
            <w:pPr>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03</w:t>
            </w:r>
          </w:p>
        </w:tc>
      </w:tr>
      <w:tr w14:paraId="02FD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50" w:type="pct"/>
            <w:shd w:val="clear" w:color="auto" w:fill="auto"/>
            <w:noWrap/>
            <w:vAlign w:val="center"/>
          </w:tcPr>
          <w:p w14:paraId="56A77263">
            <w:pPr>
              <w:jc w:val="center"/>
              <w:rPr>
                <w:rFonts w:ascii="Times New Roman" w:hAnsi="Times New Roman" w:cs="Times New Roman"/>
                <w:sz w:val="21"/>
                <w:szCs w:val="21"/>
              </w:rPr>
            </w:pPr>
            <w:r>
              <w:rPr>
                <w:rFonts w:ascii="Times New Roman" w:hAnsi="Times New Roman" w:cs="Times New Roman"/>
                <w:sz w:val="21"/>
                <w:szCs w:val="21"/>
              </w:rPr>
              <w:t>大货车（折算成标准小客车交通量）</w:t>
            </w:r>
          </w:p>
        </w:tc>
        <w:tc>
          <w:tcPr>
            <w:tcW w:w="1250" w:type="pct"/>
            <w:shd w:val="clear" w:color="auto" w:fill="auto"/>
            <w:vAlign w:val="center"/>
          </w:tcPr>
          <w:p w14:paraId="70DC2BC9">
            <w:pPr>
              <w:jc w:val="center"/>
              <w:rPr>
                <w:rFonts w:ascii="Times New Roman" w:hAnsi="Times New Roman" w:cs="Times New Roman"/>
                <w:sz w:val="21"/>
                <w:szCs w:val="21"/>
              </w:rPr>
            </w:pPr>
            <w:r>
              <w:rPr>
                <w:rFonts w:ascii="Times New Roman" w:hAnsi="Times New Roman" w:cs="Times New Roman"/>
                <w:sz w:val="21"/>
                <w:szCs w:val="21"/>
              </w:rPr>
              <w:t>211</w:t>
            </w:r>
          </w:p>
        </w:tc>
        <w:tc>
          <w:tcPr>
            <w:tcW w:w="1250" w:type="pct"/>
            <w:shd w:val="clear" w:color="auto" w:fill="auto"/>
            <w:vAlign w:val="center"/>
          </w:tcPr>
          <w:p w14:paraId="4988A678">
            <w:pPr>
              <w:jc w:val="center"/>
              <w:rPr>
                <w:rFonts w:ascii="Times New Roman" w:hAnsi="Times New Roman" w:cs="Times New Roman"/>
                <w:sz w:val="21"/>
                <w:szCs w:val="21"/>
              </w:rPr>
            </w:pPr>
            <w:r>
              <w:rPr>
                <w:rFonts w:hint="eastAsia" w:ascii="Times New Roman" w:hAnsi="Times New Roman" w:cs="Times New Roman"/>
                <w:sz w:val="21"/>
                <w:szCs w:val="21"/>
              </w:rPr>
              <w:t>2</w:t>
            </w:r>
            <w:r>
              <w:rPr>
                <w:rFonts w:ascii="Times New Roman" w:hAnsi="Times New Roman" w:cs="Times New Roman"/>
                <w:sz w:val="21"/>
                <w:szCs w:val="21"/>
              </w:rPr>
              <w:t>94</w:t>
            </w:r>
          </w:p>
        </w:tc>
        <w:tc>
          <w:tcPr>
            <w:tcW w:w="1250" w:type="pct"/>
            <w:shd w:val="clear" w:color="auto" w:fill="auto"/>
            <w:vAlign w:val="center"/>
          </w:tcPr>
          <w:p w14:paraId="1A672B87">
            <w:pPr>
              <w:jc w:val="center"/>
              <w:rPr>
                <w:rFonts w:ascii="Times New Roman" w:hAnsi="Times New Roman"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91</w:t>
            </w:r>
          </w:p>
        </w:tc>
      </w:tr>
      <w:tr w14:paraId="14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50" w:type="pct"/>
            <w:shd w:val="clear" w:color="auto" w:fill="auto"/>
            <w:noWrap/>
            <w:vAlign w:val="center"/>
          </w:tcPr>
          <w:p w14:paraId="567DFE37">
            <w:pPr>
              <w:jc w:val="center"/>
              <w:rPr>
                <w:rFonts w:ascii="Times New Roman" w:hAnsi="Times New Roman" w:cs="Times New Roman"/>
                <w:sz w:val="21"/>
                <w:szCs w:val="21"/>
              </w:rPr>
            </w:pPr>
            <w:r>
              <w:rPr>
                <w:rFonts w:ascii="Times New Roman" w:hAnsi="Times New Roman" w:cs="Times New Roman"/>
                <w:sz w:val="21"/>
                <w:szCs w:val="21"/>
              </w:rPr>
              <w:t>汽车列车（折算成标准小客车交通量）</w:t>
            </w:r>
          </w:p>
        </w:tc>
        <w:tc>
          <w:tcPr>
            <w:tcW w:w="1250" w:type="pct"/>
            <w:shd w:val="clear" w:color="auto" w:fill="auto"/>
            <w:vAlign w:val="center"/>
          </w:tcPr>
          <w:p w14:paraId="3A8E7AAB">
            <w:pPr>
              <w:jc w:val="center"/>
              <w:rPr>
                <w:rFonts w:ascii="Times New Roman" w:hAnsi="Times New Roman" w:cs="Times New Roman"/>
                <w:sz w:val="21"/>
                <w:szCs w:val="21"/>
              </w:rPr>
            </w:pPr>
            <w:r>
              <w:rPr>
                <w:rFonts w:ascii="Times New Roman" w:hAnsi="Times New Roman" w:cs="Times New Roman"/>
                <w:sz w:val="21"/>
                <w:szCs w:val="21"/>
              </w:rPr>
              <w:t>675</w:t>
            </w:r>
          </w:p>
        </w:tc>
        <w:tc>
          <w:tcPr>
            <w:tcW w:w="1250" w:type="pct"/>
            <w:shd w:val="clear" w:color="auto" w:fill="auto"/>
            <w:vAlign w:val="center"/>
          </w:tcPr>
          <w:p w14:paraId="0704D82D">
            <w:pPr>
              <w:jc w:val="center"/>
              <w:rPr>
                <w:rFonts w:ascii="Times New Roman" w:hAnsi="Times New Roman" w:cs="Times New Roman"/>
                <w:sz w:val="21"/>
                <w:szCs w:val="21"/>
              </w:rPr>
            </w:pPr>
            <w:r>
              <w:rPr>
                <w:rFonts w:hint="eastAsia" w:ascii="Times New Roman" w:hAnsi="Times New Roman" w:cs="Times New Roman"/>
                <w:sz w:val="21"/>
                <w:szCs w:val="21"/>
              </w:rPr>
              <w:t>9</w:t>
            </w:r>
            <w:r>
              <w:rPr>
                <w:rFonts w:ascii="Times New Roman" w:hAnsi="Times New Roman" w:cs="Times New Roman"/>
                <w:sz w:val="21"/>
                <w:szCs w:val="21"/>
              </w:rPr>
              <w:t>20</w:t>
            </w:r>
          </w:p>
        </w:tc>
        <w:tc>
          <w:tcPr>
            <w:tcW w:w="1250" w:type="pct"/>
            <w:shd w:val="clear" w:color="auto" w:fill="auto"/>
            <w:vAlign w:val="center"/>
          </w:tcPr>
          <w:p w14:paraId="5FE5F8F5">
            <w:pPr>
              <w:jc w:val="center"/>
              <w:rPr>
                <w:rFonts w:ascii="Times New Roman" w:hAnsi="Times New Roman" w:cs="Times New Roman"/>
                <w:sz w:val="21"/>
                <w:szCs w:val="21"/>
              </w:rPr>
            </w:pPr>
            <w:r>
              <w:rPr>
                <w:rFonts w:hint="eastAsia" w:ascii="Times New Roman" w:hAnsi="Times New Roman" w:cs="Times New Roman"/>
                <w:sz w:val="21"/>
                <w:szCs w:val="21"/>
              </w:rPr>
              <w:t>1</w:t>
            </w:r>
            <w:r>
              <w:rPr>
                <w:rFonts w:ascii="Times New Roman" w:hAnsi="Times New Roman" w:cs="Times New Roman"/>
                <w:sz w:val="21"/>
                <w:szCs w:val="21"/>
              </w:rPr>
              <w:t>372</w:t>
            </w:r>
          </w:p>
        </w:tc>
      </w:tr>
      <w:tr w14:paraId="70CD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50" w:type="pct"/>
            <w:shd w:val="clear" w:color="auto" w:fill="auto"/>
            <w:noWrap/>
            <w:vAlign w:val="center"/>
          </w:tcPr>
          <w:p w14:paraId="75F67874">
            <w:pPr>
              <w:jc w:val="center"/>
              <w:rPr>
                <w:rFonts w:ascii="Times New Roman" w:hAnsi="Times New Roman" w:cs="Times New Roman"/>
                <w:sz w:val="21"/>
                <w:szCs w:val="21"/>
              </w:rPr>
            </w:pPr>
            <w:r>
              <w:rPr>
                <w:rFonts w:ascii="Times New Roman" w:hAnsi="Times New Roman" w:cs="Times New Roman"/>
                <w:sz w:val="21"/>
                <w:szCs w:val="21"/>
              </w:rPr>
              <w:t>总计</w:t>
            </w:r>
          </w:p>
        </w:tc>
        <w:tc>
          <w:tcPr>
            <w:tcW w:w="1250" w:type="pct"/>
            <w:shd w:val="clear" w:color="auto" w:fill="auto"/>
            <w:vAlign w:val="center"/>
          </w:tcPr>
          <w:p w14:paraId="0B77EDAF">
            <w:pPr>
              <w:jc w:val="center"/>
              <w:rPr>
                <w:rFonts w:ascii="Times New Roman" w:hAnsi="Times New Roman" w:cs="Times New Roman"/>
                <w:sz w:val="21"/>
                <w:szCs w:val="21"/>
              </w:rPr>
            </w:pPr>
            <w:r>
              <w:rPr>
                <w:rFonts w:ascii="Times New Roman" w:hAnsi="Times New Roman" w:cs="Times New Roman"/>
                <w:sz w:val="21"/>
                <w:szCs w:val="21"/>
              </w:rPr>
              <w:t>3009</w:t>
            </w:r>
          </w:p>
        </w:tc>
        <w:tc>
          <w:tcPr>
            <w:tcW w:w="1250" w:type="pct"/>
            <w:shd w:val="clear" w:color="auto" w:fill="auto"/>
            <w:vAlign w:val="center"/>
          </w:tcPr>
          <w:p w14:paraId="12E609A6">
            <w:pPr>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426</w:t>
            </w:r>
          </w:p>
        </w:tc>
        <w:tc>
          <w:tcPr>
            <w:tcW w:w="1250" w:type="pct"/>
            <w:shd w:val="clear" w:color="auto" w:fill="auto"/>
            <w:vAlign w:val="center"/>
          </w:tcPr>
          <w:p w14:paraId="1E0CEC30">
            <w:pPr>
              <w:jc w:val="center"/>
              <w:rPr>
                <w:rFonts w:ascii="Times New Roman" w:hAnsi="Times New Roman" w:cs="Times New Roman"/>
                <w:sz w:val="21"/>
                <w:szCs w:val="21"/>
              </w:rPr>
            </w:pPr>
            <w:r>
              <w:rPr>
                <w:rFonts w:ascii="Times New Roman" w:hAnsi="Times New Roman" w:cs="Times New Roman"/>
                <w:sz w:val="21"/>
                <w:szCs w:val="21"/>
              </w:rPr>
              <w:t>6591</w:t>
            </w:r>
          </w:p>
        </w:tc>
      </w:tr>
    </w:tbl>
    <w:p w14:paraId="206B8B97">
      <w:pPr>
        <w:autoSpaceDE w:val="0"/>
        <w:autoSpaceDN w:val="0"/>
        <w:adjustRightInd w:val="0"/>
        <w:spacing w:line="360" w:lineRule="auto"/>
        <w:ind w:firstLine="480" w:firstLineChars="200"/>
        <w:rPr>
          <w:rFonts w:ascii="Times New Roman" w:hAnsi="Times New Roman" w:cs="Times New Roman"/>
        </w:rPr>
      </w:pPr>
      <w:r>
        <w:rPr>
          <w:rFonts w:ascii="Times New Roman" w:hAnsi="Times New Roman" w:cs="Times New Roman"/>
        </w:rPr>
        <w:t>根据工可报告中对项目区现有公路的调查结果，该区域昼间系数为0.768(新疆地区昼间为8:00～24:00)，昼间时段按照16h计算，得出各特征年昼</w:t>
      </w:r>
      <w:r>
        <w:rPr>
          <w:rFonts w:hint="eastAsia" w:ascii="Times New Roman" w:hAnsi="Times New Roman" w:cs="Times New Roman"/>
        </w:rPr>
        <w:t>、</w:t>
      </w:r>
      <w:r>
        <w:rPr>
          <w:rFonts w:ascii="Times New Roman" w:hAnsi="Times New Roman" w:cs="Times New Roman"/>
        </w:rPr>
        <w:t>夜间</w:t>
      </w:r>
      <w:r>
        <w:rPr>
          <w:rFonts w:hint="eastAsia" w:ascii="Times New Roman" w:hAnsi="Times New Roman" w:cs="Times New Roman"/>
        </w:rPr>
        <w:t>小时</w:t>
      </w:r>
      <w:r>
        <w:rPr>
          <w:rFonts w:ascii="Times New Roman" w:hAnsi="Times New Roman" w:cs="Times New Roman"/>
        </w:rPr>
        <w:t>交通量预测结果详见表3.1-8。</w:t>
      </w:r>
    </w:p>
    <w:p w14:paraId="58D6DC06">
      <w:pPr>
        <w:adjustRightInd w:val="0"/>
        <w:snapToGrid w:val="0"/>
        <w:spacing w:before="156" w:beforeLines="50"/>
        <w:jc w:val="center"/>
        <w:rPr>
          <w:rFonts w:ascii="Times New Roman" w:hAnsi="Times New Roman" w:cs="Times New Roman"/>
          <w:b/>
          <w:bCs/>
        </w:rPr>
      </w:pPr>
      <w:r>
        <w:rPr>
          <w:rFonts w:ascii="Times New Roman" w:hAnsi="Times New Roman" w:cs="Times New Roman"/>
          <w:b/>
          <w:bCs/>
        </w:rPr>
        <w:t xml:space="preserve">表3.1-8  </w:t>
      </w:r>
      <w:r>
        <w:rPr>
          <w:rFonts w:ascii="Times New Roman" w:hAnsi="Times New Roman" w:cs="Times New Roman"/>
          <w:b/>
        </w:rPr>
        <w:t>本项目特征年份昼夜间各类车型交通量</w:t>
      </w:r>
      <w:r>
        <w:rPr>
          <w:rFonts w:ascii="Times New Roman" w:hAnsi="Times New Roman" w:cs="Times New Roman"/>
          <w:b/>
          <w:bCs/>
        </w:rPr>
        <w:t xml:space="preserve">  单位：辆</w:t>
      </w:r>
      <w:r>
        <w:rPr>
          <w:rFonts w:ascii="Times New Roman" w:hAnsi="Times New Roman" w:cs="Times New Roman"/>
          <w:b/>
        </w:rPr>
        <w:t>/h</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052"/>
        <w:gridCol w:w="1711"/>
        <w:gridCol w:w="1462"/>
        <w:gridCol w:w="1462"/>
        <w:gridCol w:w="1458"/>
      </w:tblGrid>
      <w:tr w14:paraId="668C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31" w:type="pct"/>
            <w:gridSpan w:val="3"/>
            <w:shd w:val="clear" w:color="auto" w:fill="auto"/>
            <w:vAlign w:val="center"/>
          </w:tcPr>
          <w:p w14:paraId="45C3A68D">
            <w:pPr>
              <w:jc w:val="center"/>
              <w:rPr>
                <w:rFonts w:ascii="Times New Roman" w:hAnsi="Times New Roman" w:cs="Times New Roman"/>
                <w:sz w:val="21"/>
                <w:szCs w:val="21"/>
              </w:rPr>
            </w:pPr>
            <w:r>
              <w:rPr>
                <w:rFonts w:ascii="Times New Roman" w:hAnsi="Times New Roman" w:cs="Times New Roman"/>
                <w:sz w:val="21"/>
                <w:szCs w:val="21"/>
              </w:rPr>
              <w:t>时段</w:t>
            </w:r>
          </w:p>
        </w:tc>
        <w:tc>
          <w:tcPr>
            <w:tcW w:w="857" w:type="pct"/>
            <w:shd w:val="clear" w:color="auto" w:fill="auto"/>
            <w:vAlign w:val="center"/>
          </w:tcPr>
          <w:p w14:paraId="7DD936ED">
            <w:pPr>
              <w:jc w:val="center"/>
              <w:rPr>
                <w:rFonts w:ascii="Times New Roman" w:hAnsi="Times New Roman" w:cs="Times New Roman"/>
                <w:sz w:val="21"/>
                <w:szCs w:val="21"/>
              </w:rPr>
            </w:pPr>
            <w:r>
              <w:rPr>
                <w:rFonts w:ascii="Times New Roman" w:hAnsi="Times New Roman" w:cs="Times New Roman"/>
                <w:sz w:val="21"/>
                <w:szCs w:val="21"/>
              </w:rPr>
              <w:t>2026年</w:t>
            </w:r>
          </w:p>
        </w:tc>
        <w:tc>
          <w:tcPr>
            <w:tcW w:w="857" w:type="pct"/>
            <w:shd w:val="clear" w:color="auto" w:fill="auto"/>
            <w:vAlign w:val="center"/>
          </w:tcPr>
          <w:p w14:paraId="111D1BC9">
            <w:pPr>
              <w:jc w:val="center"/>
              <w:rPr>
                <w:rFonts w:ascii="Times New Roman" w:hAnsi="Times New Roman" w:cs="Times New Roman"/>
                <w:sz w:val="21"/>
                <w:szCs w:val="21"/>
              </w:rPr>
            </w:pPr>
            <w:r>
              <w:rPr>
                <w:rFonts w:ascii="Times New Roman" w:hAnsi="Times New Roman" w:cs="Times New Roman"/>
                <w:sz w:val="21"/>
                <w:szCs w:val="21"/>
              </w:rPr>
              <w:t>2032年</w:t>
            </w:r>
          </w:p>
        </w:tc>
        <w:tc>
          <w:tcPr>
            <w:tcW w:w="855" w:type="pct"/>
            <w:shd w:val="clear" w:color="auto" w:fill="auto"/>
            <w:vAlign w:val="center"/>
          </w:tcPr>
          <w:p w14:paraId="24BFA0E6">
            <w:pPr>
              <w:jc w:val="center"/>
              <w:rPr>
                <w:rFonts w:ascii="Times New Roman" w:hAnsi="Times New Roman" w:cs="Times New Roman"/>
                <w:sz w:val="21"/>
                <w:szCs w:val="21"/>
              </w:rPr>
            </w:pPr>
            <w:r>
              <w:rPr>
                <w:rFonts w:ascii="Times New Roman" w:hAnsi="Times New Roman" w:cs="Times New Roman"/>
                <w:sz w:val="21"/>
                <w:szCs w:val="21"/>
              </w:rPr>
              <w:t>2040年</w:t>
            </w:r>
          </w:p>
        </w:tc>
      </w:tr>
      <w:tr w14:paraId="7E12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restart"/>
            <w:shd w:val="clear" w:color="auto" w:fill="auto"/>
            <w:vAlign w:val="center"/>
          </w:tcPr>
          <w:p w14:paraId="3112CD77">
            <w:pPr>
              <w:jc w:val="center"/>
              <w:rPr>
                <w:rFonts w:ascii="Times New Roman" w:hAnsi="Times New Roman" w:cs="Times New Roman"/>
                <w:sz w:val="21"/>
                <w:szCs w:val="21"/>
              </w:rPr>
            </w:pPr>
            <w:r>
              <w:rPr>
                <w:rFonts w:ascii="Times New Roman" w:hAnsi="Times New Roman" w:cs="Times New Roman"/>
                <w:sz w:val="21"/>
                <w:szCs w:val="21"/>
              </w:rPr>
              <w:t>车流量</w:t>
            </w:r>
          </w:p>
        </w:tc>
        <w:tc>
          <w:tcPr>
            <w:tcW w:w="617" w:type="pct"/>
            <w:vMerge w:val="restart"/>
            <w:shd w:val="clear" w:color="auto" w:fill="auto"/>
            <w:vAlign w:val="center"/>
          </w:tcPr>
          <w:p w14:paraId="39611976">
            <w:pPr>
              <w:jc w:val="center"/>
              <w:rPr>
                <w:rFonts w:ascii="Times New Roman" w:hAnsi="Times New Roman" w:cs="Times New Roman"/>
                <w:sz w:val="21"/>
                <w:szCs w:val="21"/>
              </w:rPr>
            </w:pPr>
            <w:r>
              <w:rPr>
                <w:rFonts w:ascii="Times New Roman" w:hAnsi="Times New Roman" w:cs="Times New Roman"/>
                <w:sz w:val="21"/>
                <w:szCs w:val="21"/>
              </w:rPr>
              <w:t>昼间</w:t>
            </w:r>
          </w:p>
        </w:tc>
        <w:tc>
          <w:tcPr>
            <w:tcW w:w="1003" w:type="pct"/>
            <w:shd w:val="clear" w:color="auto" w:fill="auto"/>
            <w:vAlign w:val="center"/>
          </w:tcPr>
          <w:p w14:paraId="5D1A856E">
            <w:pPr>
              <w:jc w:val="center"/>
              <w:rPr>
                <w:rFonts w:ascii="Times New Roman" w:hAnsi="Times New Roman" w:cs="Times New Roman"/>
                <w:sz w:val="21"/>
                <w:szCs w:val="21"/>
              </w:rPr>
            </w:pPr>
            <w:r>
              <w:rPr>
                <w:rFonts w:hint="eastAsia" w:ascii="Times New Roman" w:hAnsi="Times New Roman" w:cs="Times New Roman"/>
                <w:sz w:val="21"/>
                <w:szCs w:val="21"/>
              </w:rPr>
              <w:t>小</w:t>
            </w:r>
            <w:r>
              <w:rPr>
                <w:rFonts w:ascii="Times New Roman" w:hAnsi="Times New Roman" w:cs="Times New Roman"/>
                <w:sz w:val="21"/>
                <w:szCs w:val="21"/>
              </w:rPr>
              <w:t>车</w:t>
            </w:r>
          </w:p>
        </w:tc>
        <w:tc>
          <w:tcPr>
            <w:tcW w:w="857" w:type="pct"/>
            <w:shd w:val="clear" w:color="auto" w:fill="auto"/>
            <w:vAlign w:val="center"/>
          </w:tcPr>
          <w:p w14:paraId="5D7DA453">
            <w:pPr>
              <w:jc w:val="center"/>
              <w:rPr>
                <w:rFonts w:ascii="Times New Roman" w:hAnsi="Times New Roman" w:eastAsia="等线" w:cs="Times New Roman"/>
                <w:sz w:val="21"/>
                <w:szCs w:val="21"/>
              </w:rPr>
            </w:pPr>
            <w:r>
              <w:rPr>
                <w:rFonts w:ascii="Times New Roman" w:hAnsi="Times New Roman" w:cs="Times New Roman"/>
                <w:sz w:val="21"/>
                <w:szCs w:val="21"/>
              </w:rPr>
              <w:t xml:space="preserve">91 </w:t>
            </w:r>
          </w:p>
        </w:tc>
        <w:tc>
          <w:tcPr>
            <w:tcW w:w="857" w:type="pct"/>
            <w:shd w:val="clear" w:color="auto" w:fill="auto"/>
            <w:vAlign w:val="center"/>
          </w:tcPr>
          <w:p w14:paraId="3815FC6A">
            <w:pPr>
              <w:jc w:val="center"/>
              <w:rPr>
                <w:rFonts w:ascii="Times New Roman" w:hAnsi="Times New Roman" w:eastAsia="等线" w:cs="Times New Roman"/>
                <w:sz w:val="21"/>
                <w:szCs w:val="21"/>
              </w:rPr>
            </w:pPr>
            <w:r>
              <w:rPr>
                <w:rFonts w:ascii="Times New Roman" w:hAnsi="Times New Roman" w:cs="Times New Roman"/>
                <w:sz w:val="21"/>
                <w:szCs w:val="21"/>
              </w:rPr>
              <w:t xml:space="preserve">138 </w:t>
            </w:r>
          </w:p>
        </w:tc>
        <w:tc>
          <w:tcPr>
            <w:tcW w:w="855" w:type="pct"/>
            <w:shd w:val="clear" w:color="auto" w:fill="auto"/>
            <w:vAlign w:val="center"/>
          </w:tcPr>
          <w:p w14:paraId="3E813670">
            <w:pPr>
              <w:jc w:val="center"/>
              <w:rPr>
                <w:rFonts w:ascii="Times New Roman" w:hAnsi="Times New Roman" w:eastAsia="等线" w:cs="Times New Roman"/>
                <w:sz w:val="21"/>
                <w:szCs w:val="21"/>
              </w:rPr>
            </w:pPr>
            <w:r>
              <w:rPr>
                <w:rFonts w:ascii="Times New Roman" w:hAnsi="Times New Roman" w:cs="Times New Roman"/>
                <w:sz w:val="21"/>
                <w:szCs w:val="21"/>
              </w:rPr>
              <w:t xml:space="preserve">207 </w:t>
            </w:r>
          </w:p>
        </w:tc>
      </w:tr>
      <w:tr w14:paraId="1267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1F6A33E3">
            <w:pPr>
              <w:jc w:val="center"/>
              <w:rPr>
                <w:rFonts w:ascii="Times New Roman" w:hAnsi="Times New Roman" w:cs="Times New Roman"/>
                <w:sz w:val="21"/>
                <w:szCs w:val="21"/>
              </w:rPr>
            </w:pPr>
          </w:p>
        </w:tc>
        <w:tc>
          <w:tcPr>
            <w:tcW w:w="617" w:type="pct"/>
            <w:vMerge w:val="continue"/>
            <w:shd w:val="clear" w:color="auto" w:fill="auto"/>
            <w:vAlign w:val="center"/>
          </w:tcPr>
          <w:p w14:paraId="48554D07">
            <w:pPr>
              <w:jc w:val="center"/>
              <w:rPr>
                <w:rFonts w:ascii="Times New Roman" w:hAnsi="Times New Roman" w:cs="Times New Roman"/>
                <w:sz w:val="21"/>
                <w:szCs w:val="21"/>
              </w:rPr>
            </w:pPr>
          </w:p>
        </w:tc>
        <w:tc>
          <w:tcPr>
            <w:tcW w:w="1003" w:type="pct"/>
            <w:shd w:val="clear" w:color="auto" w:fill="auto"/>
            <w:vAlign w:val="center"/>
          </w:tcPr>
          <w:p w14:paraId="0B78DCEA">
            <w:pPr>
              <w:jc w:val="center"/>
              <w:rPr>
                <w:rFonts w:ascii="Times New Roman" w:hAnsi="Times New Roman" w:cs="Times New Roman"/>
                <w:sz w:val="21"/>
                <w:szCs w:val="21"/>
              </w:rPr>
            </w:pPr>
            <w:r>
              <w:rPr>
                <w:rFonts w:ascii="Times New Roman" w:hAnsi="Times New Roman" w:cs="Times New Roman"/>
                <w:sz w:val="21"/>
                <w:szCs w:val="21"/>
              </w:rPr>
              <w:t>中车</w:t>
            </w:r>
          </w:p>
        </w:tc>
        <w:tc>
          <w:tcPr>
            <w:tcW w:w="857" w:type="pct"/>
            <w:shd w:val="clear" w:color="auto" w:fill="auto"/>
            <w:vAlign w:val="center"/>
          </w:tcPr>
          <w:p w14:paraId="36BFA88B">
            <w:pPr>
              <w:jc w:val="center"/>
              <w:rPr>
                <w:rFonts w:ascii="Times New Roman" w:hAnsi="Times New Roman" w:eastAsia="等线" w:cs="Times New Roman"/>
                <w:sz w:val="21"/>
                <w:szCs w:val="21"/>
              </w:rPr>
            </w:pPr>
            <w:r>
              <w:rPr>
                <w:rFonts w:ascii="Times New Roman" w:hAnsi="Times New Roman" w:cs="Times New Roman"/>
                <w:sz w:val="21"/>
                <w:szCs w:val="21"/>
              </w:rPr>
              <w:t xml:space="preserve">11 </w:t>
            </w:r>
          </w:p>
        </w:tc>
        <w:tc>
          <w:tcPr>
            <w:tcW w:w="857" w:type="pct"/>
            <w:shd w:val="clear" w:color="auto" w:fill="auto"/>
            <w:vAlign w:val="center"/>
          </w:tcPr>
          <w:p w14:paraId="71B1A46D">
            <w:pPr>
              <w:jc w:val="center"/>
              <w:rPr>
                <w:rFonts w:ascii="Times New Roman" w:hAnsi="Times New Roman" w:eastAsia="等线" w:cs="Times New Roman"/>
                <w:sz w:val="21"/>
                <w:szCs w:val="21"/>
              </w:rPr>
            </w:pPr>
            <w:r>
              <w:rPr>
                <w:rFonts w:ascii="Times New Roman" w:hAnsi="Times New Roman" w:cs="Times New Roman"/>
                <w:sz w:val="21"/>
                <w:szCs w:val="21"/>
              </w:rPr>
              <w:t xml:space="preserve">16 </w:t>
            </w:r>
          </w:p>
        </w:tc>
        <w:tc>
          <w:tcPr>
            <w:tcW w:w="855" w:type="pct"/>
            <w:shd w:val="clear" w:color="auto" w:fill="auto"/>
            <w:vAlign w:val="center"/>
          </w:tcPr>
          <w:p w14:paraId="46FDD1D3">
            <w:pPr>
              <w:jc w:val="center"/>
              <w:rPr>
                <w:rFonts w:ascii="Times New Roman" w:hAnsi="Times New Roman" w:eastAsia="等线" w:cs="Times New Roman"/>
                <w:sz w:val="21"/>
                <w:szCs w:val="21"/>
              </w:rPr>
            </w:pPr>
            <w:r>
              <w:rPr>
                <w:rFonts w:ascii="Times New Roman" w:hAnsi="Times New Roman" w:cs="Times New Roman"/>
                <w:sz w:val="21"/>
                <w:szCs w:val="21"/>
              </w:rPr>
              <w:t xml:space="preserve">24 </w:t>
            </w:r>
          </w:p>
        </w:tc>
      </w:tr>
      <w:tr w14:paraId="4335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21BEFAB1">
            <w:pPr>
              <w:jc w:val="center"/>
              <w:rPr>
                <w:rFonts w:ascii="Times New Roman" w:hAnsi="Times New Roman" w:cs="Times New Roman"/>
                <w:sz w:val="21"/>
                <w:szCs w:val="21"/>
              </w:rPr>
            </w:pPr>
          </w:p>
        </w:tc>
        <w:tc>
          <w:tcPr>
            <w:tcW w:w="617" w:type="pct"/>
            <w:vMerge w:val="continue"/>
            <w:shd w:val="clear" w:color="auto" w:fill="auto"/>
            <w:vAlign w:val="center"/>
          </w:tcPr>
          <w:p w14:paraId="36A41D9C">
            <w:pPr>
              <w:jc w:val="center"/>
              <w:rPr>
                <w:rFonts w:ascii="Times New Roman" w:hAnsi="Times New Roman" w:cs="Times New Roman"/>
                <w:sz w:val="21"/>
                <w:szCs w:val="21"/>
              </w:rPr>
            </w:pPr>
          </w:p>
        </w:tc>
        <w:tc>
          <w:tcPr>
            <w:tcW w:w="1003" w:type="pct"/>
            <w:shd w:val="clear" w:color="auto" w:fill="auto"/>
            <w:vAlign w:val="center"/>
          </w:tcPr>
          <w:p w14:paraId="5110C42F">
            <w:pPr>
              <w:jc w:val="center"/>
              <w:rPr>
                <w:rFonts w:ascii="Times New Roman" w:hAnsi="Times New Roman" w:cs="Times New Roman"/>
                <w:sz w:val="21"/>
                <w:szCs w:val="21"/>
              </w:rPr>
            </w:pPr>
            <w:r>
              <w:rPr>
                <w:rFonts w:ascii="Times New Roman" w:hAnsi="Times New Roman" w:cs="Times New Roman"/>
                <w:sz w:val="21"/>
                <w:szCs w:val="21"/>
              </w:rPr>
              <w:t>大货车</w:t>
            </w:r>
          </w:p>
        </w:tc>
        <w:tc>
          <w:tcPr>
            <w:tcW w:w="857" w:type="pct"/>
            <w:shd w:val="clear" w:color="auto" w:fill="auto"/>
            <w:vAlign w:val="center"/>
          </w:tcPr>
          <w:p w14:paraId="0B43291A">
            <w:pPr>
              <w:jc w:val="center"/>
              <w:rPr>
                <w:rFonts w:ascii="Times New Roman" w:hAnsi="Times New Roman" w:eastAsia="等线" w:cs="Times New Roman"/>
                <w:sz w:val="21"/>
                <w:szCs w:val="21"/>
              </w:rPr>
            </w:pPr>
            <w:r>
              <w:rPr>
                <w:rFonts w:ascii="Times New Roman" w:hAnsi="Times New Roman" w:cs="Times New Roman"/>
                <w:sz w:val="21"/>
                <w:szCs w:val="21"/>
              </w:rPr>
              <w:t xml:space="preserve">10 </w:t>
            </w:r>
          </w:p>
        </w:tc>
        <w:tc>
          <w:tcPr>
            <w:tcW w:w="857" w:type="pct"/>
            <w:shd w:val="clear" w:color="auto" w:fill="auto"/>
            <w:vAlign w:val="center"/>
          </w:tcPr>
          <w:p w14:paraId="2A8C7EBF">
            <w:pPr>
              <w:jc w:val="center"/>
              <w:rPr>
                <w:rFonts w:ascii="Times New Roman" w:hAnsi="Times New Roman" w:eastAsia="等线" w:cs="Times New Roman"/>
                <w:sz w:val="21"/>
                <w:szCs w:val="21"/>
              </w:rPr>
            </w:pPr>
            <w:r>
              <w:rPr>
                <w:rFonts w:ascii="Times New Roman" w:hAnsi="Times New Roman" w:cs="Times New Roman"/>
                <w:sz w:val="21"/>
                <w:szCs w:val="21"/>
              </w:rPr>
              <w:t xml:space="preserve">14 </w:t>
            </w:r>
          </w:p>
        </w:tc>
        <w:tc>
          <w:tcPr>
            <w:tcW w:w="855" w:type="pct"/>
            <w:shd w:val="clear" w:color="auto" w:fill="auto"/>
            <w:vAlign w:val="center"/>
          </w:tcPr>
          <w:p w14:paraId="6AE736FB">
            <w:pPr>
              <w:jc w:val="center"/>
              <w:rPr>
                <w:rFonts w:ascii="Times New Roman" w:hAnsi="Times New Roman" w:eastAsia="等线" w:cs="Times New Roman"/>
                <w:sz w:val="21"/>
                <w:szCs w:val="21"/>
              </w:rPr>
            </w:pPr>
            <w:r>
              <w:rPr>
                <w:rFonts w:ascii="Times New Roman" w:hAnsi="Times New Roman" w:cs="Times New Roman"/>
                <w:sz w:val="21"/>
                <w:szCs w:val="21"/>
              </w:rPr>
              <w:t xml:space="preserve">19 </w:t>
            </w:r>
          </w:p>
        </w:tc>
      </w:tr>
      <w:tr w14:paraId="0458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6B178370">
            <w:pPr>
              <w:jc w:val="center"/>
              <w:rPr>
                <w:rFonts w:ascii="Times New Roman" w:hAnsi="Times New Roman" w:cs="Times New Roman"/>
                <w:sz w:val="21"/>
                <w:szCs w:val="21"/>
              </w:rPr>
            </w:pPr>
          </w:p>
        </w:tc>
        <w:tc>
          <w:tcPr>
            <w:tcW w:w="617" w:type="pct"/>
            <w:vMerge w:val="continue"/>
            <w:shd w:val="clear" w:color="auto" w:fill="auto"/>
            <w:vAlign w:val="center"/>
          </w:tcPr>
          <w:p w14:paraId="001A516F">
            <w:pPr>
              <w:jc w:val="center"/>
              <w:rPr>
                <w:rFonts w:ascii="Times New Roman" w:hAnsi="Times New Roman" w:cs="Times New Roman"/>
                <w:sz w:val="21"/>
                <w:szCs w:val="21"/>
              </w:rPr>
            </w:pPr>
          </w:p>
        </w:tc>
        <w:tc>
          <w:tcPr>
            <w:tcW w:w="1003" w:type="pct"/>
            <w:shd w:val="clear" w:color="auto" w:fill="auto"/>
            <w:vAlign w:val="center"/>
          </w:tcPr>
          <w:p w14:paraId="0CB2B89D">
            <w:pPr>
              <w:jc w:val="center"/>
              <w:rPr>
                <w:rFonts w:ascii="Times New Roman" w:hAnsi="Times New Roman" w:cs="Times New Roman"/>
                <w:sz w:val="21"/>
                <w:szCs w:val="21"/>
              </w:rPr>
            </w:pPr>
            <w:r>
              <w:rPr>
                <w:rFonts w:ascii="Times New Roman" w:hAnsi="Times New Roman" w:cs="Times New Roman"/>
                <w:sz w:val="21"/>
                <w:szCs w:val="21"/>
              </w:rPr>
              <w:t>汽车列车</w:t>
            </w:r>
          </w:p>
        </w:tc>
        <w:tc>
          <w:tcPr>
            <w:tcW w:w="857" w:type="pct"/>
            <w:shd w:val="clear" w:color="auto" w:fill="auto"/>
            <w:vAlign w:val="center"/>
          </w:tcPr>
          <w:p w14:paraId="3F6115BC">
            <w:pPr>
              <w:jc w:val="center"/>
              <w:rPr>
                <w:rFonts w:ascii="Times New Roman" w:hAnsi="Times New Roman" w:eastAsia="等线" w:cs="Times New Roman"/>
                <w:sz w:val="21"/>
                <w:szCs w:val="21"/>
              </w:rPr>
            </w:pPr>
            <w:r>
              <w:rPr>
                <w:rFonts w:ascii="Times New Roman" w:hAnsi="Times New Roman" w:cs="Times New Roman"/>
                <w:sz w:val="21"/>
                <w:szCs w:val="21"/>
              </w:rPr>
              <w:t xml:space="preserve">32 </w:t>
            </w:r>
          </w:p>
        </w:tc>
        <w:tc>
          <w:tcPr>
            <w:tcW w:w="857" w:type="pct"/>
            <w:shd w:val="clear" w:color="auto" w:fill="auto"/>
            <w:vAlign w:val="center"/>
          </w:tcPr>
          <w:p w14:paraId="0A8BA615">
            <w:pPr>
              <w:jc w:val="center"/>
              <w:rPr>
                <w:rFonts w:ascii="Times New Roman" w:hAnsi="Times New Roman" w:eastAsia="等线" w:cs="Times New Roman"/>
                <w:sz w:val="21"/>
                <w:szCs w:val="21"/>
              </w:rPr>
            </w:pPr>
            <w:r>
              <w:rPr>
                <w:rFonts w:ascii="Times New Roman" w:hAnsi="Times New Roman" w:cs="Times New Roman"/>
                <w:sz w:val="21"/>
                <w:szCs w:val="21"/>
              </w:rPr>
              <w:t xml:space="preserve">44 </w:t>
            </w:r>
          </w:p>
        </w:tc>
        <w:tc>
          <w:tcPr>
            <w:tcW w:w="855" w:type="pct"/>
            <w:shd w:val="clear" w:color="auto" w:fill="auto"/>
            <w:vAlign w:val="center"/>
          </w:tcPr>
          <w:p w14:paraId="2A6F2130">
            <w:pPr>
              <w:jc w:val="center"/>
              <w:rPr>
                <w:rFonts w:ascii="Times New Roman" w:hAnsi="Times New Roman" w:eastAsia="等线" w:cs="Times New Roman"/>
                <w:sz w:val="21"/>
                <w:szCs w:val="21"/>
              </w:rPr>
            </w:pPr>
            <w:r>
              <w:rPr>
                <w:rFonts w:ascii="Times New Roman" w:hAnsi="Times New Roman" w:cs="Times New Roman"/>
                <w:sz w:val="21"/>
                <w:szCs w:val="21"/>
              </w:rPr>
              <w:t xml:space="preserve">66 </w:t>
            </w:r>
          </w:p>
        </w:tc>
      </w:tr>
      <w:tr w14:paraId="58CC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636382B5">
            <w:pPr>
              <w:jc w:val="center"/>
              <w:rPr>
                <w:rFonts w:ascii="Times New Roman" w:hAnsi="Times New Roman" w:cs="Times New Roman"/>
                <w:sz w:val="21"/>
                <w:szCs w:val="21"/>
              </w:rPr>
            </w:pPr>
          </w:p>
        </w:tc>
        <w:tc>
          <w:tcPr>
            <w:tcW w:w="1619" w:type="pct"/>
            <w:gridSpan w:val="2"/>
            <w:shd w:val="clear" w:color="auto" w:fill="auto"/>
            <w:vAlign w:val="center"/>
          </w:tcPr>
          <w:p w14:paraId="7B9A571B">
            <w:pPr>
              <w:jc w:val="center"/>
              <w:rPr>
                <w:rFonts w:ascii="Times New Roman" w:hAnsi="Times New Roman" w:cs="Times New Roman"/>
                <w:sz w:val="21"/>
                <w:szCs w:val="21"/>
              </w:rPr>
            </w:pPr>
            <w:r>
              <w:rPr>
                <w:rFonts w:ascii="Times New Roman" w:hAnsi="Times New Roman" w:cs="Times New Roman"/>
                <w:sz w:val="21"/>
                <w:szCs w:val="21"/>
              </w:rPr>
              <w:t>合计</w:t>
            </w:r>
          </w:p>
        </w:tc>
        <w:tc>
          <w:tcPr>
            <w:tcW w:w="857" w:type="pct"/>
            <w:shd w:val="clear" w:color="auto" w:fill="auto"/>
            <w:vAlign w:val="center"/>
          </w:tcPr>
          <w:p w14:paraId="6B0CA296">
            <w:pPr>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1</w:t>
            </w:r>
            <w:r>
              <w:rPr>
                <w:rFonts w:ascii="Times New Roman" w:hAnsi="Times New Roman" w:eastAsia="等线" w:cs="Times New Roman"/>
                <w:sz w:val="21"/>
                <w:szCs w:val="21"/>
              </w:rPr>
              <w:t>44</w:t>
            </w:r>
          </w:p>
        </w:tc>
        <w:tc>
          <w:tcPr>
            <w:tcW w:w="857" w:type="pct"/>
            <w:shd w:val="clear" w:color="auto" w:fill="auto"/>
            <w:vAlign w:val="center"/>
          </w:tcPr>
          <w:p w14:paraId="5EC65764">
            <w:pPr>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2</w:t>
            </w:r>
            <w:r>
              <w:rPr>
                <w:rFonts w:ascii="Times New Roman" w:hAnsi="Times New Roman" w:eastAsia="等线" w:cs="Times New Roman"/>
                <w:sz w:val="21"/>
                <w:szCs w:val="21"/>
              </w:rPr>
              <w:t>12</w:t>
            </w:r>
          </w:p>
        </w:tc>
        <w:tc>
          <w:tcPr>
            <w:tcW w:w="855" w:type="pct"/>
            <w:shd w:val="clear" w:color="auto" w:fill="auto"/>
            <w:vAlign w:val="center"/>
          </w:tcPr>
          <w:p w14:paraId="7A137DC0">
            <w:pPr>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3</w:t>
            </w:r>
            <w:r>
              <w:rPr>
                <w:rFonts w:ascii="Times New Roman" w:hAnsi="Times New Roman" w:eastAsia="等线" w:cs="Times New Roman"/>
                <w:sz w:val="21"/>
                <w:szCs w:val="21"/>
              </w:rPr>
              <w:t>16</w:t>
            </w:r>
          </w:p>
        </w:tc>
      </w:tr>
      <w:tr w14:paraId="1BD4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2DEFA46B">
            <w:pPr>
              <w:jc w:val="center"/>
              <w:rPr>
                <w:rFonts w:ascii="Times New Roman" w:hAnsi="Times New Roman" w:cs="Times New Roman"/>
                <w:sz w:val="21"/>
                <w:szCs w:val="21"/>
              </w:rPr>
            </w:pPr>
          </w:p>
        </w:tc>
        <w:tc>
          <w:tcPr>
            <w:tcW w:w="617" w:type="pct"/>
            <w:vMerge w:val="restart"/>
            <w:shd w:val="clear" w:color="auto" w:fill="auto"/>
            <w:vAlign w:val="center"/>
          </w:tcPr>
          <w:p w14:paraId="5D836B3F">
            <w:pPr>
              <w:jc w:val="center"/>
              <w:rPr>
                <w:rFonts w:ascii="Times New Roman" w:hAnsi="Times New Roman" w:cs="Times New Roman"/>
                <w:sz w:val="21"/>
                <w:szCs w:val="21"/>
              </w:rPr>
            </w:pPr>
            <w:r>
              <w:rPr>
                <w:rFonts w:ascii="Times New Roman" w:hAnsi="Times New Roman" w:cs="Times New Roman"/>
                <w:sz w:val="21"/>
                <w:szCs w:val="21"/>
              </w:rPr>
              <w:t>夜间</w:t>
            </w:r>
          </w:p>
        </w:tc>
        <w:tc>
          <w:tcPr>
            <w:tcW w:w="1003" w:type="pct"/>
            <w:shd w:val="clear" w:color="auto" w:fill="auto"/>
            <w:vAlign w:val="center"/>
          </w:tcPr>
          <w:p w14:paraId="15B62994">
            <w:pPr>
              <w:jc w:val="center"/>
              <w:rPr>
                <w:rFonts w:ascii="Times New Roman" w:hAnsi="Times New Roman" w:cs="Times New Roman"/>
                <w:sz w:val="21"/>
                <w:szCs w:val="21"/>
              </w:rPr>
            </w:pPr>
            <w:r>
              <w:rPr>
                <w:rFonts w:ascii="Times New Roman" w:hAnsi="Times New Roman" w:cs="Times New Roman"/>
                <w:sz w:val="21"/>
                <w:szCs w:val="21"/>
              </w:rPr>
              <w:t>小车</w:t>
            </w:r>
          </w:p>
        </w:tc>
        <w:tc>
          <w:tcPr>
            <w:tcW w:w="857" w:type="pct"/>
            <w:shd w:val="clear" w:color="auto" w:fill="auto"/>
            <w:vAlign w:val="center"/>
          </w:tcPr>
          <w:p w14:paraId="0865D681">
            <w:pPr>
              <w:jc w:val="center"/>
              <w:rPr>
                <w:rFonts w:ascii="Times New Roman" w:hAnsi="Times New Roman" w:eastAsia="等线" w:cs="Times New Roman"/>
                <w:sz w:val="21"/>
                <w:szCs w:val="21"/>
              </w:rPr>
            </w:pPr>
            <w:r>
              <w:rPr>
                <w:rFonts w:ascii="Times New Roman" w:hAnsi="Times New Roman" w:cs="Times New Roman"/>
                <w:sz w:val="21"/>
                <w:szCs w:val="21"/>
              </w:rPr>
              <w:t xml:space="preserve">55 </w:t>
            </w:r>
          </w:p>
        </w:tc>
        <w:tc>
          <w:tcPr>
            <w:tcW w:w="857" w:type="pct"/>
            <w:shd w:val="clear" w:color="auto" w:fill="auto"/>
            <w:vAlign w:val="center"/>
          </w:tcPr>
          <w:p w14:paraId="45E2CE22">
            <w:pPr>
              <w:jc w:val="center"/>
              <w:rPr>
                <w:rFonts w:ascii="Times New Roman" w:hAnsi="Times New Roman" w:eastAsia="等线" w:cs="Times New Roman"/>
                <w:sz w:val="21"/>
                <w:szCs w:val="21"/>
              </w:rPr>
            </w:pPr>
            <w:r>
              <w:rPr>
                <w:rFonts w:ascii="Times New Roman" w:hAnsi="Times New Roman" w:cs="Times New Roman"/>
                <w:sz w:val="21"/>
                <w:szCs w:val="21"/>
              </w:rPr>
              <w:t xml:space="preserve">83 </w:t>
            </w:r>
          </w:p>
        </w:tc>
        <w:tc>
          <w:tcPr>
            <w:tcW w:w="855" w:type="pct"/>
            <w:shd w:val="clear" w:color="auto" w:fill="auto"/>
            <w:vAlign w:val="center"/>
          </w:tcPr>
          <w:p w14:paraId="290ABBD4">
            <w:pPr>
              <w:jc w:val="center"/>
              <w:rPr>
                <w:rFonts w:ascii="Times New Roman" w:hAnsi="Times New Roman" w:eastAsia="等线" w:cs="Times New Roman"/>
                <w:sz w:val="21"/>
                <w:szCs w:val="21"/>
              </w:rPr>
            </w:pPr>
            <w:r>
              <w:rPr>
                <w:rFonts w:ascii="Times New Roman" w:hAnsi="Times New Roman" w:cs="Times New Roman"/>
                <w:sz w:val="21"/>
                <w:szCs w:val="21"/>
              </w:rPr>
              <w:t xml:space="preserve">125 </w:t>
            </w:r>
          </w:p>
        </w:tc>
      </w:tr>
      <w:tr w14:paraId="2AE4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4344A863">
            <w:pPr>
              <w:jc w:val="center"/>
              <w:rPr>
                <w:rFonts w:ascii="Times New Roman" w:hAnsi="Times New Roman" w:cs="Times New Roman"/>
                <w:sz w:val="21"/>
                <w:szCs w:val="21"/>
              </w:rPr>
            </w:pPr>
          </w:p>
        </w:tc>
        <w:tc>
          <w:tcPr>
            <w:tcW w:w="617" w:type="pct"/>
            <w:vMerge w:val="continue"/>
            <w:shd w:val="clear" w:color="auto" w:fill="auto"/>
            <w:vAlign w:val="center"/>
          </w:tcPr>
          <w:p w14:paraId="3BFCBB1A">
            <w:pPr>
              <w:jc w:val="center"/>
              <w:rPr>
                <w:rFonts w:ascii="Times New Roman" w:hAnsi="Times New Roman" w:cs="Times New Roman"/>
                <w:sz w:val="21"/>
                <w:szCs w:val="21"/>
              </w:rPr>
            </w:pPr>
          </w:p>
        </w:tc>
        <w:tc>
          <w:tcPr>
            <w:tcW w:w="1003" w:type="pct"/>
            <w:shd w:val="clear" w:color="auto" w:fill="auto"/>
            <w:vAlign w:val="center"/>
          </w:tcPr>
          <w:p w14:paraId="69A2A5D1">
            <w:pPr>
              <w:jc w:val="center"/>
              <w:rPr>
                <w:rFonts w:ascii="Times New Roman" w:hAnsi="Times New Roman" w:cs="Times New Roman"/>
                <w:sz w:val="21"/>
                <w:szCs w:val="21"/>
              </w:rPr>
            </w:pPr>
            <w:r>
              <w:rPr>
                <w:rFonts w:ascii="Times New Roman" w:hAnsi="Times New Roman" w:cs="Times New Roman"/>
                <w:sz w:val="21"/>
                <w:szCs w:val="21"/>
              </w:rPr>
              <w:t>中车</w:t>
            </w:r>
          </w:p>
        </w:tc>
        <w:tc>
          <w:tcPr>
            <w:tcW w:w="857" w:type="pct"/>
            <w:shd w:val="clear" w:color="auto" w:fill="auto"/>
            <w:vAlign w:val="center"/>
          </w:tcPr>
          <w:p w14:paraId="1FC026CF">
            <w:pPr>
              <w:jc w:val="center"/>
              <w:rPr>
                <w:rFonts w:ascii="Times New Roman" w:hAnsi="Times New Roman" w:eastAsia="等线" w:cs="Times New Roman"/>
                <w:sz w:val="21"/>
                <w:szCs w:val="21"/>
              </w:rPr>
            </w:pPr>
            <w:r>
              <w:rPr>
                <w:rFonts w:ascii="Times New Roman" w:hAnsi="Times New Roman" w:cs="Times New Roman"/>
                <w:sz w:val="21"/>
                <w:szCs w:val="21"/>
              </w:rPr>
              <w:t xml:space="preserve">7 </w:t>
            </w:r>
          </w:p>
        </w:tc>
        <w:tc>
          <w:tcPr>
            <w:tcW w:w="857" w:type="pct"/>
            <w:shd w:val="clear" w:color="auto" w:fill="auto"/>
            <w:vAlign w:val="center"/>
          </w:tcPr>
          <w:p w14:paraId="299D8B8C">
            <w:pPr>
              <w:jc w:val="center"/>
              <w:rPr>
                <w:rFonts w:ascii="Times New Roman" w:hAnsi="Times New Roman" w:eastAsia="等线" w:cs="Times New Roman"/>
                <w:sz w:val="21"/>
                <w:szCs w:val="21"/>
              </w:rPr>
            </w:pPr>
            <w:r>
              <w:rPr>
                <w:rFonts w:ascii="Times New Roman" w:hAnsi="Times New Roman" w:cs="Times New Roman"/>
                <w:sz w:val="21"/>
                <w:szCs w:val="21"/>
              </w:rPr>
              <w:t xml:space="preserve">10 </w:t>
            </w:r>
          </w:p>
        </w:tc>
        <w:tc>
          <w:tcPr>
            <w:tcW w:w="855" w:type="pct"/>
            <w:shd w:val="clear" w:color="auto" w:fill="auto"/>
            <w:vAlign w:val="center"/>
          </w:tcPr>
          <w:p w14:paraId="1BFF441E">
            <w:pPr>
              <w:jc w:val="center"/>
              <w:rPr>
                <w:rFonts w:ascii="Times New Roman" w:hAnsi="Times New Roman" w:eastAsia="等线" w:cs="Times New Roman"/>
                <w:sz w:val="21"/>
                <w:szCs w:val="21"/>
              </w:rPr>
            </w:pPr>
            <w:r>
              <w:rPr>
                <w:rFonts w:ascii="Times New Roman" w:hAnsi="Times New Roman" w:cs="Times New Roman"/>
                <w:sz w:val="21"/>
                <w:szCs w:val="21"/>
              </w:rPr>
              <w:t xml:space="preserve">15 </w:t>
            </w:r>
          </w:p>
        </w:tc>
      </w:tr>
      <w:tr w14:paraId="4F8A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2A6F6229">
            <w:pPr>
              <w:jc w:val="center"/>
              <w:rPr>
                <w:rFonts w:ascii="Times New Roman" w:hAnsi="Times New Roman" w:cs="Times New Roman"/>
                <w:sz w:val="21"/>
                <w:szCs w:val="21"/>
              </w:rPr>
            </w:pPr>
          </w:p>
        </w:tc>
        <w:tc>
          <w:tcPr>
            <w:tcW w:w="617" w:type="pct"/>
            <w:vMerge w:val="continue"/>
            <w:shd w:val="clear" w:color="auto" w:fill="auto"/>
            <w:vAlign w:val="center"/>
          </w:tcPr>
          <w:p w14:paraId="0E158BED">
            <w:pPr>
              <w:jc w:val="center"/>
              <w:rPr>
                <w:rFonts w:ascii="Times New Roman" w:hAnsi="Times New Roman" w:cs="Times New Roman"/>
                <w:sz w:val="21"/>
                <w:szCs w:val="21"/>
              </w:rPr>
            </w:pPr>
          </w:p>
        </w:tc>
        <w:tc>
          <w:tcPr>
            <w:tcW w:w="1003" w:type="pct"/>
            <w:shd w:val="clear" w:color="auto" w:fill="auto"/>
            <w:vAlign w:val="center"/>
          </w:tcPr>
          <w:p w14:paraId="6BA5AC15">
            <w:pPr>
              <w:jc w:val="center"/>
              <w:rPr>
                <w:rFonts w:ascii="Times New Roman" w:hAnsi="Times New Roman" w:cs="Times New Roman"/>
                <w:sz w:val="21"/>
                <w:szCs w:val="21"/>
              </w:rPr>
            </w:pPr>
            <w:r>
              <w:rPr>
                <w:rFonts w:ascii="Times New Roman" w:hAnsi="Times New Roman" w:cs="Times New Roman"/>
                <w:sz w:val="21"/>
                <w:szCs w:val="21"/>
              </w:rPr>
              <w:t>大货车</w:t>
            </w:r>
          </w:p>
        </w:tc>
        <w:tc>
          <w:tcPr>
            <w:tcW w:w="857" w:type="pct"/>
            <w:shd w:val="clear" w:color="auto" w:fill="auto"/>
            <w:vAlign w:val="center"/>
          </w:tcPr>
          <w:p w14:paraId="4DC7892E">
            <w:pPr>
              <w:jc w:val="center"/>
              <w:rPr>
                <w:rFonts w:ascii="Times New Roman" w:hAnsi="Times New Roman" w:eastAsia="等线" w:cs="Times New Roman"/>
                <w:sz w:val="21"/>
                <w:szCs w:val="21"/>
              </w:rPr>
            </w:pPr>
            <w:r>
              <w:rPr>
                <w:rFonts w:ascii="Times New Roman" w:hAnsi="Times New Roman" w:cs="Times New Roman"/>
                <w:sz w:val="21"/>
                <w:szCs w:val="21"/>
              </w:rPr>
              <w:t xml:space="preserve">6 </w:t>
            </w:r>
          </w:p>
        </w:tc>
        <w:tc>
          <w:tcPr>
            <w:tcW w:w="857" w:type="pct"/>
            <w:shd w:val="clear" w:color="auto" w:fill="auto"/>
            <w:vAlign w:val="center"/>
          </w:tcPr>
          <w:p w14:paraId="7AE684BF">
            <w:pPr>
              <w:jc w:val="center"/>
              <w:rPr>
                <w:rFonts w:ascii="Times New Roman" w:hAnsi="Times New Roman" w:eastAsia="等线" w:cs="Times New Roman"/>
                <w:sz w:val="21"/>
                <w:szCs w:val="21"/>
              </w:rPr>
            </w:pPr>
            <w:r>
              <w:rPr>
                <w:rFonts w:ascii="Times New Roman" w:hAnsi="Times New Roman" w:cs="Times New Roman"/>
                <w:sz w:val="21"/>
                <w:szCs w:val="21"/>
              </w:rPr>
              <w:t xml:space="preserve">8 </w:t>
            </w:r>
          </w:p>
        </w:tc>
        <w:tc>
          <w:tcPr>
            <w:tcW w:w="855" w:type="pct"/>
            <w:shd w:val="clear" w:color="auto" w:fill="auto"/>
            <w:vAlign w:val="center"/>
          </w:tcPr>
          <w:p w14:paraId="787F87D2">
            <w:pPr>
              <w:jc w:val="center"/>
              <w:rPr>
                <w:rFonts w:ascii="Times New Roman" w:hAnsi="Times New Roman" w:eastAsia="等线" w:cs="Times New Roman"/>
                <w:sz w:val="21"/>
                <w:szCs w:val="21"/>
              </w:rPr>
            </w:pPr>
            <w:r>
              <w:rPr>
                <w:rFonts w:ascii="Times New Roman" w:hAnsi="Times New Roman" w:cs="Times New Roman"/>
                <w:sz w:val="21"/>
                <w:szCs w:val="21"/>
              </w:rPr>
              <w:t xml:space="preserve">11 </w:t>
            </w:r>
          </w:p>
        </w:tc>
      </w:tr>
      <w:tr w14:paraId="16D4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1175B86B">
            <w:pPr>
              <w:jc w:val="center"/>
              <w:rPr>
                <w:rFonts w:ascii="Times New Roman" w:hAnsi="Times New Roman" w:cs="Times New Roman"/>
                <w:sz w:val="21"/>
                <w:szCs w:val="21"/>
              </w:rPr>
            </w:pPr>
          </w:p>
        </w:tc>
        <w:tc>
          <w:tcPr>
            <w:tcW w:w="617" w:type="pct"/>
            <w:vMerge w:val="continue"/>
            <w:shd w:val="clear" w:color="auto" w:fill="auto"/>
            <w:vAlign w:val="center"/>
          </w:tcPr>
          <w:p w14:paraId="6C30995D">
            <w:pPr>
              <w:jc w:val="center"/>
              <w:rPr>
                <w:rFonts w:ascii="Times New Roman" w:hAnsi="Times New Roman" w:cs="Times New Roman"/>
                <w:sz w:val="21"/>
                <w:szCs w:val="21"/>
              </w:rPr>
            </w:pPr>
          </w:p>
        </w:tc>
        <w:tc>
          <w:tcPr>
            <w:tcW w:w="1003" w:type="pct"/>
            <w:shd w:val="clear" w:color="auto" w:fill="auto"/>
            <w:vAlign w:val="center"/>
          </w:tcPr>
          <w:p w14:paraId="1F788357">
            <w:pPr>
              <w:jc w:val="center"/>
              <w:rPr>
                <w:rFonts w:ascii="Times New Roman" w:hAnsi="Times New Roman" w:cs="Times New Roman"/>
                <w:sz w:val="21"/>
                <w:szCs w:val="21"/>
              </w:rPr>
            </w:pPr>
            <w:r>
              <w:rPr>
                <w:rFonts w:ascii="Times New Roman" w:hAnsi="Times New Roman" w:cs="Times New Roman"/>
                <w:sz w:val="21"/>
                <w:szCs w:val="21"/>
              </w:rPr>
              <w:t>汽车列车</w:t>
            </w:r>
          </w:p>
        </w:tc>
        <w:tc>
          <w:tcPr>
            <w:tcW w:w="857" w:type="pct"/>
            <w:shd w:val="clear" w:color="auto" w:fill="auto"/>
            <w:vAlign w:val="center"/>
          </w:tcPr>
          <w:p w14:paraId="6D537280">
            <w:pPr>
              <w:jc w:val="center"/>
              <w:rPr>
                <w:rFonts w:ascii="Times New Roman" w:hAnsi="Times New Roman" w:eastAsia="等线" w:cs="Times New Roman"/>
                <w:sz w:val="21"/>
                <w:szCs w:val="21"/>
              </w:rPr>
            </w:pPr>
            <w:r>
              <w:rPr>
                <w:rFonts w:ascii="Times New Roman" w:hAnsi="Times New Roman" w:cs="Times New Roman"/>
                <w:sz w:val="21"/>
                <w:szCs w:val="21"/>
              </w:rPr>
              <w:t xml:space="preserve">19 </w:t>
            </w:r>
          </w:p>
        </w:tc>
        <w:tc>
          <w:tcPr>
            <w:tcW w:w="857" w:type="pct"/>
            <w:shd w:val="clear" w:color="auto" w:fill="auto"/>
            <w:vAlign w:val="center"/>
          </w:tcPr>
          <w:p w14:paraId="355C86CC">
            <w:pPr>
              <w:jc w:val="center"/>
              <w:rPr>
                <w:rFonts w:ascii="Times New Roman" w:hAnsi="Times New Roman" w:eastAsia="等线" w:cs="Times New Roman"/>
                <w:sz w:val="21"/>
                <w:szCs w:val="21"/>
              </w:rPr>
            </w:pPr>
            <w:r>
              <w:rPr>
                <w:rFonts w:ascii="Times New Roman" w:hAnsi="Times New Roman" w:cs="Times New Roman"/>
                <w:sz w:val="21"/>
                <w:szCs w:val="21"/>
              </w:rPr>
              <w:t xml:space="preserve">27 </w:t>
            </w:r>
          </w:p>
        </w:tc>
        <w:tc>
          <w:tcPr>
            <w:tcW w:w="855" w:type="pct"/>
            <w:shd w:val="clear" w:color="auto" w:fill="auto"/>
            <w:vAlign w:val="center"/>
          </w:tcPr>
          <w:p w14:paraId="39AC01F9">
            <w:pPr>
              <w:jc w:val="center"/>
              <w:rPr>
                <w:rFonts w:ascii="Times New Roman" w:hAnsi="Times New Roman" w:eastAsia="等线" w:cs="Times New Roman"/>
                <w:sz w:val="21"/>
                <w:szCs w:val="21"/>
              </w:rPr>
            </w:pPr>
            <w:r>
              <w:rPr>
                <w:rFonts w:ascii="Times New Roman" w:hAnsi="Times New Roman" w:cs="Times New Roman"/>
                <w:sz w:val="21"/>
                <w:szCs w:val="21"/>
              </w:rPr>
              <w:t xml:space="preserve">40 </w:t>
            </w:r>
          </w:p>
        </w:tc>
      </w:tr>
      <w:tr w14:paraId="41F8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7065F6A7">
            <w:pPr>
              <w:jc w:val="center"/>
              <w:rPr>
                <w:rFonts w:ascii="Times New Roman" w:hAnsi="Times New Roman" w:cs="Times New Roman"/>
                <w:sz w:val="21"/>
                <w:szCs w:val="21"/>
              </w:rPr>
            </w:pPr>
          </w:p>
        </w:tc>
        <w:tc>
          <w:tcPr>
            <w:tcW w:w="1619" w:type="pct"/>
            <w:gridSpan w:val="2"/>
            <w:shd w:val="clear" w:color="auto" w:fill="auto"/>
            <w:vAlign w:val="center"/>
          </w:tcPr>
          <w:p w14:paraId="12B45477">
            <w:pPr>
              <w:jc w:val="center"/>
              <w:rPr>
                <w:rFonts w:ascii="Times New Roman" w:hAnsi="Times New Roman" w:cs="Times New Roman"/>
                <w:sz w:val="21"/>
                <w:szCs w:val="21"/>
              </w:rPr>
            </w:pPr>
            <w:r>
              <w:rPr>
                <w:rFonts w:ascii="Times New Roman" w:hAnsi="Times New Roman" w:cs="Times New Roman"/>
                <w:sz w:val="21"/>
                <w:szCs w:val="21"/>
              </w:rPr>
              <w:t>合计</w:t>
            </w:r>
          </w:p>
        </w:tc>
        <w:tc>
          <w:tcPr>
            <w:tcW w:w="857" w:type="pct"/>
            <w:shd w:val="clear" w:color="auto" w:fill="auto"/>
            <w:vAlign w:val="center"/>
          </w:tcPr>
          <w:p w14:paraId="2B190D02">
            <w:pPr>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8</w:t>
            </w:r>
            <w:r>
              <w:rPr>
                <w:rFonts w:ascii="Times New Roman" w:hAnsi="Times New Roman" w:eastAsia="等线" w:cs="Times New Roman"/>
                <w:sz w:val="21"/>
                <w:szCs w:val="21"/>
              </w:rPr>
              <w:t>7</w:t>
            </w:r>
          </w:p>
        </w:tc>
        <w:tc>
          <w:tcPr>
            <w:tcW w:w="857" w:type="pct"/>
            <w:shd w:val="clear" w:color="auto" w:fill="auto"/>
            <w:vAlign w:val="center"/>
          </w:tcPr>
          <w:p w14:paraId="7B14CCE8">
            <w:pPr>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1</w:t>
            </w:r>
            <w:r>
              <w:rPr>
                <w:rFonts w:ascii="Times New Roman" w:hAnsi="Times New Roman" w:eastAsia="等线" w:cs="Times New Roman"/>
                <w:sz w:val="21"/>
                <w:szCs w:val="21"/>
              </w:rPr>
              <w:t>28</w:t>
            </w:r>
          </w:p>
        </w:tc>
        <w:tc>
          <w:tcPr>
            <w:tcW w:w="855" w:type="pct"/>
            <w:shd w:val="clear" w:color="auto" w:fill="auto"/>
            <w:vAlign w:val="center"/>
          </w:tcPr>
          <w:p w14:paraId="6805CF8C">
            <w:pPr>
              <w:jc w:val="center"/>
              <w:rPr>
                <w:rFonts w:ascii="Times New Roman" w:hAnsi="Times New Roman" w:eastAsia="等线" w:cs="Times New Roman"/>
                <w:sz w:val="21"/>
                <w:szCs w:val="21"/>
              </w:rPr>
            </w:pPr>
            <w:r>
              <w:rPr>
                <w:rFonts w:hint="eastAsia" w:ascii="Times New Roman" w:hAnsi="Times New Roman" w:eastAsia="等线" w:cs="Times New Roman"/>
                <w:sz w:val="21"/>
                <w:szCs w:val="21"/>
              </w:rPr>
              <w:t>1</w:t>
            </w:r>
            <w:r>
              <w:rPr>
                <w:rFonts w:ascii="Times New Roman" w:hAnsi="Times New Roman" w:eastAsia="等线" w:cs="Times New Roman"/>
                <w:sz w:val="21"/>
                <w:szCs w:val="21"/>
              </w:rPr>
              <w:t>91</w:t>
            </w:r>
          </w:p>
        </w:tc>
      </w:tr>
    </w:tbl>
    <w:p w14:paraId="678ABED0">
      <w:pPr>
        <w:pStyle w:val="4"/>
        <w:adjustRightInd w:val="0"/>
        <w:snapToGrid w:val="0"/>
        <w:spacing w:before="312" w:beforeLines="100" w:after="156" w:line="240" w:lineRule="auto"/>
        <w:rPr>
          <w:rFonts w:ascii="Times New Roman" w:hAnsi="Times New Roman" w:cs="Times New Roman"/>
          <w:sz w:val="30"/>
        </w:rPr>
      </w:pPr>
      <w:r>
        <w:rPr>
          <w:rFonts w:ascii="Times New Roman" w:hAnsi="Times New Roman" w:cs="Times New Roman"/>
          <w:sz w:val="30"/>
        </w:rPr>
        <w:t>3.1.6主要工程</w:t>
      </w:r>
      <w:bookmarkEnd w:id="309"/>
      <w:bookmarkEnd w:id="310"/>
      <w:bookmarkEnd w:id="311"/>
      <w:bookmarkEnd w:id="312"/>
      <w:bookmarkEnd w:id="313"/>
      <w:r>
        <w:rPr>
          <w:rFonts w:ascii="Times New Roman" w:hAnsi="Times New Roman" w:cs="Times New Roman"/>
          <w:sz w:val="30"/>
        </w:rPr>
        <w:t>概况</w:t>
      </w:r>
    </w:p>
    <w:p w14:paraId="50C71A16">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3.1.6.1路基工程</w:t>
      </w:r>
    </w:p>
    <w:p w14:paraId="0140A6BF">
      <w:pPr>
        <w:spacing w:line="360" w:lineRule="auto"/>
        <w:ind w:firstLine="480" w:firstLineChars="200"/>
        <w:jc w:val="both"/>
        <w:rPr>
          <w:rFonts w:ascii="Times New Roman" w:hAnsi="Times New Roman" w:cs="Times New Roman"/>
        </w:rPr>
      </w:pPr>
      <w:r>
        <w:rPr>
          <w:rFonts w:ascii="Times New Roman" w:hAnsi="Times New Roman" w:cs="Times New Roman"/>
        </w:rPr>
        <w:t>（1）路基填土高度</w:t>
      </w:r>
    </w:p>
    <w:p w14:paraId="28499E51">
      <w:pPr>
        <w:adjustRightInd w:val="0"/>
        <w:snapToGrid w:val="0"/>
        <w:spacing w:line="360" w:lineRule="auto"/>
        <w:ind w:firstLine="480" w:firstLineChars="200"/>
        <w:jc w:val="both"/>
        <w:rPr>
          <w:rFonts w:ascii="Times New Roman" w:hAnsi="Times New Roman" w:cs="Times New Roman"/>
        </w:rPr>
      </w:pPr>
      <w:r>
        <w:rPr>
          <w:rFonts w:hint="eastAsia" w:ascii="Times New Roman" w:hAnsi="Times New Roman" w:cs="Times New Roman"/>
        </w:rPr>
        <w:t>拟建项目路线基本布设于盖孜河冲积平原上，地形平坦，无较大起伏，表层覆盖粉土、粉细砂，局部路段表层为软弱土和盐渍土。软弱土和盐渍土段落为保证路基稳定，采用填方路堤通过。</w:t>
      </w:r>
    </w:p>
    <w:p w14:paraId="2B4B545B">
      <w:pPr>
        <w:adjustRightInd w:val="0"/>
        <w:snapToGrid w:val="0"/>
        <w:spacing w:line="360" w:lineRule="auto"/>
        <w:ind w:firstLine="480" w:firstLineChars="200"/>
        <w:jc w:val="both"/>
        <w:rPr>
          <w:rFonts w:ascii="Times New Roman" w:hAnsi="Times New Roman" w:cs="Times New Roman"/>
        </w:rPr>
      </w:pPr>
      <w:r>
        <w:rPr>
          <w:rFonts w:hint="eastAsia" w:ascii="Times New Roman" w:hAnsi="Times New Roman" w:cs="Times New Roman"/>
        </w:rPr>
        <w:t>本项目所在区域的季节性标准冻土深度为</w:t>
      </w:r>
      <w:r>
        <w:rPr>
          <w:rFonts w:ascii="Times New Roman" w:hAnsi="Times New Roman" w:cs="Times New Roman"/>
        </w:rPr>
        <w:t>0.6m，地下水埋深约0.5～3.0m。农田</w:t>
      </w:r>
      <w:r>
        <w:rPr>
          <w:rFonts w:hint="eastAsia" w:ascii="Times New Roman" w:hAnsi="Times New Roman" w:cs="Times New Roman"/>
        </w:rPr>
        <w:t>段宜合理降低路基填土高度，以减少占地，节约土地资源，但同时考虑到农田灌溉及盐渍土的影响，路基填方高度按</w:t>
      </w:r>
      <w:r>
        <w:rPr>
          <w:rFonts w:ascii="Times New Roman" w:hAnsi="Times New Roman" w:cs="Times New Roman"/>
        </w:rPr>
        <w:t>1.50m控制，并减少低填浅挖路基出现；公益林段地</w:t>
      </w:r>
      <w:r>
        <w:rPr>
          <w:rFonts w:hint="eastAsia" w:ascii="Times New Roman" w:hAnsi="Times New Roman" w:cs="Times New Roman"/>
        </w:rPr>
        <w:t>下水水位高，局部低洼地面有积水，路基填方高度按</w:t>
      </w:r>
      <w:r>
        <w:rPr>
          <w:rFonts w:ascii="Times New Roman" w:hAnsi="Times New Roman" w:cs="Times New Roman"/>
        </w:rPr>
        <w:t xml:space="preserve"> 1.8～2.0m控制；戈壁漫滩路段</w:t>
      </w:r>
      <w:r>
        <w:rPr>
          <w:rFonts w:hint="eastAsia" w:ascii="Times New Roman" w:hAnsi="Times New Roman" w:cs="Times New Roman"/>
        </w:rPr>
        <w:t>考虑到涵洞排水，路基填方高度按</w:t>
      </w:r>
      <w:r>
        <w:rPr>
          <w:rFonts w:ascii="Times New Roman" w:hAnsi="Times New Roman" w:cs="Times New Roman"/>
        </w:rPr>
        <w:t>1.50m～2.0m 控制；过村镇段，路基填高根据既有</w:t>
      </w:r>
      <w:r>
        <w:rPr>
          <w:rFonts w:hint="eastAsia" w:ascii="Times New Roman" w:hAnsi="Times New Roman" w:cs="Times New Roman"/>
        </w:rPr>
        <w:t>道路填高控制。</w:t>
      </w:r>
    </w:p>
    <w:p w14:paraId="03EFFE9E">
      <w:pPr>
        <w:adjustRightInd w:val="0"/>
        <w:snapToGrid w:val="0"/>
        <w:spacing w:line="360" w:lineRule="auto"/>
        <w:ind w:firstLine="480" w:firstLineChars="200"/>
        <w:jc w:val="both"/>
        <w:rPr>
          <w:rFonts w:ascii="Times New Roman" w:hAnsi="Times New Roman" w:cs="Times New Roman"/>
        </w:rPr>
      </w:pPr>
      <w:r>
        <w:rPr>
          <w:rFonts w:ascii="Times New Roman" w:hAnsi="Times New Roman" w:cs="Times New Roman"/>
        </w:rPr>
        <w:t>（2）路基横断面</w:t>
      </w:r>
    </w:p>
    <w:p w14:paraId="29079D2C">
      <w:pPr>
        <w:spacing w:line="360" w:lineRule="auto"/>
        <w:ind w:firstLine="456" w:firstLineChars="200"/>
        <w:jc w:val="both"/>
        <w:rPr>
          <w:rFonts w:ascii="Times New Roman" w:hAnsi="Times New Roman" w:cs="Times New Roman"/>
        </w:rPr>
      </w:pPr>
      <w:r>
        <w:rPr>
          <w:rFonts w:ascii="Times New Roman" w:hAnsi="Times New Roman" w:cs="Times New Roman"/>
          <w:spacing w:val="-6"/>
        </w:rPr>
        <w:t>本</w:t>
      </w:r>
      <w:r>
        <w:rPr>
          <w:rFonts w:ascii="Times New Roman" w:hAnsi="Times New Roman" w:cs="Times New Roman"/>
        </w:rPr>
        <w:t>项目</w:t>
      </w:r>
      <w:r>
        <w:rPr>
          <w:rFonts w:hint="eastAsia" w:ascii="Times New Roman" w:hAnsi="Times New Roman" w:cs="Times New Roman"/>
        </w:rPr>
        <w:t>一般路段按照设计速度为</w:t>
      </w:r>
      <w:r>
        <w:rPr>
          <w:rFonts w:ascii="Times New Roman" w:hAnsi="Times New Roman" w:cs="Times New Roman"/>
        </w:rPr>
        <w:t>80km/h的双向两车道二级公路标准实施，路基宽度12m。横断面组成布置为：路基宽度12m=0.75m</w:t>
      </w:r>
      <w:r>
        <w:rPr>
          <w:rFonts w:hint="eastAsia" w:ascii="Times New Roman" w:hAnsi="Times New Roman" w:cs="Times New Roman"/>
        </w:rPr>
        <w:t>、</w:t>
      </w:r>
      <w:r>
        <w:rPr>
          <w:rFonts w:ascii="Times New Roman" w:hAnsi="Times New Roman" w:cs="Times New Roman"/>
        </w:rPr>
        <w:t>土路肩+1.5m</w:t>
      </w:r>
      <w:r>
        <w:rPr>
          <w:rFonts w:hint="eastAsia" w:ascii="Times New Roman" w:hAnsi="Times New Roman" w:cs="Times New Roman"/>
        </w:rPr>
        <w:t>、</w:t>
      </w:r>
      <w:r>
        <w:rPr>
          <w:rFonts w:ascii="Times New Roman" w:hAnsi="Times New Roman" w:cs="Times New Roman"/>
        </w:rPr>
        <w:t>硬路肩+2×3.75</w:t>
      </w:r>
      <w:r>
        <w:rPr>
          <w:rFonts w:hint="eastAsia" w:ascii="Times New Roman" w:hAnsi="Times New Roman" w:cs="Times New Roman"/>
        </w:rPr>
        <w:t>、</w:t>
      </w:r>
      <w:r>
        <w:rPr>
          <w:rFonts w:ascii="Times New Roman" w:hAnsi="Times New Roman" w:cs="Times New Roman"/>
        </w:rPr>
        <w:t>行车道+1.5m</w:t>
      </w:r>
      <w:r>
        <w:rPr>
          <w:rFonts w:hint="eastAsia" w:ascii="Times New Roman" w:hAnsi="Times New Roman" w:cs="Times New Roman"/>
        </w:rPr>
        <w:t>、</w:t>
      </w:r>
      <w:r>
        <w:rPr>
          <w:rFonts w:ascii="Times New Roman" w:hAnsi="Times New Roman" w:cs="Times New Roman"/>
        </w:rPr>
        <w:t>硬路肩+0.75m 土路肩；局部受限路段</w:t>
      </w:r>
      <w:r>
        <w:rPr>
          <w:rFonts w:hint="eastAsia" w:ascii="Times New Roman" w:hAnsi="Times New Roman" w:cs="Times New Roman"/>
        </w:rPr>
        <w:t>（</w:t>
      </w:r>
      <w:r>
        <w:rPr>
          <w:rFonts w:ascii="Times New Roman" w:hAnsi="Times New Roman" w:cs="Times New Roman"/>
        </w:rPr>
        <w:t>K27+860.939～K28+611.981）按照设</w:t>
      </w:r>
      <w:r>
        <w:rPr>
          <w:rFonts w:hint="eastAsia" w:ascii="Times New Roman" w:hAnsi="Times New Roman" w:cs="Times New Roman"/>
        </w:rPr>
        <w:t>计速度为</w:t>
      </w:r>
      <w:r>
        <w:rPr>
          <w:rFonts w:ascii="Times New Roman" w:hAnsi="Times New Roman" w:cs="Times New Roman"/>
        </w:rPr>
        <w:t>30km/h的双向两车道三级公路标准实施，路基宽度7.5m。横断面组成布置</w:t>
      </w:r>
      <w:r>
        <w:rPr>
          <w:rFonts w:hint="eastAsia" w:ascii="Times New Roman" w:hAnsi="Times New Roman" w:cs="Times New Roman"/>
        </w:rPr>
        <w:t>为：路基宽度</w:t>
      </w:r>
      <w:r>
        <w:rPr>
          <w:rFonts w:ascii="Times New Roman" w:hAnsi="Times New Roman" w:cs="Times New Roman"/>
        </w:rPr>
        <w:t>7.5m=0.5m</w:t>
      </w:r>
      <w:r>
        <w:rPr>
          <w:rFonts w:hint="eastAsia" w:ascii="Times New Roman" w:hAnsi="Times New Roman" w:cs="Times New Roman"/>
        </w:rPr>
        <w:t>、</w:t>
      </w:r>
      <w:r>
        <w:rPr>
          <w:rFonts w:ascii="Times New Roman" w:hAnsi="Times New Roman" w:cs="Times New Roman"/>
        </w:rPr>
        <w:t>土路肩+2×3.25</w:t>
      </w:r>
      <w:r>
        <w:rPr>
          <w:rFonts w:hint="eastAsia" w:ascii="Times New Roman" w:hAnsi="Times New Roman" w:cs="Times New Roman"/>
        </w:rPr>
        <w:t>、</w:t>
      </w:r>
      <w:r>
        <w:rPr>
          <w:rFonts w:ascii="Times New Roman" w:hAnsi="Times New Roman" w:cs="Times New Roman"/>
        </w:rPr>
        <w:t>行车道+0.5m 土路肩。路基标准横断面图见图3.1-3</w:t>
      </w:r>
      <w:r>
        <w:rPr>
          <w:rFonts w:hint="eastAsia" w:ascii="Times New Roman" w:hAnsi="Times New Roman" w:cs="Times New Roman"/>
        </w:rPr>
        <w:t>、图3</w:t>
      </w:r>
      <w:r>
        <w:rPr>
          <w:rFonts w:ascii="Times New Roman" w:hAnsi="Times New Roman" w:cs="Times New Roman"/>
        </w:rPr>
        <w:t>.1-4。</w:t>
      </w:r>
    </w:p>
    <w:p w14:paraId="242571CC">
      <w:pPr>
        <w:adjustRightInd w:val="0"/>
        <w:snapToGrid w:val="0"/>
        <w:spacing w:before="156" w:beforeLines="50" w:line="360" w:lineRule="auto"/>
        <w:jc w:val="center"/>
        <w:rPr>
          <w:rFonts w:ascii="Times New Roman" w:hAnsi="Times New Roman" w:cs="Times New Roman"/>
          <w:snapToGrid w:val="0"/>
        </w:rPr>
      </w:pPr>
      <w:r>
        <w:rPr>
          <w:rFonts w:ascii="Times New Roman" w:hAnsi="Times New Roman" w:cs="Times New Roman"/>
          <w:snapToGrid w:val="0"/>
        </w:rPr>
        <w:drawing>
          <wp:inline distT="0" distB="0" distL="0" distR="0">
            <wp:extent cx="4888230" cy="2625090"/>
            <wp:effectExtent l="0" t="0" r="7620" b="3810"/>
            <wp:docPr id="5" name="图片 5" descr="C:\Users\pc\Desktop\QQ截图2024101121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pc\Desktop\QQ截图202410112136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95007" cy="2628451"/>
                    </a:xfrm>
                    <a:prstGeom prst="rect">
                      <a:avLst/>
                    </a:prstGeom>
                    <a:noFill/>
                    <a:ln>
                      <a:noFill/>
                    </a:ln>
                  </pic:spPr>
                </pic:pic>
              </a:graphicData>
            </a:graphic>
          </wp:inline>
        </w:drawing>
      </w:r>
    </w:p>
    <w:p w14:paraId="4B8B61E8">
      <w:pPr>
        <w:adjustRightInd w:val="0"/>
        <w:snapToGrid w:val="0"/>
        <w:spacing w:line="360" w:lineRule="auto"/>
        <w:jc w:val="center"/>
        <w:rPr>
          <w:rFonts w:ascii="Times New Roman" w:hAnsi="Times New Roman" w:cs="Times New Roman"/>
          <w:b/>
        </w:rPr>
      </w:pPr>
      <w:r>
        <w:rPr>
          <w:rFonts w:ascii="Times New Roman" w:hAnsi="Times New Roman" w:cs="Times New Roman"/>
          <w:b/>
        </w:rPr>
        <w:t>图3.1-3  12m路基标准横断面布置图</w:t>
      </w:r>
    </w:p>
    <w:p w14:paraId="3D37EBB8">
      <w:pPr>
        <w:adjustRightInd w:val="0"/>
        <w:snapToGrid w:val="0"/>
        <w:spacing w:line="360" w:lineRule="auto"/>
        <w:ind w:firstLine="1928" w:firstLineChars="800"/>
        <w:rPr>
          <w:rFonts w:ascii="Times New Roman" w:hAnsi="Times New Roman" w:cs="Times New Roman"/>
          <w:b/>
        </w:rPr>
      </w:pPr>
      <w:r>
        <w:rPr>
          <w:rFonts w:ascii="Times New Roman" w:hAnsi="Times New Roman" w:cs="Times New Roman"/>
          <w:b/>
        </w:rPr>
        <w:drawing>
          <wp:inline distT="0" distB="0" distL="0" distR="0">
            <wp:extent cx="4164965" cy="2400300"/>
            <wp:effectExtent l="0" t="0" r="6985" b="0"/>
            <wp:docPr id="8" name="图片 8" descr="C:\Users\pc\Desktop\QQ截图20241011213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pc\Desktop\QQ截图202410112137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84188" cy="2411336"/>
                    </a:xfrm>
                    <a:prstGeom prst="rect">
                      <a:avLst/>
                    </a:prstGeom>
                    <a:noFill/>
                    <a:ln>
                      <a:noFill/>
                    </a:ln>
                  </pic:spPr>
                </pic:pic>
              </a:graphicData>
            </a:graphic>
          </wp:inline>
        </w:drawing>
      </w:r>
    </w:p>
    <w:p w14:paraId="255AB954">
      <w:pPr>
        <w:adjustRightInd w:val="0"/>
        <w:snapToGrid w:val="0"/>
        <w:spacing w:line="360" w:lineRule="auto"/>
        <w:jc w:val="center"/>
        <w:rPr>
          <w:rFonts w:ascii="Times New Roman" w:hAnsi="Times New Roman" w:cs="Times New Roman"/>
          <w:b/>
        </w:rPr>
      </w:pPr>
      <w:r>
        <w:rPr>
          <w:rFonts w:ascii="Times New Roman" w:hAnsi="Times New Roman" w:cs="Times New Roman"/>
          <w:b/>
        </w:rPr>
        <w:t>图3.1-4  7.5m路基标准横断面布置图</w:t>
      </w:r>
    </w:p>
    <w:p w14:paraId="248489EF">
      <w:pPr>
        <w:pStyle w:val="6"/>
        <w:kinsoku w:val="0"/>
        <w:overflowPunct w:val="0"/>
        <w:spacing w:after="0" w:line="360" w:lineRule="auto"/>
        <w:ind w:firstLine="456" w:firstLineChars="200"/>
        <w:jc w:val="both"/>
        <w:rPr>
          <w:rFonts w:ascii="Times New Roman" w:hAnsi="Times New Roman" w:cs="Times New Roman"/>
          <w:spacing w:val="-6"/>
        </w:rPr>
      </w:pPr>
      <w:r>
        <w:rPr>
          <w:rFonts w:hint="eastAsia" w:ascii="Times New Roman" w:hAnsi="Times New Roman" w:cs="Times New Roman"/>
          <w:spacing w:val="-6"/>
        </w:rPr>
        <w:t>（3）</w:t>
      </w:r>
      <w:r>
        <w:rPr>
          <w:rFonts w:ascii="Times New Roman" w:hAnsi="Times New Roman" w:cs="Times New Roman"/>
          <w:spacing w:val="-6"/>
        </w:rPr>
        <w:t>路拱横坡</w:t>
      </w:r>
    </w:p>
    <w:p w14:paraId="0BAC5511">
      <w:pPr>
        <w:pStyle w:val="6"/>
        <w:kinsoku w:val="0"/>
        <w:overflowPunct w:val="0"/>
        <w:spacing w:after="0" w:line="360" w:lineRule="auto"/>
        <w:ind w:firstLine="456" w:firstLineChars="200"/>
        <w:jc w:val="both"/>
        <w:rPr>
          <w:rFonts w:ascii="Times New Roman" w:hAnsi="Times New Roman" w:cs="Times New Roman"/>
        </w:rPr>
      </w:pPr>
      <w:r>
        <w:rPr>
          <w:rFonts w:ascii="Times New Roman" w:hAnsi="Times New Roman" w:cs="Times New Roman"/>
          <w:spacing w:val="-6"/>
        </w:rPr>
        <w:t>一般公路的路拱横坡根据路面类型和当地自然条件确定，结合项目所在地自</w:t>
      </w:r>
      <w:r>
        <w:rPr>
          <w:rFonts w:ascii="Times New Roman" w:hAnsi="Times New Roman" w:cs="Times New Roman"/>
          <w:spacing w:val="-1"/>
        </w:rPr>
        <w:t>然条件，本项目路拱横坡行车道和硬路肩采用</w:t>
      </w:r>
      <w:r>
        <w:rPr>
          <w:rFonts w:ascii="Times New Roman" w:hAnsi="Times New Roman" w:cs="Times New Roman"/>
        </w:rPr>
        <w:t>1.5%，</w:t>
      </w:r>
      <w:r>
        <w:rPr>
          <w:rFonts w:ascii="Times New Roman" w:hAnsi="Times New Roman" w:cs="Times New Roman"/>
          <w:spacing w:val="-4"/>
        </w:rPr>
        <w:t>土路肩采用</w:t>
      </w:r>
      <w:r>
        <w:rPr>
          <w:rFonts w:ascii="Times New Roman" w:hAnsi="Times New Roman" w:cs="Times New Roman"/>
        </w:rPr>
        <w:t>3%。</w:t>
      </w:r>
    </w:p>
    <w:p w14:paraId="6D482C57">
      <w:pPr>
        <w:pStyle w:val="6"/>
        <w:kinsoku w:val="0"/>
        <w:overflowPunct w:val="0"/>
        <w:spacing w:after="0" w:line="360" w:lineRule="auto"/>
        <w:ind w:firstLine="476" w:firstLineChars="200"/>
        <w:jc w:val="both"/>
        <w:rPr>
          <w:rFonts w:ascii="Times New Roman" w:hAnsi="Times New Roman" w:cs="Times New Roman"/>
          <w:spacing w:val="-1"/>
        </w:rPr>
      </w:pPr>
      <w:r>
        <w:rPr>
          <w:rFonts w:hint="eastAsia" w:ascii="Times New Roman" w:hAnsi="Times New Roman" w:cs="Times New Roman"/>
          <w:spacing w:val="-1"/>
        </w:rPr>
        <w:t>（4）</w:t>
      </w:r>
      <w:r>
        <w:rPr>
          <w:rFonts w:ascii="Times New Roman" w:hAnsi="Times New Roman" w:cs="Times New Roman"/>
          <w:spacing w:val="-1"/>
        </w:rPr>
        <w:t>用地界限</w:t>
      </w:r>
    </w:p>
    <w:p w14:paraId="04D9E42B">
      <w:pPr>
        <w:pStyle w:val="6"/>
        <w:kinsoku w:val="0"/>
        <w:overflowPunct w:val="0"/>
        <w:spacing w:line="360" w:lineRule="auto"/>
        <w:ind w:firstLine="476" w:firstLineChars="200"/>
        <w:jc w:val="both"/>
        <w:rPr>
          <w:rFonts w:ascii="Times New Roman" w:hAnsi="Times New Roman" w:cs="Times New Roman"/>
        </w:rPr>
      </w:pPr>
      <w:r>
        <w:rPr>
          <w:rFonts w:hint="eastAsia" w:ascii="Times New Roman" w:hAnsi="Times New Roman" w:cs="Times New Roman"/>
          <w:spacing w:val="-1"/>
        </w:rPr>
        <w:t>本项目局部路段经过农田区、城镇区，因土地资源宝贵，为节约用地，对于填方路基用地范围为坡脚外侧</w:t>
      </w:r>
      <w:r>
        <w:rPr>
          <w:rFonts w:ascii="Times New Roman" w:hAnsi="Times New Roman" w:cs="Times New Roman"/>
          <w:spacing w:val="-1"/>
        </w:rPr>
        <w:t>1m，当设置排水沟时，为排水沟外侧1m；挖方路基用地范</w:t>
      </w:r>
      <w:r>
        <w:rPr>
          <w:rFonts w:hint="eastAsia" w:ascii="Times New Roman" w:hAnsi="Times New Roman" w:cs="Times New Roman"/>
          <w:spacing w:val="-1"/>
        </w:rPr>
        <w:t>围为坡顶外侧</w:t>
      </w:r>
      <w:r>
        <w:rPr>
          <w:rFonts w:ascii="Times New Roman" w:hAnsi="Times New Roman" w:cs="Times New Roman"/>
          <w:spacing w:val="-1"/>
        </w:rPr>
        <w:t>1m；桥梁按照上部构造水平投影以内的土地为公路用地范围。</w:t>
      </w:r>
    </w:p>
    <w:p w14:paraId="36130217">
      <w:pPr>
        <w:pStyle w:val="6"/>
        <w:kinsoku w:val="0"/>
        <w:overflowPunct w:val="0"/>
        <w:spacing w:after="0" w:line="360" w:lineRule="auto"/>
        <w:ind w:firstLine="480" w:firstLineChars="200"/>
        <w:jc w:val="both"/>
        <w:rPr>
          <w:rFonts w:ascii="Times New Roman" w:hAnsi="Times New Roman" w:cs="Times New Roman"/>
        </w:rPr>
      </w:pPr>
      <w:r>
        <w:rPr>
          <w:rFonts w:ascii="Times New Roman" w:hAnsi="Times New Roman" w:cs="Times New Roman"/>
        </w:rPr>
        <w:t>（5）路基边坡坡率</w:t>
      </w:r>
    </w:p>
    <w:p w14:paraId="1243F63D">
      <w:pPr>
        <w:spacing w:line="360" w:lineRule="auto"/>
        <w:ind w:firstLine="480" w:firstLineChars="200"/>
        <w:jc w:val="both"/>
        <w:rPr>
          <w:rFonts w:ascii="Times New Roman" w:hAnsi="Times New Roman" w:cs="Times New Roman"/>
        </w:rPr>
      </w:pPr>
      <w:r>
        <w:rPr>
          <w:rFonts w:ascii="Times New Roman" w:hAnsi="Times New Roman" w:cs="Times New Roman"/>
        </w:rPr>
        <w:t>路堤边坡形式和坡率，根据填料的物理力学性质、边坡高度和工程地质条件及自然气候条件确定；路基边坡坡率设计充分考虑自然地形，将路基边坡与地表坡度自然结合，浑然一体。该公路部分路段位于平原荒漠区，部分路段位于荒漠及固定、半固定沙丘中。</w:t>
      </w:r>
      <w:r>
        <w:rPr>
          <w:rFonts w:hint="eastAsia" w:ascii="Times New Roman" w:hAnsi="Times New Roman" w:cs="Times New Roman"/>
        </w:rPr>
        <w:t>本项目一般路段路基填方边坡采用</w:t>
      </w:r>
      <w:r>
        <w:rPr>
          <w:rFonts w:ascii="Times New Roman" w:hAnsi="Times New Roman" w:cs="Times New Roman"/>
        </w:rPr>
        <w:t>1:1.5，一般路段路堑边坡</w:t>
      </w:r>
      <w:r>
        <w:rPr>
          <w:rFonts w:hint="eastAsia" w:ascii="Times New Roman" w:hAnsi="Times New Roman" w:cs="Times New Roman"/>
        </w:rPr>
        <w:t>坡率采用</w:t>
      </w:r>
      <w:r>
        <w:rPr>
          <w:rFonts w:ascii="Times New Roman" w:hAnsi="Times New Roman" w:cs="Times New Roman"/>
        </w:rPr>
        <w:t>1:1。</w:t>
      </w:r>
    </w:p>
    <w:p w14:paraId="544A3962">
      <w:pPr>
        <w:spacing w:line="360" w:lineRule="auto"/>
        <w:ind w:firstLine="480" w:firstLineChars="20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6</w:t>
      </w:r>
      <w:r>
        <w:rPr>
          <w:rFonts w:hint="eastAsia" w:ascii="Times New Roman" w:hAnsi="Times New Roman" w:cs="Times New Roman"/>
        </w:rPr>
        <w:t>）</w:t>
      </w:r>
      <w:r>
        <w:rPr>
          <w:rFonts w:ascii="Times New Roman" w:hAnsi="Times New Roman" w:cs="Times New Roman"/>
        </w:rPr>
        <w:t>路桥（涵）过渡路基设计</w:t>
      </w:r>
    </w:p>
    <w:p w14:paraId="3E88396C">
      <w:pPr>
        <w:spacing w:line="360" w:lineRule="auto"/>
        <w:ind w:firstLine="480" w:firstLineChars="200"/>
        <w:jc w:val="both"/>
        <w:rPr>
          <w:rFonts w:ascii="Times New Roman" w:hAnsi="Times New Roman" w:cs="Times New Roman"/>
        </w:rPr>
      </w:pPr>
      <w:r>
        <w:rPr>
          <w:rFonts w:hint="eastAsia" w:ascii="Times New Roman" w:hAnsi="Times New Roman" w:cs="Times New Roman"/>
        </w:rPr>
        <w:t>为减少路基在构造物两侧产生不均匀沉降，减轻桥头跳车现象，提高公路车辆行驶的舒适性，对结构物两侧路基填筑设置过渡段。桥台及眀涵台背设置水稳砂砾过渡层，桥涵台背路基与锥坡采用粒径小于</w:t>
      </w:r>
      <w:r>
        <w:rPr>
          <w:rFonts w:ascii="Times New Roman" w:hAnsi="Times New Roman" w:cs="Times New Roman"/>
        </w:rPr>
        <w:t>10cm的砾类土填筑，水稳砂砾层以下80cm</w:t>
      </w:r>
      <w:r>
        <w:rPr>
          <w:rFonts w:hint="eastAsia" w:ascii="Times New Roman" w:hAnsi="Times New Roman" w:cs="Times New Roman"/>
        </w:rPr>
        <w:t>范围内压实度不应低于</w:t>
      </w:r>
      <w:r>
        <w:rPr>
          <w:rFonts w:ascii="Times New Roman" w:hAnsi="Times New Roman" w:cs="Times New Roman"/>
        </w:rPr>
        <w:t>97%，其余部位路基压实度不应低于96%。</w:t>
      </w:r>
    </w:p>
    <w:p w14:paraId="0B0FAF64">
      <w:pPr>
        <w:spacing w:line="360" w:lineRule="auto"/>
        <w:ind w:firstLine="480" w:firstLineChars="200"/>
        <w:jc w:val="both"/>
        <w:rPr>
          <w:rFonts w:ascii="Times New Roman" w:hAnsi="Times New Roman" w:cs="Times New Roman"/>
        </w:rPr>
      </w:pPr>
      <w:r>
        <w:rPr>
          <w:rFonts w:ascii="Times New Roman" w:hAnsi="Times New Roman" w:cs="Times New Roman"/>
        </w:rPr>
        <w:t>（7）特殊路基处理</w:t>
      </w:r>
    </w:p>
    <w:p w14:paraId="73C849EB">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1 \* GB3 </w:instrText>
      </w:r>
      <w:r>
        <w:rPr>
          <w:rFonts w:ascii="Times New Roman" w:hAnsi="Times New Roman" w:cs="Times New Roman"/>
        </w:rPr>
        <w:fldChar w:fldCharType="separate"/>
      </w:r>
      <w:r>
        <w:rPr>
          <w:rFonts w:hint="eastAsia"/>
        </w:rPr>
        <w:t>①</w:t>
      </w:r>
      <w:r>
        <w:rPr>
          <w:rFonts w:ascii="Times New Roman" w:hAnsi="Times New Roman" w:cs="Times New Roman"/>
        </w:rPr>
        <w:fldChar w:fldCharType="end"/>
      </w:r>
      <w:r>
        <w:rPr>
          <w:rFonts w:ascii="Times New Roman" w:hAnsi="Times New Roman" w:cs="Times New Roman"/>
        </w:rPr>
        <w:t>盐渍土路基处理</w:t>
      </w:r>
    </w:p>
    <w:p w14:paraId="65C8BE38">
      <w:pPr>
        <w:spacing w:line="360" w:lineRule="auto"/>
        <w:ind w:firstLine="480" w:firstLineChars="200"/>
        <w:jc w:val="both"/>
        <w:rPr>
          <w:rFonts w:ascii="Times New Roman" w:hAnsi="Times New Roman" w:cs="Times New Roman"/>
        </w:rPr>
      </w:pPr>
      <w:r>
        <w:rPr>
          <w:rFonts w:ascii="Times New Roman" w:hAnsi="Times New Roman" w:cs="Times New Roman"/>
        </w:rPr>
        <w:t>路基主要采用路堤形式，减少盐渍土对路基的影响</w:t>
      </w:r>
      <w:r>
        <w:rPr>
          <w:rFonts w:hint="eastAsia" w:ascii="Times New Roman" w:hAnsi="Times New Roman" w:cs="Times New Roman"/>
        </w:rPr>
        <w:t>；</w:t>
      </w:r>
      <w:r>
        <w:rPr>
          <w:rFonts w:ascii="Times New Roman" w:hAnsi="Times New Roman" w:cs="Times New Roman"/>
        </w:rPr>
        <w:t>地基盐胀率和溶陷量符合规范要求的盐渍土路段，对盐渍土地基表层聚集的</w:t>
      </w:r>
      <w:r>
        <w:rPr>
          <w:rFonts w:hint="eastAsia" w:ascii="Times New Roman" w:hAnsi="Times New Roman" w:cs="Times New Roman"/>
        </w:rPr>
        <w:t>盐霜、盐壳等进行清除表土处理，厚度为</w:t>
      </w:r>
      <w:r>
        <w:rPr>
          <w:rFonts w:ascii="Times New Roman" w:hAnsi="Times New Roman" w:cs="Times New Roman"/>
        </w:rPr>
        <w:t>30cm～50cm</w:t>
      </w:r>
      <w:r>
        <w:rPr>
          <w:rFonts w:hint="eastAsia" w:ascii="Times New Roman" w:hAnsi="Times New Roman" w:cs="Times New Roman"/>
        </w:rPr>
        <w:t>；</w:t>
      </w:r>
      <w:r>
        <w:rPr>
          <w:rFonts w:ascii="Times New Roman" w:hAnsi="Times New Roman" w:cs="Times New Roman"/>
        </w:rPr>
        <w:t>路基填料严格控制易溶盐含量，使之满足《公路路基设计规范》及《新疆盐</w:t>
      </w:r>
      <w:r>
        <w:rPr>
          <w:rFonts w:hint="eastAsia" w:ascii="Times New Roman" w:hAnsi="Times New Roman" w:cs="Times New Roman"/>
        </w:rPr>
        <w:t>渍土地区公路路基路面设计与施工规范》要求。从经济角度考虑，并结合项目区地貌特点，尽量利用砾类土作为路基填料；</w:t>
      </w:r>
      <w:r>
        <w:rPr>
          <w:rFonts w:ascii="Times New Roman" w:hAnsi="Times New Roman" w:cs="Times New Roman"/>
        </w:rPr>
        <w:t>盐渍土区路基填筑高度应根据填料类型确定，对局部路堑或零填挖的盐渍土</w:t>
      </w:r>
      <w:r>
        <w:rPr>
          <w:rFonts w:hint="eastAsia" w:ascii="Times New Roman" w:hAnsi="Times New Roman" w:cs="Times New Roman"/>
        </w:rPr>
        <w:t>路段，采取挖除换填措施，换填非盐渍土，并设置复合土工布隔断层，阻断毛细水，防止路堤再盐渍化，复合土工布隔断层应高出边沟流水位、地面或地表洪水</w:t>
      </w:r>
      <w:r>
        <w:rPr>
          <w:rFonts w:ascii="Times New Roman" w:hAnsi="Times New Roman" w:cs="Times New Roman"/>
        </w:rPr>
        <w:t>20cm。</w:t>
      </w:r>
    </w:p>
    <w:p w14:paraId="6136624D">
      <w:pPr>
        <w:spacing w:line="360" w:lineRule="auto"/>
        <w:ind w:firstLine="480" w:firstLineChars="200"/>
        <w:jc w:val="both"/>
        <w:rPr>
          <w:rFonts w:ascii="Times New Roman" w:hAnsi="Times New Roman" w:cs="Times New Roman"/>
        </w:rPr>
      </w:pPr>
      <w:r>
        <w:rPr>
          <w:rFonts w:ascii="Times New Roman" w:hAnsi="Times New Roman" w:cs="Times New Roman"/>
        </w:rPr>
        <w:t>对于弱盐渍土路段，当路基填高较高时，由于路基填料符合规定要求，无需</w:t>
      </w:r>
      <w:r>
        <w:rPr>
          <w:rFonts w:hint="eastAsia" w:ascii="Times New Roman" w:hAnsi="Times New Roman" w:cs="Times New Roman"/>
        </w:rPr>
        <w:t>设置隔断层；</w:t>
      </w:r>
      <w:r>
        <w:rPr>
          <w:rFonts w:ascii="Times New Roman" w:hAnsi="Times New Roman" w:cs="Times New Roman"/>
        </w:rPr>
        <w:t>在地下水位高，地表土质盐渍化程度较强的路段，不宜设边沟；在长期浸水</w:t>
      </w:r>
      <w:r>
        <w:rPr>
          <w:rFonts w:hint="eastAsia" w:ascii="Times New Roman" w:hAnsi="Times New Roman" w:cs="Times New Roman"/>
        </w:rPr>
        <w:t>或湿盐渍土地段，采用有护坡道的断面形式。</w:t>
      </w:r>
    </w:p>
    <w:p w14:paraId="7E661CC1">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2 \* GB3 </w:instrText>
      </w:r>
      <w:r>
        <w:rPr>
          <w:rFonts w:ascii="Times New Roman" w:hAnsi="Times New Roman" w:cs="Times New Roman"/>
        </w:rPr>
        <w:fldChar w:fldCharType="separate"/>
      </w:r>
      <w:r>
        <w:rPr>
          <w:rFonts w:hint="eastAsia"/>
        </w:rPr>
        <w:t>②</w:t>
      </w:r>
      <w:r>
        <w:rPr>
          <w:rFonts w:ascii="Times New Roman" w:hAnsi="Times New Roman" w:cs="Times New Roman"/>
        </w:rPr>
        <w:fldChar w:fldCharType="end"/>
      </w:r>
      <w:r>
        <w:rPr>
          <w:rFonts w:hint="eastAsia" w:ascii="Times New Roman" w:hAnsi="Times New Roman" w:cs="Times New Roman"/>
        </w:rPr>
        <w:t>软弱土</w:t>
      </w:r>
      <w:r>
        <w:rPr>
          <w:rFonts w:ascii="Times New Roman" w:hAnsi="Times New Roman" w:cs="Times New Roman"/>
        </w:rPr>
        <w:t>路基处理</w:t>
      </w:r>
    </w:p>
    <w:p w14:paraId="2E6A10D3">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本项目所经区域存在软弱土，主要分布沿旧渠附近，地基土多为饱和粉细砂和饱和粉土，呈松散状，地下水位较高，局部出露地表，承载力较低。根据地勘资料，项目区软弱土处理段落全长</w:t>
      </w:r>
      <w:r>
        <w:rPr>
          <w:rFonts w:ascii="Times New Roman" w:hAnsi="Times New Roman" w:cs="Times New Roman"/>
        </w:rPr>
        <w:t>6.790km，其中路基掉入排碱渠1.735km 软土段落采用砾石</w:t>
      </w:r>
      <w:r>
        <w:rPr>
          <w:rFonts w:hint="eastAsia" w:ascii="Times New Roman" w:hAnsi="Times New Roman" w:cs="Times New Roman"/>
        </w:rPr>
        <w:t>桩处置，其余路段采用换填处理。</w:t>
      </w:r>
    </w:p>
    <w:p w14:paraId="36143A1B">
      <w:pPr>
        <w:spacing w:line="360" w:lineRule="auto"/>
        <w:ind w:firstLine="480" w:firstLineChars="200"/>
        <w:jc w:val="both"/>
        <w:rPr>
          <w:rFonts w:ascii="Times New Roman" w:hAnsi="Times New Roman" w:cs="Times New Roman"/>
        </w:rPr>
      </w:pPr>
      <w:r>
        <w:rPr>
          <w:rFonts w:hint="eastAsia" w:ascii="Times New Roman" w:hAnsi="Times New Roman" w:cs="Times New Roman"/>
        </w:rPr>
        <w:t>砾石桩在路堤两侧超宽</w:t>
      </w:r>
      <w:r>
        <w:rPr>
          <w:rFonts w:ascii="Times New Roman" w:hAnsi="Times New Roman" w:cs="Times New Roman"/>
        </w:rPr>
        <w:t>2m范围布设，桩径D=50cm，采用梅花桩布置，桩间距1.5m。桩顶设置50cm砂砾垫层。</w:t>
      </w:r>
    </w:p>
    <w:p w14:paraId="4105F447">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3 \* GB3 </w:instrText>
      </w:r>
      <w:r>
        <w:rPr>
          <w:rFonts w:ascii="Times New Roman" w:hAnsi="Times New Roman" w:cs="Times New Roman"/>
        </w:rPr>
        <w:fldChar w:fldCharType="separate"/>
      </w:r>
      <w:r>
        <w:rPr>
          <w:rFonts w:hint="eastAsia"/>
        </w:rPr>
        <w:t>③</w:t>
      </w:r>
      <w:r>
        <w:rPr>
          <w:rFonts w:ascii="Times New Roman" w:hAnsi="Times New Roman" w:cs="Times New Roman"/>
        </w:rPr>
        <w:fldChar w:fldCharType="end"/>
      </w:r>
      <w:r>
        <w:rPr>
          <w:rFonts w:hint="eastAsia" w:ascii="Times New Roman" w:hAnsi="Times New Roman" w:cs="Times New Roman"/>
        </w:rPr>
        <w:t>季节性冻土</w:t>
      </w:r>
      <w:r>
        <w:rPr>
          <w:rFonts w:ascii="Times New Roman" w:hAnsi="Times New Roman" w:cs="Times New Roman"/>
        </w:rPr>
        <w:t>路基处理</w:t>
      </w:r>
    </w:p>
    <w:p w14:paraId="1C7912CC">
      <w:pPr>
        <w:spacing w:line="360" w:lineRule="auto"/>
        <w:ind w:firstLine="480" w:firstLineChars="200"/>
        <w:jc w:val="both"/>
        <w:rPr>
          <w:rFonts w:ascii="Times New Roman" w:hAnsi="Times New Roman" w:cs="Times New Roman"/>
        </w:rPr>
      </w:pPr>
      <w:r>
        <w:rPr>
          <w:rFonts w:hint="eastAsia" w:ascii="Times New Roman" w:hAnsi="Times New Roman" w:cs="Times New Roman"/>
        </w:rPr>
        <w:t>采用带有天然级配的砾类土填筑路基，并对地表进行清表换填，尽可能阻断细颗粒土的毛细管作用，减少冻胀对本项目的破坏。</w:t>
      </w:r>
    </w:p>
    <w:p w14:paraId="6BD2EF21">
      <w:pPr>
        <w:spacing w:line="360" w:lineRule="auto"/>
        <w:ind w:firstLine="480" w:firstLineChars="200"/>
        <w:jc w:val="both"/>
        <w:rPr>
          <w:rFonts w:ascii="Times New Roman" w:hAnsi="Times New Roman" w:cs="Times New Roman"/>
        </w:rPr>
      </w:pPr>
      <w:r>
        <w:rPr>
          <w:rFonts w:ascii="Times New Roman" w:hAnsi="Times New Roman" w:cs="Times New Roman"/>
        </w:rPr>
        <w:t>（8）路基防护工程</w:t>
      </w:r>
    </w:p>
    <w:p w14:paraId="162CA8B9">
      <w:pPr>
        <w:spacing w:line="360" w:lineRule="auto"/>
        <w:ind w:firstLine="480" w:firstLineChars="200"/>
        <w:jc w:val="both"/>
        <w:rPr>
          <w:rFonts w:ascii="Times New Roman" w:hAnsi="Times New Roman" w:cs="Times New Roman"/>
        </w:rPr>
      </w:pPr>
      <w:r>
        <w:rPr>
          <w:rFonts w:hint="eastAsia" w:ascii="Times New Roman" w:hAnsi="Times New Roman" w:cs="Times New Roman"/>
        </w:rPr>
        <w:t>对路基填方、挖方大于等于</w:t>
      </w:r>
      <w:r>
        <w:rPr>
          <w:rFonts w:ascii="Times New Roman" w:hAnsi="Times New Roman" w:cs="Times New Roman"/>
        </w:rPr>
        <w:t>4m的路段设置方格网护坡。过水桥桥头两侧</w:t>
      </w:r>
      <w:r>
        <w:rPr>
          <w:rFonts w:hint="eastAsia" w:ascii="Times New Roman" w:hAnsi="Times New Roman" w:cs="Times New Roman"/>
        </w:rPr>
        <w:t>及易积水路段设置现浇混凝土护坡。对于路基两侧用地受限，需收缩边坡的路段，采用俯斜式路肩墙。盖孜河及其岸线附近，地势较平坦、径流发育、分散，通过截水坝，可将分散水流在到达路基前就进行疏导归并，集中通过桥涵，减少构造物设置数量。</w:t>
      </w:r>
    </w:p>
    <w:p w14:paraId="4A516BB1">
      <w:pPr>
        <w:spacing w:line="360" w:lineRule="auto"/>
        <w:ind w:firstLine="480" w:firstLineChars="200"/>
        <w:jc w:val="both"/>
        <w:rPr>
          <w:rFonts w:ascii="Times New Roman" w:hAnsi="Times New Roman" w:cs="Times New Roman"/>
        </w:rPr>
      </w:pPr>
      <w:r>
        <w:rPr>
          <w:rFonts w:hint="eastAsia" w:ascii="Times New Roman" w:hAnsi="Times New Roman" w:cs="Times New Roman"/>
        </w:rPr>
        <w:t>一般路段截水坝顶面宽</w:t>
      </w:r>
      <w:r>
        <w:rPr>
          <w:rFonts w:ascii="Times New Roman" w:hAnsi="Times New Roman" w:cs="Times New Roman"/>
        </w:rPr>
        <w:t>2m，坡率为1:1.5，高1.5m；径流明显，强行引流路段，</w:t>
      </w:r>
      <w:r>
        <w:rPr>
          <w:rFonts w:hint="eastAsia" w:ascii="Times New Roman" w:hAnsi="Times New Roman" w:cs="Times New Roman"/>
        </w:rPr>
        <w:t>截水坝顶面宽</w:t>
      </w:r>
      <w:r>
        <w:rPr>
          <w:rFonts w:ascii="Times New Roman" w:hAnsi="Times New Roman" w:cs="Times New Roman"/>
        </w:rPr>
        <w:t>3m，坡率为1:1.5，高1.8m；迎水面采用C30现浇混凝土。</w:t>
      </w:r>
    </w:p>
    <w:p w14:paraId="309D3EC4">
      <w:pPr>
        <w:spacing w:line="360" w:lineRule="auto"/>
        <w:ind w:firstLine="480" w:firstLineChars="200"/>
        <w:jc w:val="both"/>
        <w:rPr>
          <w:rFonts w:ascii="Times New Roman" w:hAnsi="Times New Roman" w:cs="Times New Roman"/>
        </w:rPr>
      </w:pPr>
      <w:r>
        <w:rPr>
          <w:rFonts w:hint="eastAsia" w:ascii="Times New Roman" w:hAnsi="Times New Roman" w:cs="Times New Roman"/>
        </w:rPr>
        <w:t>（9）路基排水工程</w:t>
      </w:r>
    </w:p>
    <w:p w14:paraId="1B7DBA66">
      <w:pPr>
        <w:spacing w:line="360" w:lineRule="auto"/>
        <w:ind w:firstLine="480" w:firstLineChars="200"/>
        <w:jc w:val="both"/>
        <w:rPr>
          <w:rFonts w:ascii="Times New Roman" w:hAnsi="Times New Roman" w:cs="Times New Roman"/>
        </w:rPr>
      </w:pPr>
      <w:r>
        <w:rPr>
          <w:rFonts w:hint="eastAsia" w:ascii="Times New Roman" w:hAnsi="Times New Roman" w:cs="Times New Roman"/>
        </w:rPr>
        <w:t>林带及农田区在路堤坡脚两侧设置</w:t>
      </w:r>
      <w:r>
        <w:rPr>
          <w:rFonts w:ascii="Times New Roman" w:hAnsi="Times New Roman" w:cs="Times New Roman"/>
        </w:rPr>
        <w:t>2m宽护道，分离灌溉水与主线路基，护道高</w:t>
      </w:r>
      <w:r>
        <w:rPr>
          <w:rFonts w:hint="eastAsia" w:ascii="Times New Roman" w:hAnsi="Times New Roman" w:cs="Times New Roman"/>
        </w:rPr>
        <w:t>度确保大于漫灌高度不小于</w:t>
      </w:r>
      <w:r>
        <w:rPr>
          <w:rFonts w:ascii="Times New Roman" w:hAnsi="Times New Roman" w:cs="Times New Roman"/>
        </w:rPr>
        <w:t>20cm，村镇路段拟采用盖板边沟排水，其余一般路段排</w:t>
      </w:r>
      <w:r>
        <w:rPr>
          <w:rFonts w:hint="eastAsia" w:ascii="Times New Roman" w:hAnsi="Times New Roman" w:cs="Times New Roman"/>
        </w:rPr>
        <w:t>水采用散排方式。</w:t>
      </w:r>
    </w:p>
    <w:p w14:paraId="4164A2B0">
      <w:pPr>
        <w:pStyle w:val="5"/>
        <w:snapToGrid w:val="0"/>
        <w:spacing w:before="156" w:after="156" w:line="240" w:lineRule="auto"/>
        <w:jc w:val="both"/>
        <w:rPr>
          <w:rFonts w:ascii="Times New Roman" w:hAnsi="Times New Roman" w:cs="Times New Roman"/>
          <w:i w:val="0"/>
        </w:rPr>
      </w:pPr>
      <w:r>
        <w:rPr>
          <w:rFonts w:ascii="Times New Roman" w:hAnsi="Times New Roman" w:cs="Times New Roman"/>
          <w:i w:val="0"/>
        </w:rPr>
        <w:t>3.1.6.2路面工程</w:t>
      </w:r>
    </w:p>
    <w:p w14:paraId="4CC2064A">
      <w:pPr>
        <w:pStyle w:val="563"/>
        <w:ind w:firstLine="480"/>
        <w:jc w:val="both"/>
        <w:rPr>
          <w:rFonts w:ascii="Times New Roman" w:hAnsi="Times New Roman" w:cs="Times New Roman"/>
          <w:szCs w:val="24"/>
        </w:rPr>
      </w:pPr>
      <w:r>
        <w:rPr>
          <w:rFonts w:hint="eastAsia" w:ascii="Times New Roman" w:hAnsi="Times New Roman" w:cs="Times New Roman"/>
          <w:szCs w:val="24"/>
        </w:rPr>
        <w:t>（1）路面结构</w:t>
      </w:r>
    </w:p>
    <w:p w14:paraId="4A78223E">
      <w:pPr>
        <w:pStyle w:val="563"/>
        <w:ind w:firstLine="480"/>
        <w:jc w:val="both"/>
        <w:rPr>
          <w:rFonts w:ascii="Times New Roman" w:hAnsi="Times New Roman" w:cs="Times New Roman"/>
          <w:szCs w:val="24"/>
        </w:rPr>
      </w:pPr>
      <w:r>
        <w:rPr>
          <w:rFonts w:ascii="Times New Roman" w:hAnsi="Times New Roman" w:cs="Times New Roman"/>
          <w:szCs w:val="24"/>
        </w:rPr>
        <w:t>全线采用以下路面结构方案：</w:t>
      </w:r>
    </w:p>
    <w:p w14:paraId="7DC68ACC">
      <w:pPr>
        <w:pStyle w:val="6"/>
        <w:kinsoku w:val="0"/>
        <w:overflowPunct w:val="0"/>
        <w:spacing w:line="360" w:lineRule="auto"/>
        <w:ind w:right="2166" w:firstLine="480" w:firstLineChars="200"/>
        <w:jc w:val="both"/>
        <w:rPr>
          <w:rFonts w:ascii="Times New Roman" w:hAnsi="Times New Roman" w:cs="Times New Roman"/>
          <w:kern w:val="2"/>
        </w:rPr>
      </w:pPr>
      <w:r>
        <w:rPr>
          <w:rFonts w:ascii="Times New Roman" w:hAnsi="Times New Roman" w:cs="Times New Roman"/>
          <w:kern w:val="2"/>
        </w:rPr>
        <w:t>面层：5cmAC-16C中粒式沥青混凝土</w:t>
      </w:r>
    </w:p>
    <w:p w14:paraId="44C7B1FD">
      <w:pPr>
        <w:pStyle w:val="6"/>
        <w:kinsoku w:val="0"/>
        <w:overflowPunct w:val="0"/>
        <w:spacing w:line="360" w:lineRule="auto"/>
        <w:ind w:right="2166" w:firstLine="480" w:firstLineChars="200"/>
        <w:jc w:val="both"/>
        <w:rPr>
          <w:rFonts w:ascii="Times New Roman" w:hAnsi="Times New Roman" w:cs="Times New Roman"/>
          <w:kern w:val="2"/>
        </w:rPr>
      </w:pPr>
      <w:r>
        <w:rPr>
          <w:rFonts w:ascii="Times New Roman" w:hAnsi="Times New Roman" w:cs="Times New Roman"/>
          <w:kern w:val="2"/>
        </w:rPr>
        <w:t>基层：25cm水泥稳定砂砾</w:t>
      </w:r>
    </w:p>
    <w:p w14:paraId="3C0416BE">
      <w:pPr>
        <w:pStyle w:val="6"/>
        <w:kinsoku w:val="0"/>
        <w:overflowPunct w:val="0"/>
        <w:spacing w:line="360" w:lineRule="auto"/>
        <w:ind w:right="2166" w:firstLine="480" w:firstLineChars="200"/>
        <w:jc w:val="both"/>
        <w:rPr>
          <w:rFonts w:ascii="Times New Roman" w:hAnsi="Times New Roman" w:cs="Times New Roman"/>
          <w:kern w:val="2"/>
        </w:rPr>
      </w:pPr>
      <w:r>
        <w:rPr>
          <w:rFonts w:ascii="Times New Roman" w:hAnsi="Times New Roman" w:cs="Times New Roman"/>
          <w:kern w:val="2"/>
        </w:rPr>
        <w:t>底基层：25cm天然砂砾</w:t>
      </w:r>
    </w:p>
    <w:p w14:paraId="03E95D14">
      <w:pPr>
        <w:spacing w:line="360" w:lineRule="auto"/>
        <w:ind w:firstLine="480" w:firstLineChars="200"/>
        <w:jc w:val="both"/>
        <w:rPr>
          <w:rFonts w:ascii="Times New Roman" w:hAnsi="Times New Roman" w:cs="Times New Roman"/>
        </w:rPr>
      </w:pPr>
      <w:r>
        <w:rPr>
          <w:rFonts w:ascii="Times New Roman" w:hAnsi="Times New Roman" w:cs="Times New Roman"/>
        </w:rPr>
        <w:t>（2）路面排水</w:t>
      </w:r>
    </w:p>
    <w:p w14:paraId="2AA48AE1">
      <w:pPr>
        <w:spacing w:line="360" w:lineRule="auto"/>
        <w:ind w:firstLine="480" w:firstLineChars="200"/>
        <w:jc w:val="both"/>
        <w:rPr>
          <w:rFonts w:ascii="Times New Roman" w:hAnsi="Times New Roman" w:cs="Times New Roman"/>
        </w:rPr>
      </w:pPr>
      <w:r>
        <w:rPr>
          <w:rFonts w:hint="eastAsia" w:ascii="Times New Roman" w:hAnsi="Times New Roman" w:cs="Times New Roman"/>
        </w:rPr>
        <w:t>路面水通过路拱横坡散排。</w:t>
      </w:r>
    </w:p>
    <w:p w14:paraId="05709F93">
      <w:pPr>
        <w:pStyle w:val="5"/>
        <w:snapToGrid w:val="0"/>
        <w:spacing w:before="156" w:after="156" w:line="240" w:lineRule="auto"/>
        <w:jc w:val="both"/>
        <w:rPr>
          <w:rFonts w:ascii="Times New Roman" w:hAnsi="Times New Roman" w:cs="Times New Roman"/>
          <w:i w:val="0"/>
        </w:rPr>
      </w:pPr>
      <w:r>
        <w:rPr>
          <w:rFonts w:ascii="Times New Roman" w:hAnsi="Times New Roman" w:cs="Times New Roman"/>
          <w:i w:val="0"/>
        </w:rPr>
        <w:t>3.1.6.3桥</w:t>
      </w:r>
      <w:r>
        <w:rPr>
          <w:rFonts w:hint="eastAsia" w:ascii="Times New Roman" w:hAnsi="Times New Roman" w:cs="Times New Roman"/>
          <w:i w:val="0"/>
        </w:rPr>
        <w:t>梁</w:t>
      </w:r>
      <w:r>
        <w:rPr>
          <w:rFonts w:ascii="Times New Roman" w:hAnsi="Times New Roman" w:cs="Times New Roman"/>
          <w:i w:val="0"/>
        </w:rPr>
        <w:t>工程</w:t>
      </w:r>
    </w:p>
    <w:p w14:paraId="4CA688F8">
      <w:pPr>
        <w:spacing w:line="360" w:lineRule="auto"/>
        <w:ind w:firstLine="480" w:firstLineChars="200"/>
        <w:jc w:val="both"/>
        <w:rPr>
          <w:rFonts w:ascii="Times New Roman" w:hAnsi="Times New Roman" w:cs="Times New Roman"/>
        </w:rPr>
      </w:pPr>
      <w:r>
        <w:rPr>
          <w:rFonts w:ascii="Times New Roman" w:hAnsi="Times New Roman" w:cs="Times New Roman"/>
        </w:rPr>
        <w:t>（1）桥梁工程</w:t>
      </w:r>
    </w:p>
    <w:p w14:paraId="2BE15F45">
      <w:pPr>
        <w:spacing w:line="360" w:lineRule="auto"/>
        <w:ind w:firstLine="480" w:firstLineChars="200"/>
        <w:jc w:val="both"/>
        <w:rPr>
          <w:rFonts w:ascii="Times New Roman" w:hAnsi="Times New Roman" w:cs="Times New Roman"/>
        </w:rPr>
      </w:pPr>
      <w:r>
        <w:rPr>
          <w:rFonts w:ascii="Times New Roman" w:hAnsi="Times New Roman" w:cs="Times New Roman"/>
        </w:rPr>
        <w:t>本项目全线共设置桥梁3501.56m/10座，</w:t>
      </w:r>
      <w:r>
        <w:rPr>
          <w:rFonts w:hint="eastAsia" w:ascii="Times New Roman" w:hAnsi="Times New Roman" w:cs="Times New Roman"/>
        </w:rPr>
        <w:t>其中特大桥</w:t>
      </w:r>
      <w:r>
        <w:rPr>
          <w:rFonts w:ascii="Times New Roman" w:hAnsi="Times New Roman" w:cs="Times New Roman"/>
        </w:rPr>
        <w:t>2857.08m/</w:t>
      </w:r>
      <w:r>
        <w:rPr>
          <w:rFonts w:hint="eastAsia" w:ascii="Times New Roman" w:hAnsi="Times New Roman" w:cs="Times New Roman"/>
        </w:rPr>
        <w:t>1座，大桥</w:t>
      </w:r>
      <w:r>
        <w:rPr>
          <w:rFonts w:ascii="Times New Roman" w:hAnsi="Times New Roman" w:cs="Times New Roman"/>
        </w:rPr>
        <w:t>358.24m/3座，中桥286.24m/6座</w:t>
      </w:r>
      <w:r>
        <w:rPr>
          <w:rFonts w:hint="eastAsia" w:ascii="Times New Roman" w:hAnsi="Times New Roman" w:cs="Times New Roman"/>
        </w:rPr>
        <w:t>；</w:t>
      </w:r>
      <w:r>
        <w:rPr>
          <w:rFonts w:ascii="Times New Roman" w:hAnsi="Times New Roman" w:cs="Times New Roman"/>
        </w:rPr>
        <w:t>全线共设置涵洞96道。桥梁设置见表3.1-9。</w:t>
      </w:r>
    </w:p>
    <w:p w14:paraId="0010B75B">
      <w:pPr>
        <w:pStyle w:val="6"/>
        <w:kinsoku w:val="0"/>
        <w:overflowPunct w:val="0"/>
        <w:spacing w:after="0"/>
        <w:jc w:val="center"/>
        <w:rPr>
          <w:rFonts w:ascii="Times New Roman" w:hAnsi="Times New Roman" w:cs="Times New Roman"/>
          <w:b/>
          <w:bCs/>
          <w:kern w:val="2"/>
        </w:rPr>
      </w:pPr>
      <w:r>
        <w:rPr>
          <w:rFonts w:ascii="Times New Roman" w:hAnsi="Times New Roman" w:cs="Times New Roman"/>
          <w:b/>
          <w:bCs/>
          <w:kern w:val="2"/>
        </w:rPr>
        <w:t>表3.1-9  桥梁设置一览表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83"/>
        <w:gridCol w:w="1279"/>
        <w:gridCol w:w="2695"/>
        <w:gridCol w:w="1565"/>
        <w:gridCol w:w="1420"/>
        <w:gridCol w:w="1080"/>
      </w:tblGrid>
      <w:tr w14:paraId="644F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1C56D702">
            <w:pPr>
              <w:pStyle w:val="2265"/>
              <w:kinsoku w:val="0"/>
              <w:overflowPunct w:val="0"/>
              <w:jc w:val="center"/>
              <w:rPr>
                <w:rFonts w:ascii="Times New Roman" w:hAnsi="Times New Roman" w:cs="Times New Roman"/>
                <w:spacing w:val="-10"/>
                <w:sz w:val="21"/>
                <w:szCs w:val="21"/>
              </w:rPr>
            </w:pPr>
            <w:r>
              <w:rPr>
                <w:rFonts w:ascii="Times New Roman" w:hAnsi="Times New Roman" w:cs="Times New Roman"/>
                <w:spacing w:val="-10"/>
                <w:sz w:val="21"/>
                <w:szCs w:val="21"/>
              </w:rPr>
              <w:t>序号</w:t>
            </w:r>
          </w:p>
        </w:tc>
        <w:tc>
          <w:tcPr>
            <w:tcW w:w="768" w:type="pct"/>
            <w:vAlign w:val="center"/>
          </w:tcPr>
          <w:p w14:paraId="4A831D00">
            <w:pPr>
              <w:pStyle w:val="2265"/>
              <w:kinsoku w:val="0"/>
              <w:overflowPunct w:val="0"/>
              <w:jc w:val="center"/>
              <w:rPr>
                <w:rFonts w:ascii="Times New Roman" w:hAnsi="Times New Roman" w:cs="Times New Roman"/>
                <w:spacing w:val="-3"/>
                <w:sz w:val="21"/>
                <w:szCs w:val="21"/>
              </w:rPr>
            </w:pPr>
            <w:r>
              <w:rPr>
                <w:rFonts w:ascii="Times New Roman" w:hAnsi="Times New Roman" w:cs="Times New Roman"/>
                <w:spacing w:val="-3"/>
                <w:sz w:val="21"/>
                <w:szCs w:val="21"/>
              </w:rPr>
              <w:t>桥梁桩号</w:t>
            </w:r>
          </w:p>
        </w:tc>
        <w:tc>
          <w:tcPr>
            <w:tcW w:w="1619" w:type="pct"/>
            <w:vAlign w:val="center"/>
          </w:tcPr>
          <w:p w14:paraId="22FC7619">
            <w:pPr>
              <w:pStyle w:val="2265"/>
              <w:kinsoku w:val="0"/>
              <w:overflowPunct w:val="0"/>
              <w:jc w:val="center"/>
              <w:rPr>
                <w:rFonts w:ascii="Times New Roman" w:hAnsi="Times New Roman" w:cs="Times New Roman"/>
                <w:spacing w:val="-3"/>
                <w:sz w:val="21"/>
                <w:szCs w:val="21"/>
              </w:rPr>
            </w:pPr>
            <w:r>
              <w:rPr>
                <w:rFonts w:ascii="Times New Roman" w:hAnsi="Times New Roman" w:cs="Times New Roman"/>
                <w:spacing w:val="-3"/>
                <w:sz w:val="21"/>
                <w:szCs w:val="21"/>
              </w:rPr>
              <w:t>桥梁名称</w:t>
            </w:r>
          </w:p>
        </w:tc>
        <w:tc>
          <w:tcPr>
            <w:tcW w:w="940" w:type="pct"/>
            <w:vAlign w:val="center"/>
          </w:tcPr>
          <w:p w14:paraId="4A4B628A">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孔数及跨径</w:t>
            </w:r>
            <w:r>
              <w:rPr>
                <w:rFonts w:ascii="Times New Roman" w:hAnsi="Times New Roman" w:cs="Times New Roman"/>
                <w:spacing w:val="-5"/>
                <w:sz w:val="21"/>
                <w:szCs w:val="21"/>
              </w:rPr>
              <w:t xml:space="preserve"> </w:t>
            </w:r>
          </w:p>
          <w:p w14:paraId="49103095">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（孔</w:t>
            </w:r>
            <w:r>
              <w:rPr>
                <w:rFonts w:ascii="Times New Roman" w:hAnsi="Times New Roman" w:cs="Times New Roman"/>
                <w:spacing w:val="-5"/>
                <w:sz w:val="21"/>
                <w:szCs w:val="21"/>
              </w:rPr>
              <w:t>-m）</w:t>
            </w:r>
          </w:p>
        </w:tc>
        <w:tc>
          <w:tcPr>
            <w:tcW w:w="853" w:type="pct"/>
            <w:vAlign w:val="center"/>
          </w:tcPr>
          <w:p w14:paraId="0D24A5EA">
            <w:pPr>
              <w:pStyle w:val="2265"/>
              <w:kinsoku w:val="0"/>
              <w:overflowPunct w:val="0"/>
              <w:jc w:val="center"/>
              <w:rPr>
                <w:rFonts w:ascii="Times New Roman" w:hAnsi="Times New Roman" w:cs="Times New Roman"/>
                <w:spacing w:val="-5"/>
                <w:sz w:val="21"/>
                <w:szCs w:val="21"/>
                <w:lang w:eastAsia="zh-CN"/>
              </w:rPr>
            </w:pPr>
            <w:r>
              <w:rPr>
                <w:rFonts w:hint="eastAsia" w:ascii="Times New Roman" w:hAnsi="Times New Roman" w:cs="Times New Roman"/>
                <w:spacing w:val="-5"/>
                <w:sz w:val="21"/>
                <w:szCs w:val="21"/>
                <w:lang w:eastAsia="zh-CN"/>
              </w:rPr>
              <w:t>桥梁全长</w:t>
            </w:r>
          </w:p>
          <w:p w14:paraId="51FDB70E">
            <w:pPr>
              <w:pStyle w:val="2265"/>
              <w:kinsoku w:val="0"/>
              <w:overflowPunct w:val="0"/>
              <w:jc w:val="center"/>
              <w:rPr>
                <w:rFonts w:ascii="Times New Roman" w:hAnsi="Times New Roman" w:cs="Times New Roman"/>
                <w:spacing w:val="-5"/>
                <w:sz w:val="21"/>
                <w:szCs w:val="21"/>
              </w:rPr>
            </w:pPr>
            <w:r>
              <w:rPr>
                <w:rFonts w:ascii="Times New Roman" w:hAnsi="Times New Roman" w:cs="Times New Roman"/>
                <w:spacing w:val="-5"/>
                <w:sz w:val="21"/>
                <w:szCs w:val="21"/>
                <w:lang w:eastAsia="zh-CN"/>
              </w:rPr>
              <w:t>(m)</w:t>
            </w:r>
          </w:p>
        </w:tc>
        <w:tc>
          <w:tcPr>
            <w:tcW w:w="649" w:type="pct"/>
            <w:vAlign w:val="center"/>
          </w:tcPr>
          <w:p w14:paraId="0D648502">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lang w:eastAsia="zh-CN"/>
              </w:rPr>
              <w:t>上部构造</w:t>
            </w:r>
          </w:p>
        </w:tc>
      </w:tr>
      <w:tr w14:paraId="511D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50613B48">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1</w:t>
            </w:r>
          </w:p>
        </w:tc>
        <w:tc>
          <w:tcPr>
            <w:tcW w:w="768" w:type="pct"/>
            <w:vAlign w:val="center"/>
          </w:tcPr>
          <w:p w14:paraId="3D2C07AE">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K16+337.50</w:t>
            </w:r>
          </w:p>
        </w:tc>
        <w:tc>
          <w:tcPr>
            <w:tcW w:w="1619" w:type="pct"/>
            <w:vAlign w:val="center"/>
          </w:tcPr>
          <w:p w14:paraId="5D2F85D6">
            <w:pPr>
              <w:pStyle w:val="2265"/>
              <w:kinsoku w:val="0"/>
              <w:overflowPunct w:val="0"/>
              <w:jc w:val="center"/>
              <w:rPr>
                <w:rFonts w:ascii="Times New Roman" w:hAnsi="Times New Roman" w:cs="Times New Roman"/>
                <w:spacing w:val="-4"/>
                <w:sz w:val="21"/>
                <w:szCs w:val="21"/>
              </w:rPr>
            </w:pPr>
            <w:r>
              <w:rPr>
                <w:rFonts w:hint="eastAsia" w:ascii="Times New Roman" w:hAnsi="Times New Roman" w:cs="Times New Roman"/>
                <w:spacing w:val="6"/>
                <w:sz w:val="21"/>
                <w:szCs w:val="21"/>
              </w:rPr>
              <w:t>伽师县饮水管道中桥</w:t>
            </w:r>
          </w:p>
        </w:tc>
        <w:tc>
          <w:tcPr>
            <w:tcW w:w="940" w:type="pct"/>
            <w:vAlign w:val="center"/>
          </w:tcPr>
          <w:p w14:paraId="032E449A">
            <w:pPr>
              <w:pStyle w:val="2265"/>
              <w:kinsoku w:val="0"/>
              <w:overflowPunct w:val="0"/>
              <w:jc w:val="center"/>
              <w:rPr>
                <w:rFonts w:ascii="Times New Roman" w:hAnsi="Times New Roman" w:cs="Times New Roman"/>
                <w:spacing w:val="-4"/>
                <w:sz w:val="21"/>
                <w:szCs w:val="21"/>
              </w:rPr>
            </w:pPr>
            <w:r>
              <w:rPr>
                <w:rFonts w:ascii="Times New Roman" w:hAnsi="Times New Roman" w:cs="Times New Roman"/>
                <w:sz w:val="21"/>
                <w:szCs w:val="21"/>
              </w:rPr>
              <w:t>1×20</w:t>
            </w:r>
          </w:p>
        </w:tc>
        <w:tc>
          <w:tcPr>
            <w:tcW w:w="853" w:type="pct"/>
            <w:vAlign w:val="center"/>
          </w:tcPr>
          <w:p w14:paraId="210A83F7">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2</w:t>
            </w:r>
            <w:r>
              <w:rPr>
                <w:rFonts w:ascii="Times New Roman" w:hAnsi="Times New Roman" w:cs="Times New Roman"/>
                <w:spacing w:val="-4"/>
                <w:sz w:val="21"/>
                <w:szCs w:val="21"/>
                <w:lang w:eastAsia="zh-CN"/>
              </w:rPr>
              <w:t>6.00</w:t>
            </w:r>
          </w:p>
        </w:tc>
        <w:tc>
          <w:tcPr>
            <w:tcW w:w="649" w:type="pct"/>
            <w:vMerge w:val="restart"/>
            <w:vAlign w:val="center"/>
          </w:tcPr>
          <w:p w14:paraId="2B75612B">
            <w:pPr>
              <w:pStyle w:val="2265"/>
              <w:kinsoku w:val="0"/>
              <w:overflowPunct w:val="0"/>
              <w:jc w:val="center"/>
              <w:rPr>
                <w:rFonts w:ascii="Times New Roman" w:hAnsi="Times New Roman" w:cs="Times New Roman"/>
                <w:spacing w:val="-5"/>
                <w:sz w:val="21"/>
                <w:szCs w:val="21"/>
                <w:lang w:eastAsia="zh-CN"/>
              </w:rPr>
            </w:pPr>
            <w:r>
              <w:rPr>
                <w:rFonts w:hint="eastAsia" w:ascii="Times New Roman" w:hAnsi="Times New Roman" w:cs="Times New Roman"/>
                <w:spacing w:val="-4"/>
                <w:sz w:val="21"/>
                <w:szCs w:val="21"/>
                <w:lang w:eastAsia="zh-CN"/>
              </w:rPr>
              <w:t>装配式预应力混凝土小箱梁</w:t>
            </w:r>
          </w:p>
        </w:tc>
      </w:tr>
      <w:tr w14:paraId="6FD6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7140341F">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2</w:t>
            </w:r>
          </w:p>
        </w:tc>
        <w:tc>
          <w:tcPr>
            <w:tcW w:w="768" w:type="pct"/>
            <w:vAlign w:val="center"/>
          </w:tcPr>
          <w:p w14:paraId="471C6A5E">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K19+918.50</w:t>
            </w:r>
          </w:p>
        </w:tc>
        <w:tc>
          <w:tcPr>
            <w:tcW w:w="1619" w:type="pct"/>
            <w:vAlign w:val="center"/>
          </w:tcPr>
          <w:p w14:paraId="28298193">
            <w:pPr>
              <w:pStyle w:val="2265"/>
              <w:kinsoku w:val="0"/>
              <w:overflowPunct w:val="0"/>
              <w:jc w:val="center"/>
              <w:rPr>
                <w:rFonts w:ascii="Times New Roman" w:hAnsi="Times New Roman" w:cs="Times New Roman"/>
                <w:spacing w:val="-5"/>
                <w:sz w:val="21"/>
                <w:szCs w:val="21"/>
                <w:lang w:eastAsia="zh-CN"/>
              </w:rPr>
            </w:pPr>
            <w:r>
              <w:rPr>
                <w:rFonts w:hint="eastAsia" w:ascii="Times New Roman" w:hAnsi="Times New Roman" w:cs="Times New Roman"/>
                <w:spacing w:val="-5"/>
                <w:sz w:val="21"/>
                <w:szCs w:val="21"/>
                <w:lang w:eastAsia="zh-CN"/>
              </w:rPr>
              <w:t>一市两县饮水管道中桥</w:t>
            </w:r>
          </w:p>
        </w:tc>
        <w:tc>
          <w:tcPr>
            <w:tcW w:w="940" w:type="pct"/>
            <w:vAlign w:val="center"/>
          </w:tcPr>
          <w:p w14:paraId="5B5CADAE">
            <w:pPr>
              <w:pStyle w:val="2265"/>
              <w:kinsoku w:val="0"/>
              <w:overflowPunct w:val="0"/>
              <w:jc w:val="center"/>
              <w:rPr>
                <w:rFonts w:ascii="Times New Roman" w:hAnsi="Times New Roman" w:cs="Times New Roman"/>
                <w:spacing w:val="-4"/>
                <w:sz w:val="21"/>
                <w:szCs w:val="21"/>
              </w:rPr>
            </w:pPr>
            <w:r>
              <w:rPr>
                <w:rFonts w:ascii="Times New Roman" w:hAnsi="Times New Roman" w:cs="Times New Roman"/>
                <w:sz w:val="21"/>
                <w:szCs w:val="21"/>
              </w:rPr>
              <w:t>1×20</w:t>
            </w:r>
          </w:p>
        </w:tc>
        <w:tc>
          <w:tcPr>
            <w:tcW w:w="853" w:type="pct"/>
            <w:vAlign w:val="center"/>
          </w:tcPr>
          <w:p w14:paraId="0D7FDEC8">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2</w:t>
            </w:r>
            <w:r>
              <w:rPr>
                <w:rFonts w:ascii="Times New Roman" w:hAnsi="Times New Roman" w:cs="Times New Roman"/>
                <w:spacing w:val="-4"/>
                <w:sz w:val="21"/>
                <w:szCs w:val="21"/>
                <w:lang w:eastAsia="zh-CN"/>
              </w:rPr>
              <w:t>6.00</w:t>
            </w:r>
          </w:p>
        </w:tc>
        <w:tc>
          <w:tcPr>
            <w:tcW w:w="649" w:type="pct"/>
            <w:vMerge w:val="continue"/>
            <w:vAlign w:val="center"/>
          </w:tcPr>
          <w:p w14:paraId="7D9247B7">
            <w:pPr>
              <w:pStyle w:val="2265"/>
              <w:kinsoku w:val="0"/>
              <w:overflowPunct w:val="0"/>
              <w:jc w:val="center"/>
              <w:rPr>
                <w:rFonts w:ascii="Times New Roman" w:hAnsi="Times New Roman" w:cs="Times New Roman"/>
                <w:spacing w:val="-5"/>
                <w:sz w:val="21"/>
                <w:szCs w:val="21"/>
                <w:lang w:eastAsia="zh-CN"/>
              </w:rPr>
            </w:pPr>
          </w:p>
        </w:tc>
      </w:tr>
      <w:tr w14:paraId="1139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057CA4D9">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3</w:t>
            </w:r>
          </w:p>
        </w:tc>
        <w:tc>
          <w:tcPr>
            <w:tcW w:w="768" w:type="pct"/>
            <w:vAlign w:val="center"/>
          </w:tcPr>
          <w:p w14:paraId="19CCBA07">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K20+794.00</w:t>
            </w:r>
          </w:p>
        </w:tc>
        <w:tc>
          <w:tcPr>
            <w:tcW w:w="1619" w:type="pct"/>
            <w:vAlign w:val="center"/>
          </w:tcPr>
          <w:p w14:paraId="5E0963ED">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英格盖孜达里亚中桥</w:t>
            </w:r>
          </w:p>
        </w:tc>
        <w:tc>
          <w:tcPr>
            <w:tcW w:w="940" w:type="pct"/>
            <w:vAlign w:val="center"/>
          </w:tcPr>
          <w:p w14:paraId="294B5C95">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20+30+20</w:t>
            </w:r>
          </w:p>
        </w:tc>
        <w:tc>
          <w:tcPr>
            <w:tcW w:w="853" w:type="pct"/>
            <w:vAlign w:val="center"/>
          </w:tcPr>
          <w:p w14:paraId="4B2B7FAB">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7</w:t>
            </w:r>
            <w:r>
              <w:rPr>
                <w:rFonts w:ascii="Times New Roman" w:hAnsi="Times New Roman" w:cs="Times New Roman"/>
                <w:spacing w:val="-4"/>
                <w:sz w:val="21"/>
                <w:szCs w:val="21"/>
                <w:lang w:eastAsia="zh-CN"/>
              </w:rPr>
              <w:t>6.08</w:t>
            </w:r>
          </w:p>
        </w:tc>
        <w:tc>
          <w:tcPr>
            <w:tcW w:w="649" w:type="pct"/>
            <w:vMerge w:val="continue"/>
            <w:vAlign w:val="center"/>
          </w:tcPr>
          <w:p w14:paraId="5ECD9E28">
            <w:pPr>
              <w:pStyle w:val="2265"/>
              <w:kinsoku w:val="0"/>
              <w:overflowPunct w:val="0"/>
              <w:jc w:val="center"/>
              <w:rPr>
                <w:rFonts w:ascii="Times New Roman" w:hAnsi="Times New Roman" w:cs="Times New Roman"/>
                <w:spacing w:val="-5"/>
                <w:sz w:val="21"/>
                <w:szCs w:val="21"/>
                <w:lang w:eastAsia="zh-CN"/>
              </w:rPr>
            </w:pPr>
          </w:p>
        </w:tc>
      </w:tr>
      <w:tr w14:paraId="6E6A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60170645">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4</w:t>
            </w:r>
          </w:p>
        </w:tc>
        <w:tc>
          <w:tcPr>
            <w:tcW w:w="768" w:type="pct"/>
            <w:vAlign w:val="center"/>
          </w:tcPr>
          <w:p w14:paraId="6E587FA6">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K21+257.70</w:t>
            </w:r>
          </w:p>
        </w:tc>
        <w:tc>
          <w:tcPr>
            <w:tcW w:w="1619" w:type="pct"/>
            <w:vAlign w:val="center"/>
          </w:tcPr>
          <w:p w14:paraId="5425E370">
            <w:pPr>
              <w:pStyle w:val="2265"/>
              <w:kinsoku w:val="0"/>
              <w:overflowPunct w:val="0"/>
              <w:jc w:val="center"/>
              <w:rPr>
                <w:rFonts w:ascii="Times New Roman" w:hAnsi="Times New Roman" w:cs="Times New Roman"/>
                <w:spacing w:val="-5"/>
                <w:sz w:val="21"/>
                <w:szCs w:val="21"/>
                <w:lang w:eastAsia="zh-CN"/>
              </w:rPr>
            </w:pPr>
            <w:r>
              <w:rPr>
                <w:rFonts w:hint="eastAsia" w:ascii="Times New Roman" w:hAnsi="Times New Roman" w:cs="Times New Roman"/>
                <w:spacing w:val="-5"/>
                <w:sz w:val="21"/>
                <w:szCs w:val="21"/>
                <w:lang w:eastAsia="zh-CN"/>
              </w:rPr>
              <w:t>盖孜河东岸干渠泄洪中桥</w:t>
            </w:r>
          </w:p>
        </w:tc>
        <w:tc>
          <w:tcPr>
            <w:tcW w:w="940" w:type="pct"/>
            <w:vAlign w:val="center"/>
          </w:tcPr>
          <w:p w14:paraId="4C931B53">
            <w:pPr>
              <w:pStyle w:val="2265"/>
              <w:kinsoku w:val="0"/>
              <w:overflowPunct w:val="0"/>
              <w:jc w:val="center"/>
              <w:rPr>
                <w:rFonts w:ascii="Times New Roman" w:hAnsi="Times New Roman" w:cs="Times New Roman"/>
                <w:sz w:val="21"/>
                <w:szCs w:val="21"/>
                <w:lang w:eastAsia="zh-CN"/>
              </w:rPr>
            </w:pPr>
            <w:r>
              <w:rPr>
                <w:rFonts w:ascii="Times New Roman" w:hAnsi="Times New Roman" w:cs="Times New Roman"/>
                <w:sz w:val="21"/>
                <w:szCs w:val="21"/>
              </w:rPr>
              <w:t>1×20</w:t>
            </w:r>
          </w:p>
        </w:tc>
        <w:tc>
          <w:tcPr>
            <w:tcW w:w="853" w:type="pct"/>
            <w:vAlign w:val="center"/>
          </w:tcPr>
          <w:p w14:paraId="428C1E9C">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2</w:t>
            </w:r>
            <w:r>
              <w:rPr>
                <w:rFonts w:ascii="Times New Roman" w:hAnsi="Times New Roman" w:cs="Times New Roman"/>
                <w:spacing w:val="-4"/>
                <w:sz w:val="21"/>
                <w:szCs w:val="21"/>
                <w:lang w:eastAsia="zh-CN"/>
              </w:rPr>
              <w:t>6.00</w:t>
            </w:r>
          </w:p>
        </w:tc>
        <w:tc>
          <w:tcPr>
            <w:tcW w:w="649" w:type="pct"/>
            <w:vMerge w:val="continue"/>
            <w:vAlign w:val="center"/>
          </w:tcPr>
          <w:p w14:paraId="147F3040">
            <w:pPr>
              <w:pStyle w:val="2265"/>
              <w:kinsoku w:val="0"/>
              <w:overflowPunct w:val="0"/>
              <w:jc w:val="center"/>
              <w:rPr>
                <w:rFonts w:ascii="Times New Roman" w:hAnsi="Times New Roman" w:cs="Times New Roman"/>
                <w:spacing w:val="-5"/>
                <w:sz w:val="21"/>
                <w:szCs w:val="21"/>
                <w:lang w:eastAsia="zh-CN"/>
              </w:rPr>
            </w:pPr>
          </w:p>
        </w:tc>
      </w:tr>
      <w:tr w14:paraId="0492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0F25A7C6">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5</w:t>
            </w:r>
          </w:p>
        </w:tc>
        <w:tc>
          <w:tcPr>
            <w:tcW w:w="768" w:type="pct"/>
            <w:vAlign w:val="center"/>
          </w:tcPr>
          <w:p w14:paraId="32A200D1">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K23+280.00</w:t>
            </w:r>
          </w:p>
        </w:tc>
        <w:tc>
          <w:tcPr>
            <w:tcW w:w="1619" w:type="pct"/>
            <w:vAlign w:val="center"/>
          </w:tcPr>
          <w:p w14:paraId="0C061A03">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盖孜河支流</w:t>
            </w:r>
            <w:r>
              <w:rPr>
                <w:rFonts w:ascii="Times New Roman" w:hAnsi="Times New Roman" w:cs="Times New Roman"/>
                <w:spacing w:val="-5"/>
                <w:sz w:val="21"/>
                <w:szCs w:val="21"/>
              </w:rPr>
              <w:t xml:space="preserve"> 1号中桥</w:t>
            </w:r>
          </w:p>
        </w:tc>
        <w:tc>
          <w:tcPr>
            <w:tcW w:w="940" w:type="pct"/>
            <w:vAlign w:val="center"/>
          </w:tcPr>
          <w:p w14:paraId="61208E86">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3×20</w:t>
            </w:r>
          </w:p>
        </w:tc>
        <w:tc>
          <w:tcPr>
            <w:tcW w:w="853" w:type="pct"/>
            <w:vAlign w:val="center"/>
          </w:tcPr>
          <w:p w14:paraId="390895AE">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6</w:t>
            </w:r>
            <w:r>
              <w:rPr>
                <w:rFonts w:ascii="Times New Roman" w:hAnsi="Times New Roman" w:cs="Times New Roman"/>
                <w:spacing w:val="-4"/>
                <w:sz w:val="21"/>
                <w:szCs w:val="21"/>
                <w:lang w:eastAsia="zh-CN"/>
              </w:rPr>
              <w:t>6.08</w:t>
            </w:r>
          </w:p>
        </w:tc>
        <w:tc>
          <w:tcPr>
            <w:tcW w:w="649" w:type="pct"/>
            <w:vMerge w:val="continue"/>
            <w:vAlign w:val="center"/>
          </w:tcPr>
          <w:p w14:paraId="1962F660">
            <w:pPr>
              <w:pStyle w:val="2265"/>
              <w:kinsoku w:val="0"/>
              <w:overflowPunct w:val="0"/>
              <w:jc w:val="center"/>
              <w:rPr>
                <w:rFonts w:ascii="Times New Roman" w:hAnsi="Times New Roman" w:cs="Times New Roman"/>
                <w:spacing w:val="-5"/>
                <w:sz w:val="21"/>
                <w:szCs w:val="21"/>
                <w:lang w:eastAsia="zh-CN"/>
              </w:rPr>
            </w:pPr>
          </w:p>
        </w:tc>
      </w:tr>
      <w:tr w14:paraId="5C0A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03C278A3">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6</w:t>
            </w:r>
          </w:p>
        </w:tc>
        <w:tc>
          <w:tcPr>
            <w:tcW w:w="768" w:type="pct"/>
            <w:vAlign w:val="center"/>
          </w:tcPr>
          <w:p w14:paraId="569AA9C7">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K21+794.00</w:t>
            </w:r>
          </w:p>
        </w:tc>
        <w:tc>
          <w:tcPr>
            <w:tcW w:w="1619" w:type="pct"/>
            <w:vAlign w:val="center"/>
          </w:tcPr>
          <w:p w14:paraId="067029B6">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盖孜河支流</w:t>
            </w:r>
            <w:r>
              <w:rPr>
                <w:rFonts w:ascii="Times New Roman" w:hAnsi="Times New Roman" w:cs="Times New Roman"/>
                <w:spacing w:val="-5"/>
                <w:sz w:val="21"/>
                <w:szCs w:val="21"/>
              </w:rPr>
              <w:t xml:space="preserve"> 1号</w:t>
            </w:r>
            <w:r>
              <w:rPr>
                <w:rFonts w:hint="eastAsia" w:ascii="Times New Roman" w:hAnsi="Times New Roman" w:cs="Times New Roman"/>
                <w:spacing w:val="-5"/>
                <w:sz w:val="21"/>
                <w:szCs w:val="21"/>
                <w:lang w:eastAsia="zh-CN"/>
              </w:rPr>
              <w:t>大</w:t>
            </w:r>
            <w:r>
              <w:rPr>
                <w:rFonts w:ascii="Times New Roman" w:hAnsi="Times New Roman" w:cs="Times New Roman"/>
                <w:spacing w:val="-5"/>
                <w:sz w:val="21"/>
                <w:szCs w:val="21"/>
              </w:rPr>
              <w:t>桥</w:t>
            </w:r>
          </w:p>
        </w:tc>
        <w:tc>
          <w:tcPr>
            <w:tcW w:w="940" w:type="pct"/>
            <w:vAlign w:val="center"/>
          </w:tcPr>
          <w:p w14:paraId="17FCEC9B">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6×20</w:t>
            </w:r>
          </w:p>
        </w:tc>
        <w:tc>
          <w:tcPr>
            <w:tcW w:w="853" w:type="pct"/>
            <w:vAlign w:val="center"/>
          </w:tcPr>
          <w:p w14:paraId="5D0DC6B5">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1</w:t>
            </w:r>
            <w:r>
              <w:rPr>
                <w:rFonts w:ascii="Times New Roman" w:hAnsi="Times New Roman" w:cs="Times New Roman"/>
                <w:spacing w:val="-4"/>
                <w:sz w:val="21"/>
                <w:szCs w:val="21"/>
                <w:lang w:eastAsia="zh-CN"/>
              </w:rPr>
              <w:t>26.08</w:t>
            </w:r>
          </w:p>
        </w:tc>
        <w:tc>
          <w:tcPr>
            <w:tcW w:w="649" w:type="pct"/>
            <w:vMerge w:val="continue"/>
            <w:vAlign w:val="center"/>
          </w:tcPr>
          <w:p w14:paraId="748CE3C5">
            <w:pPr>
              <w:pStyle w:val="2265"/>
              <w:kinsoku w:val="0"/>
              <w:overflowPunct w:val="0"/>
              <w:jc w:val="center"/>
              <w:rPr>
                <w:rFonts w:ascii="Times New Roman" w:hAnsi="Times New Roman" w:cs="Times New Roman"/>
                <w:spacing w:val="-5"/>
                <w:sz w:val="21"/>
                <w:szCs w:val="21"/>
                <w:lang w:eastAsia="zh-CN"/>
              </w:rPr>
            </w:pPr>
          </w:p>
        </w:tc>
      </w:tr>
      <w:tr w14:paraId="2A7B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29D282DF">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7</w:t>
            </w:r>
          </w:p>
        </w:tc>
        <w:tc>
          <w:tcPr>
            <w:tcW w:w="768" w:type="pct"/>
            <w:vAlign w:val="center"/>
          </w:tcPr>
          <w:p w14:paraId="0BF3671A">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K22+557.00</w:t>
            </w:r>
          </w:p>
        </w:tc>
        <w:tc>
          <w:tcPr>
            <w:tcW w:w="1619" w:type="pct"/>
            <w:vAlign w:val="center"/>
          </w:tcPr>
          <w:p w14:paraId="13C70BDE">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盖孜河支流</w:t>
            </w:r>
            <w:r>
              <w:rPr>
                <w:rFonts w:ascii="Times New Roman" w:hAnsi="Times New Roman" w:cs="Times New Roman"/>
                <w:spacing w:val="-5"/>
                <w:sz w:val="21"/>
                <w:szCs w:val="21"/>
              </w:rPr>
              <w:t>2号</w:t>
            </w:r>
            <w:r>
              <w:rPr>
                <w:rFonts w:hint="eastAsia" w:ascii="Times New Roman" w:hAnsi="Times New Roman" w:cs="Times New Roman"/>
                <w:spacing w:val="-5"/>
                <w:sz w:val="21"/>
                <w:szCs w:val="21"/>
                <w:lang w:eastAsia="zh-CN"/>
              </w:rPr>
              <w:t>大</w:t>
            </w:r>
            <w:r>
              <w:rPr>
                <w:rFonts w:ascii="Times New Roman" w:hAnsi="Times New Roman" w:cs="Times New Roman"/>
                <w:spacing w:val="-5"/>
                <w:sz w:val="21"/>
                <w:szCs w:val="21"/>
              </w:rPr>
              <w:t>桥</w:t>
            </w:r>
          </w:p>
        </w:tc>
        <w:tc>
          <w:tcPr>
            <w:tcW w:w="940" w:type="pct"/>
            <w:vAlign w:val="center"/>
          </w:tcPr>
          <w:p w14:paraId="561EF8B2">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6×20</w:t>
            </w:r>
          </w:p>
        </w:tc>
        <w:tc>
          <w:tcPr>
            <w:tcW w:w="853" w:type="pct"/>
            <w:vAlign w:val="center"/>
          </w:tcPr>
          <w:p w14:paraId="7D37B594">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1</w:t>
            </w:r>
            <w:r>
              <w:rPr>
                <w:rFonts w:ascii="Times New Roman" w:hAnsi="Times New Roman" w:cs="Times New Roman"/>
                <w:spacing w:val="-4"/>
                <w:sz w:val="21"/>
                <w:szCs w:val="21"/>
                <w:lang w:eastAsia="zh-CN"/>
              </w:rPr>
              <w:t>26.08</w:t>
            </w:r>
          </w:p>
        </w:tc>
        <w:tc>
          <w:tcPr>
            <w:tcW w:w="649" w:type="pct"/>
            <w:vMerge w:val="continue"/>
            <w:vAlign w:val="center"/>
          </w:tcPr>
          <w:p w14:paraId="5D3DE4B4">
            <w:pPr>
              <w:pStyle w:val="2265"/>
              <w:kinsoku w:val="0"/>
              <w:overflowPunct w:val="0"/>
              <w:jc w:val="center"/>
              <w:rPr>
                <w:rFonts w:ascii="Times New Roman" w:hAnsi="Times New Roman" w:cs="Times New Roman"/>
                <w:spacing w:val="-5"/>
                <w:sz w:val="21"/>
                <w:szCs w:val="21"/>
                <w:lang w:eastAsia="zh-CN"/>
              </w:rPr>
            </w:pPr>
          </w:p>
        </w:tc>
      </w:tr>
      <w:tr w14:paraId="7C3F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64415A50">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8</w:t>
            </w:r>
          </w:p>
        </w:tc>
        <w:tc>
          <w:tcPr>
            <w:tcW w:w="768" w:type="pct"/>
            <w:vAlign w:val="center"/>
          </w:tcPr>
          <w:p w14:paraId="3A328E72">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K24+386.00</w:t>
            </w:r>
          </w:p>
        </w:tc>
        <w:tc>
          <w:tcPr>
            <w:tcW w:w="1619" w:type="pct"/>
            <w:vAlign w:val="center"/>
          </w:tcPr>
          <w:p w14:paraId="408F8E05">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盖孜河支流</w:t>
            </w:r>
            <w:r>
              <w:rPr>
                <w:rFonts w:ascii="Times New Roman" w:hAnsi="Times New Roman" w:cs="Times New Roman"/>
                <w:spacing w:val="-5"/>
                <w:sz w:val="21"/>
                <w:szCs w:val="21"/>
              </w:rPr>
              <w:t xml:space="preserve"> 2号中桥</w:t>
            </w:r>
          </w:p>
        </w:tc>
        <w:tc>
          <w:tcPr>
            <w:tcW w:w="940" w:type="pct"/>
            <w:vAlign w:val="center"/>
          </w:tcPr>
          <w:p w14:paraId="5E483127">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3×20</w:t>
            </w:r>
          </w:p>
        </w:tc>
        <w:tc>
          <w:tcPr>
            <w:tcW w:w="853" w:type="pct"/>
            <w:vAlign w:val="center"/>
          </w:tcPr>
          <w:p w14:paraId="12928F1F">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6</w:t>
            </w:r>
            <w:r>
              <w:rPr>
                <w:rFonts w:ascii="Times New Roman" w:hAnsi="Times New Roman" w:cs="Times New Roman"/>
                <w:spacing w:val="-4"/>
                <w:sz w:val="21"/>
                <w:szCs w:val="21"/>
                <w:lang w:eastAsia="zh-CN"/>
              </w:rPr>
              <w:t>6.08</w:t>
            </w:r>
          </w:p>
        </w:tc>
        <w:tc>
          <w:tcPr>
            <w:tcW w:w="649" w:type="pct"/>
            <w:vMerge w:val="continue"/>
            <w:vAlign w:val="center"/>
          </w:tcPr>
          <w:p w14:paraId="1B894599">
            <w:pPr>
              <w:pStyle w:val="2265"/>
              <w:kinsoku w:val="0"/>
              <w:overflowPunct w:val="0"/>
              <w:jc w:val="center"/>
              <w:rPr>
                <w:rFonts w:ascii="Times New Roman" w:hAnsi="Times New Roman" w:cs="Times New Roman"/>
                <w:spacing w:val="-5"/>
                <w:sz w:val="21"/>
                <w:szCs w:val="21"/>
                <w:lang w:eastAsia="zh-CN"/>
              </w:rPr>
            </w:pPr>
          </w:p>
        </w:tc>
      </w:tr>
      <w:tr w14:paraId="49A4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Merge w:val="restart"/>
            <w:vAlign w:val="center"/>
          </w:tcPr>
          <w:p w14:paraId="3200A23C">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0</w:t>
            </w:r>
          </w:p>
        </w:tc>
        <w:tc>
          <w:tcPr>
            <w:tcW w:w="768" w:type="pct"/>
            <w:vMerge w:val="restart"/>
            <w:vAlign w:val="center"/>
          </w:tcPr>
          <w:p w14:paraId="5D5CADBD">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K26+078.000</w:t>
            </w:r>
          </w:p>
        </w:tc>
        <w:tc>
          <w:tcPr>
            <w:tcW w:w="1619" w:type="pct"/>
            <w:vAlign w:val="center"/>
          </w:tcPr>
          <w:p w14:paraId="4782129D">
            <w:pPr>
              <w:pStyle w:val="2265"/>
              <w:kinsoku w:val="0"/>
              <w:overflowPunct w:val="0"/>
              <w:jc w:val="center"/>
              <w:rPr>
                <w:rFonts w:ascii="Times New Roman" w:hAnsi="Times New Roman" w:cs="Times New Roman"/>
                <w:spacing w:val="-5"/>
                <w:sz w:val="21"/>
                <w:szCs w:val="21"/>
                <w:lang w:eastAsia="zh-CN"/>
              </w:rPr>
            </w:pPr>
            <w:r>
              <w:rPr>
                <w:rFonts w:hint="eastAsia" w:ascii="Times New Roman" w:hAnsi="Times New Roman" w:cs="Times New Roman"/>
                <w:spacing w:val="-5"/>
                <w:sz w:val="21"/>
                <w:szCs w:val="21"/>
                <w:lang w:eastAsia="zh-CN"/>
              </w:rPr>
              <w:t>盖孜河特大桥（推荐方案）</w:t>
            </w:r>
          </w:p>
        </w:tc>
        <w:tc>
          <w:tcPr>
            <w:tcW w:w="940" w:type="pct"/>
            <w:vAlign w:val="center"/>
          </w:tcPr>
          <w:p w14:paraId="6410DA8A">
            <w:pPr>
              <w:pStyle w:val="2265"/>
              <w:kinsoku w:val="0"/>
              <w:overflowPunct w:val="0"/>
              <w:jc w:val="center"/>
              <w:rPr>
                <w:rFonts w:ascii="Times New Roman" w:hAnsi="Times New Roman" w:cs="Times New Roman"/>
                <w:spacing w:val="-5"/>
                <w:sz w:val="21"/>
                <w:szCs w:val="21"/>
              </w:rPr>
            </w:pPr>
            <w:r>
              <w:rPr>
                <w:rFonts w:ascii="Times New Roman" w:hAnsi="Times New Roman" w:cs="Times New Roman"/>
                <w:spacing w:val="-5"/>
                <w:sz w:val="21"/>
                <w:szCs w:val="21"/>
              </w:rPr>
              <w:t>95×30</w:t>
            </w:r>
          </w:p>
        </w:tc>
        <w:tc>
          <w:tcPr>
            <w:tcW w:w="853" w:type="pct"/>
            <w:vAlign w:val="center"/>
          </w:tcPr>
          <w:p w14:paraId="759CC13D">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2</w:t>
            </w:r>
            <w:r>
              <w:rPr>
                <w:rFonts w:ascii="Times New Roman" w:hAnsi="Times New Roman" w:cs="Times New Roman"/>
                <w:spacing w:val="-4"/>
                <w:sz w:val="21"/>
                <w:szCs w:val="21"/>
                <w:lang w:eastAsia="zh-CN"/>
              </w:rPr>
              <w:t>857.08</w:t>
            </w:r>
          </w:p>
        </w:tc>
        <w:tc>
          <w:tcPr>
            <w:tcW w:w="649" w:type="pct"/>
            <w:vMerge w:val="continue"/>
            <w:vAlign w:val="center"/>
          </w:tcPr>
          <w:p w14:paraId="19AE2A96">
            <w:pPr>
              <w:pStyle w:val="2265"/>
              <w:kinsoku w:val="0"/>
              <w:overflowPunct w:val="0"/>
              <w:jc w:val="center"/>
              <w:rPr>
                <w:rFonts w:ascii="Times New Roman" w:hAnsi="Times New Roman" w:cs="Times New Roman"/>
                <w:spacing w:val="-5"/>
                <w:sz w:val="21"/>
                <w:szCs w:val="21"/>
                <w:lang w:eastAsia="zh-CN"/>
              </w:rPr>
            </w:pPr>
          </w:p>
        </w:tc>
      </w:tr>
      <w:tr w14:paraId="74DC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Merge w:val="continue"/>
            <w:vAlign w:val="center"/>
          </w:tcPr>
          <w:p w14:paraId="47AFA901">
            <w:pPr>
              <w:pStyle w:val="2265"/>
              <w:kinsoku w:val="0"/>
              <w:overflowPunct w:val="0"/>
              <w:jc w:val="center"/>
              <w:rPr>
                <w:rFonts w:ascii="Times New Roman" w:hAnsi="Times New Roman" w:cs="Times New Roman"/>
                <w:sz w:val="21"/>
                <w:szCs w:val="21"/>
                <w:lang w:eastAsia="zh-CN"/>
              </w:rPr>
            </w:pPr>
          </w:p>
        </w:tc>
        <w:tc>
          <w:tcPr>
            <w:tcW w:w="768" w:type="pct"/>
            <w:vMerge w:val="continue"/>
            <w:vAlign w:val="center"/>
          </w:tcPr>
          <w:p w14:paraId="38F356AB">
            <w:pPr>
              <w:pStyle w:val="2265"/>
              <w:kinsoku w:val="0"/>
              <w:overflowPunct w:val="0"/>
              <w:jc w:val="center"/>
              <w:rPr>
                <w:rFonts w:ascii="Times New Roman" w:hAnsi="Times New Roman" w:cs="Times New Roman"/>
                <w:spacing w:val="-2"/>
                <w:sz w:val="21"/>
                <w:szCs w:val="21"/>
                <w:lang w:eastAsia="zh-CN"/>
              </w:rPr>
            </w:pPr>
          </w:p>
        </w:tc>
        <w:tc>
          <w:tcPr>
            <w:tcW w:w="1619" w:type="pct"/>
            <w:vAlign w:val="center"/>
          </w:tcPr>
          <w:p w14:paraId="6A50A6A6">
            <w:pPr>
              <w:pStyle w:val="2265"/>
              <w:kinsoku w:val="0"/>
              <w:overflowPunct w:val="0"/>
              <w:jc w:val="center"/>
              <w:rPr>
                <w:rFonts w:ascii="Times New Roman" w:hAnsi="Times New Roman" w:cs="Times New Roman"/>
                <w:spacing w:val="-5"/>
                <w:sz w:val="21"/>
                <w:szCs w:val="21"/>
                <w:lang w:eastAsia="zh-CN"/>
              </w:rPr>
            </w:pPr>
            <w:r>
              <w:rPr>
                <w:rFonts w:hint="eastAsia" w:ascii="Times New Roman" w:hAnsi="Times New Roman" w:cs="Times New Roman"/>
                <w:spacing w:val="-5"/>
                <w:sz w:val="21"/>
                <w:szCs w:val="21"/>
                <w:lang w:eastAsia="zh-CN"/>
              </w:rPr>
              <w:t>盖孜河特大桥（比较方案）</w:t>
            </w:r>
          </w:p>
        </w:tc>
        <w:tc>
          <w:tcPr>
            <w:tcW w:w="940" w:type="pct"/>
            <w:vAlign w:val="center"/>
          </w:tcPr>
          <w:p w14:paraId="331627EA">
            <w:pPr>
              <w:pStyle w:val="2265"/>
              <w:kinsoku w:val="0"/>
              <w:overflowPunct w:val="0"/>
              <w:jc w:val="center"/>
              <w:rPr>
                <w:rFonts w:ascii="Times New Roman" w:hAnsi="Times New Roman" w:cs="Times New Roman"/>
                <w:spacing w:val="-5"/>
                <w:sz w:val="21"/>
                <w:szCs w:val="21"/>
              </w:rPr>
            </w:pPr>
            <w:r>
              <w:rPr>
                <w:rFonts w:ascii="Times New Roman" w:hAnsi="Times New Roman" w:cs="Times New Roman"/>
                <w:spacing w:val="-5"/>
                <w:sz w:val="21"/>
                <w:szCs w:val="21"/>
              </w:rPr>
              <w:t>72×40</w:t>
            </w:r>
          </w:p>
        </w:tc>
        <w:tc>
          <w:tcPr>
            <w:tcW w:w="853" w:type="pct"/>
            <w:vAlign w:val="center"/>
          </w:tcPr>
          <w:p w14:paraId="74060E47">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2</w:t>
            </w:r>
            <w:r>
              <w:rPr>
                <w:rFonts w:ascii="Times New Roman" w:hAnsi="Times New Roman" w:cs="Times New Roman"/>
                <w:spacing w:val="-4"/>
                <w:sz w:val="21"/>
                <w:szCs w:val="21"/>
                <w:lang w:eastAsia="zh-CN"/>
              </w:rPr>
              <w:t>888.08</w:t>
            </w:r>
          </w:p>
        </w:tc>
        <w:tc>
          <w:tcPr>
            <w:tcW w:w="649" w:type="pct"/>
            <w:vMerge w:val="continue"/>
            <w:vAlign w:val="center"/>
          </w:tcPr>
          <w:p w14:paraId="275EA491">
            <w:pPr>
              <w:pStyle w:val="2265"/>
              <w:kinsoku w:val="0"/>
              <w:overflowPunct w:val="0"/>
              <w:jc w:val="center"/>
              <w:rPr>
                <w:rFonts w:ascii="Times New Roman" w:hAnsi="Times New Roman" w:cs="Times New Roman"/>
                <w:spacing w:val="-5"/>
                <w:sz w:val="21"/>
                <w:szCs w:val="21"/>
                <w:lang w:eastAsia="zh-CN"/>
              </w:rPr>
            </w:pPr>
          </w:p>
        </w:tc>
      </w:tr>
      <w:tr w14:paraId="3B7A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70" w:type="pct"/>
            <w:vAlign w:val="center"/>
          </w:tcPr>
          <w:p w14:paraId="3C1F6C3B">
            <w:pPr>
              <w:pStyle w:val="2265"/>
              <w:kinsoku w:val="0"/>
              <w:overflowPunct w:val="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1</w:t>
            </w:r>
            <w:r>
              <w:rPr>
                <w:rFonts w:ascii="Times New Roman" w:hAnsi="Times New Roman" w:cs="Times New Roman"/>
                <w:sz w:val="21"/>
                <w:szCs w:val="21"/>
                <w:lang w:eastAsia="zh-CN"/>
              </w:rPr>
              <w:t>1</w:t>
            </w:r>
          </w:p>
        </w:tc>
        <w:tc>
          <w:tcPr>
            <w:tcW w:w="768" w:type="pct"/>
            <w:vAlign w:val="center"/>
          </w:tcPr>
          <w:p w14:paraId="1C87E57C">
            <w:pPr>
              <w:pStyle w:val="2265"/>
              <w:kinsoku w:val="0"/>
              <w:overflowPunct w:val="0"/>
              <w:jc w:val="center"/>
              <w:rPr>
                <w:rFonts w:ascii="Times New Roman" w:hAnsi="Times New Roman" w:cs="Times New Roman"/>
                <w:spacing w:val="-2"/>
                <w:sz w:val="21"/>
                <w:szCs w:val="21"/>
              </w:rPr>
            </w:pPr>
            <w:r>
              <w:rPr>
                <w:rFonts w:ascii="Times New Roman" w:hAnsi="Times New Roman" w:cs="Times New Roman"/>
                <w:spacing w:val="-2"/>
                <w:sz w:val="21"/>
                <w:szCs w:val="21"/>
              </w:rPr>
              <w:t>K28+903.96</w:t>
            </w:r>
          </w:p>
        </w:tc>
        <w:tc>
          <w:tcPr>
            <w:tcW w:w="1619" w:type="pct"/>
            <w:vAlign w:val="center"/>
          </w:tcPr>
          <w:p w14:paraId="247B758E">
            <w:pPr>
              <w:pStyle w:val="2265"/>
              <w:kinsoku w:val="0"/>
              <w:overflowPunct w:val="0"/>
              <w:jc w:val="center"/>
              <w:rPr>
                <w:rFonts w:ascii="Times New Roman" w:hAnsi="Times New Roman" w:cs="Times New Roman"/>
                <w:spacing w:val="-5"/>
                <w:sz w:val="21"/>
                <w:szCs w:val="21"/>
              </w:rPr>
            </w:pPr>
            <w:r>
              <w:rPr>
                <w:rFonts w:hint="eastAsia" w:ascii="Times New Roman" w:hAnsi="Times New Roman" w:cs="Times New Roman"/>
                <w:spacing w:val="-5"/>
                <w:sz w:val="21"/>
                <w:szCs w:val="21"/>
              </w:rPr>
              <w:t>苏古鲁克河大桥</w:t>
            </w:r>
          </w:p>
        </w:tc>
        <w:tc>
          <w:tcPr>
            <w:tcW w:w="940" w:type="pct"/>
            <w:vAlign w:val="center"/>
          </w:tcPr>
          <w:p w14:paraId="2F598235">
            <w:pPr>
              <w:pStyle w:val="2265"/>
              <w:kinsoku w:val="0"/>
              <w:overflowPunct w:val="0"/>
              <w:jc w:val="center"/>
              <w:rPr>
                <w:rFonts w:ascii="Times New Roman" w:hAnsi="Times New Roman" w:cs="Times New Roman"/>
                <w:sz w:val="21"/>
                <w:szCs w:val="21"/>
              </w:rPr>
            </w:pPr>
            <w:r>
              <w:rPr>
                <w:rFonts w:ascii="Times New Roman" w:hAnsi="Times New Roman" w:cs="Times New Roman"/>
                <w:sz w:val="21"/>
                <w:szCs w:val="21"/>
              </w:rPr>
              <w:t>5×20</w:t>
            </w:r>
          </w:p>
        </w:tc>
        <w:tc>
          <w:tcPr>
            <w:tcW w:w="853" w:type="pct"/>
            <w:vAlign w:val="center"/>
          </w:tcPr>
          <w:p w14:paraId="17E4F8E2">
            <w:pPr>
              <w:pStyle w:val="2265"/>
              <w:kinsoku w:val="0"/>
              <w:overflowPunct w:val="0"/>
              <w:jc w:val="center"/>
              <w:rPr>
                <w:rFonts w:ascii="Times New Roman" w:hAnsi="Times New Roman" w:cs="Times New Roman"/>
                <w:spacing w:val="-4"/>
                <w:sz w:val="21"/>
                <w:szCs w:val="21"/>
                <w:lang w:eastAsia="zh-CN"/>
              </w:rPr>
            </w:pPr>
            <w:r>
              <w:rPr>
                <w:rFonts w:hint="eastAsia" w:ascii="Times New Roman" w:hAnsi="Times New Roman" w:cs="Times New Roman"/>
                <w:spacing w:val="-4"/>
                <w:sz w:val="21"/>
                <w:szCs w:val="21"/>
                <w:lang w:eastAsia="zh-CN"/>
              </w:rPr>
              <w:t>1</w:t>
            </w:r>
            <w:r>
              <w:rPr>
                <w:rFonts w:ascii="Times New Roman" w:hAnsi="Times New Roman" w:cs="Times New Roman"/>
                <w:spacing w:val="-4"/>
                <w:sz w:val="21"/>
                <w:szCs w:val="21"/>
                <w:lang w:eastAsia="zh-CN"/>
              </w:rPr>
              <w:t>06.08</w:t>
            </w:r>
          </w:p>
        </w:tc>
        <w:tc>
          <w:tcPr>
            <w:tcW w:w="649" w:type="pct"/>
            <w:vMerge w:val="continue"/>
            <w:vAlign w:val="center"/>
          </w:tcPr>
          <w:p w14:paraId="462CB078">
            <w:pPr>
              <w:pStyle w:val="2265"/>
              <w:kinsoku w:val="0"/>
              <w:overflowPunct w:val="0"/>
              <w:jc w:val="center"/>
              <w:rPr>
                <w:rFonts w:ascii="Times New Roman" w:hAnsi="Times New Roman" w:cs="Times New Roman"/>
                <w:spacing w:val="-5"/>
                <w:sz w:val="21"/>
                <w:szCs w:val="21"/>
                <w:lang w:eastAsia="zh-CN"/>
              </w:rPr>
            </w:pPr>
          </w:p>
        </w:tc>
      </w:tr>
    </w:tbl>
    <w:p w14:paraId="72D20404">
      <w:pPr>
        <w:spacing w:line="360" w:lineRule="auto"/>
        <w:ind w:firstLine="480" w:firstLineChars="200"/>
        <w:jc w:val="both"/>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典型涉水桥梁设计及施工方案</w:t>
      </w:r>
    </w:p>
    <w:p w14:paraId="7DF0FE24">
      <w:pPr>
        <w:spacing w:line="360" w:lineRule="auto"/>
        <w:ind w:firstLine="480" w:firstLineChars="200"/>
        <w:jc w:val="both"/>
        <w:rPr>
          <w:rFonts w:ascii="Times New Roman" w:hAnsi="Times New Roman" w:cs="Times New Roman"/>
        </w:rPr>
      </w:pPr>
      <w:r>
        <w:rPr>
          <w:rFonts w:hint="eastAsia" w:ascii="Times New Roman" w:hAnsi="Times New Roman" w:cs="Times New Roman"/>
        </w:rPr>
        <w:t>①盖孜河特大桥</w:t>
      </w:r>
    </w:p>
    <w:p w14:paraId="2152B27A">
      <w:pPr>
        <w:spacing w:line="360" w:lineRule="auto"/>
        <w:ind w:firstLine="480" w:firstLineChars="200"/>
        <w:jc w:val="both"/>
        <w:rPr>
          <w:rFonts w:ascii="Times New Roman" w:hAnsi="Times New Roman" w:cs="Times New Roman"/>
        </w:rPr>
      </w:pPr>
      <w:r>
        <w:rPr>
          <w:rFonts w:hint="eastAsia" w:ascii="Times New Roman" w:hAnsi="Times New Roman" w:cs="Times New Roman"/>
        </w:rPr>
        <w:t>盖孜河特大桥为跨越盖孜河及其河岸线而设，位于盖孜河巴仁桥下游约</w:t>
      </w:r>
      <w:r>
        <w:rPr>
          <w:rFonts w:ascii="Times New Roman" w:hAnsi="Times New Roman" w:cs="Times New Roman"/>
        </w:rPr>
        <w:t>13公里处，路线跨河处河道岸线宽度2840米，河道临水线宽度2780米。本桥 所在河段为卵砾石河床，无防洪工程，是盖孜河洪水最大的河段。</w:t>
      </w:r>
    </w:p>
    <w:p w14:paraId="7C95AE7C">
      <w:pPr>
        <w:spacing w:line="360" w:lineRule="auto"/>
        <w:ind w:firstLine="480" w:firstLineChars="200"/>
        <w:jc w:val="both"/>
        <w:rPr>
          <w:rFonts w:ascii="Times New Roman" w:hAnsi="Times New Roman" w:cs="Times New Roman"/>
        </w:rPr>
      </w:pPr>
      <w:r>
        <w:rPr>
          <w:rFonts w:hint="eastAsia" w:ascii="Times New Roman" w:hAnsi="Times New Roman" w:cs="Times New Roman"/>
        </w:rPr>
        <w:t>桥梁中心桩号为</w:t>
      </w:r>
      <w:r>
        <w:rPr>
          <w:rFonts w:ascii="Times New Roman" w:hAnsi="Times New Roman" w:cs="Times New Roman"/>
        </w:rPr>
        <w:t xml:space="preserve"> K26+078，交角为 90°，桥梁宽度12m，全长2857.08m。全桥共24联：23 ×（4×30）+3×30m；上部结构采用装配式预应力混凝土小箱梁；下部结构桥墩采用柱式墩、桩基础；桥台采用柱式台、桩基础。</w:t>
      </w:r>
    </w:p>
    <w:p w14:paraId="1553C5C8">
      <w:pPr>
        <w:spacing w:line="360" w:lineRule="auto"/>
        <w:ind w:firstLine="480" w:firstLineChars="200"/>
        <w:jc w:val="both"/>
        <w:rPr>
          <w:rFonts w:ascii="Times New Roman" w:hAnsi="Times New Roman" w:cs="Times New Roman"/>
        </w:rPr>
      </w:pPr>
      <w:r>
        <w:rPr>
          <w:rFonts w:hint="eastAsia" w:ascii="Times New Roman" w:hAnsi="Times New Roman" w:cs="Times New Roman"/>
        </w:rPr>
        <w:t>水中基础施工：桩基采用常规灌注桩钻孔施工，承台采用围堰施工。上部小箱梁采用架桥机架设施工。</w:t>
      </w:r>
    </w:p>
    <w:p w14:paraId="49D75183">
      <w:pPr>
        <w:spacing w:line="360" w:lineRule="auto"/>
        <w:ind w:firstLine="480" w:firstLineChars="200"/>
        <w:jc w:val="both"/>
        <w:rPr>
          <w:rFonts w:ascii="Times New Roman" w:hAnsi="Times New Roman" w:cs="Times New Roman"/>
        </w:rPr>
      </w:pPr>
      <w:r>
        <w:rPr>
          <w:rFonts w:hint="eastAsia"/>
        </w:rPr>
        <w:t>②</w:t>
      </w:r>
      <w:r>
        <w:rPr>
          <w:rFonts w:ascii="Times New Roman" w:hAnsi="Times New Roman" w:cs="Times New Roman"/>
        </w:rPr>
        <w:t>英格盖孜达里亚中桥</w:t>
      </w:r>
    </w:p>
    <w:p w14:paraId="645EEFD8">
      <w:pPr>
        <w:spacing w:line="360" w:lineRule="auto"/>
        <w:ind w:firstLine="480" w:firstLineChars="200"/>
        <w:jc w:val="both"/>
        <w:rPr>
          <w:rFonts w:ascii="Times New Roman" w:hAnsi="Times New Roman" w:cs="Times New Roman"/>
        </w:rPr>
      </w:pPr>
      <w:r>
        <w:rPr>
          <w:rFonts w:hint="eastAsia" w:ascii="Times New Roman" w:hAnsi="Times New Roman" w:cs="Times New Roman"/>
        </w:rPr>
        <w:t>英格盖孜达里亚中桥在</w:t>
      </w:r>
      <w:r>
        <w:rPr>
          <w:rFonts w:ascii="Times New Roman" w:hAnsi="Times New Roman" w:cs="Times New Roman"/>
        </w:rPr>
        <w:t>K20+794 处跨越英格盖孜达里亚河，该河位于盖孜河东岸，是新疆喀什噶尔河流域</w:t>
      </w:r>
      <w:r>
        <w:rPr>
          <w:rFonts w:hint="eastAsia" w:ascii="Times New Roman" w:hAnsi="Times New Roman" w:cs="Times New Roman"/>
        </w:rPr>
        <w:t>管理局管辖内的干渠，桥位处干渠顶宽</w:t>
      </w:r>
      <w:r>
        <w:rPr>
          <w:rFonts w:ascii="Times New Roman" w:hAnsi="Times New Roman" w:cs="Times New Roman"/>
        </w:rPr>
        <w:t>19m，底宽6m，渠深3m，设计流量49.1</w:t>
      </w:r>
      <w:r>
        <w:rPr>
          <w:rFonts w:hint="eastAsia"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s</w:t>
      </w:r>
      <w:r>
        <w:rPr>
          <w:rFonts w:ascii="Times New Roman" w:hAnsi="Times New Roman" w:cs="Times New Roman"/>
        </w:rPr>
        <w:t>，加大</w:t>
      </w:r>
      <w:r>
        <w:rPr>
          <w:rFonts w:hint="eastAsia" w:ascii="Times New Roman" w:hAnsi="Times New Roman" w:cs="Times New Roman"/>
        </w:rPr>
        <w:t>流量时约</w:t>
      </w:r>
      <w:r>
        <w:rPr>
          <w:rFonts w:ascii="Times New Roman" w:hAnsi="Times New Roman" w:cs="Times New Roman"/>
        </w:rPr>
        <w:t>56</w:t>
      </w:r>
      <w:r>
        <w:rPr>
          <w:rFonts w:hint="eastAsia" w:ascii="Times New Roman" w:hAnsi="Times New Roman" w:cs="Times New Roman"/>
        </w:rPr>
        <w:t xml:space="preserve"> m</w:t>
      </w:r>
      <w:r>
        <w:rPr>
          <w:rFonts w:ascii="Times New Roman" w:hAnsi="Times New Roman" w:cs="Times New Roman"/>
          <w:vertAlign w:val="superscript"/>
        </w:rPr>
        <w:t>3</w:t>
      </w:r>
      <w:r>
        <w:rPr>
          <w:rFonts w:ascii="Times New Roman" w:hAnsi="Times New Roman" w:cs="Times New Roman"/>
        </w:rPr>
        <w:t>/</w:t>
      </w:r>
      <w:r>
        <w:rPr>
          <w:rFonts w:hint="eastAsia" w:ascii="Times New Roman" w:hAnsi="Times New Roman" w:cs="Times New Roman"/>
        </w:rPr>
        <w:t>s</w:t>
      </w:r>
      <w:r>
        <w:rPr>
          <w:rFonts w:ascii="Times New Roman" w:hAnsi="Times New Roman" w:cs="Times New Roman"/>
        </w:rPr>
        <w:t>，水流自南向北。干渠两侧为检修马道，宽约4m。</w:t>
      </w:r>
    </w:p>
    <w:p w14:paraId="292428D5">
      <w:pPr>
        <w:spacing w:line="360" w:lineRule="auto"/>
        <w:ind w:firstLine="480" w:firstLineChars="200"/>
        <w:jc w:val="both"/>
        <w:rPr>
          <w:rFonts w:ascii="Times New Roman" w:hAnsi="Times New Roman" w:cs="Times New Roman"/>
        </w:rPr>
      </w:pPr>
      <w:r>
        <w:rPr>
          <w:rFonts w:hint="eastAsia" w:ascii="Times New Roman" w:hAnsi="Times New Roman" w:cs="Times New Roman"/>
        </w:rPr>
        <w:t>本桥采用</w:t>
      </w:r>
      <w:r>
        <w:rPr>
          <w:rFonts w:ascii="Times New Roman" w:hAnsi="Times New Roman" w:cs="Times New Roman"/>
        </w:rPr>
        <w:t>20+30+20 米桥梁跨越盖孜河东岸干渠，桥梁中心桩号为K20+794，交角</w:t>
      </w:r>
      <w:r>
        <w:rPr>
          <w:rFonts w:hint="eastAsia" w:ascii="Times New Roman" w:hAnsi="Times New Roman" w:cs="Times New Roman"/>
        </w:rPr>
        <w:t>为</w:t>
      </w:r>
      <w:r>
        <w:rPr>
          <w:rFonts w:ascii="Times New Roman" w:hAnsi="Times New Roman" w:cs="Times New Roman"/>
        </w:rPr>
        <w:t>90°，桥梁宽度12m，全长76.08m。全桥共1联，上部结构采用装配式预应力混凝土简支小箱</w:t>
      </w:r>
      <w:r>
        <w:rPr>
          <w:rFonts w:hint="eastAsia" w:ascii="Times New Roman" w:hAnsi="Times New Roman" w:cs="Times New Roman"/>
        </w:rPr>
        <w:t>梁，桥面连续；下部结构桥墩采用柱式墩、桩基础；桥台采用肋板台、桩基础。</w:t>
      </w:r>
    </w:p>
    <w:p w14:paraId="6B3F346A">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3.1.6.4</w:t>
      </w:r>
      <w:r>
        <w:rPr>
          <w:rFonts w:hint="eastAsia" w:ascii="Times New Roman" w:hAnsi="Times New Roman" w:cs="Times New Roman"/>
          <w:i w:val="0"/>
        </w:rPr>
        <w:t>涵洞</w:t>
      </w:r>
    </w:p>
    <w:p w14:paraId="72CAB9D2">
      <w:pPr>
        <w:spacing w:line="360" w:lineRule="auto"/>
        <w:ind w:firstLine="480" w:firstLineChars="200"/>
        <w:jc w:val="both"/>
        <w:rPr>
          <w:rFonts w:ascii="Times New Roman" w:hAnsi="Times New Roman" w:cs="Times New Roman"/>
        </w:rPr>
      </w:pPr>
      <w:r>
        <w:rPr>
          <w:rFonts w:ascii="Times New Roman" w:hAnsi="Times New Roman" w:cs="Times New Roman"/>
        </w:rPr>
        <w:t>本项目共设涵洞96道，其中</w:t>
      </w:r>
      <w:r>
        <w:rPr>
          <w:rFonts w:hint="eastAsia" w:ascii="Times New Roman" w:hAnsi="Times New Roman" w:cs="Times New Roman"/>
        </w:rPr>
        <w:t>钢筋混凝土圆管涵</w:t>
      </w:r>
      <w:r>
        <w:rPr>
          <w:rFonts w:ascii="Times New Roman" w:hAnsi="Times New Roman" w:cs="Times New Roman"/>
        </w:rPr>
        <w:t>32道，整体式基础盖板暗涵34道，</w:t>
      </w:r>
      <w:r>
        <w:rPr>
          <w:rFonts w:hint="eastAsia" w:ascii="Times New Roman" w:hAnsi="Times New Roman" w:cs="Times New Roman"/>
        </w:rPr>
        <w:t>钢筋混凝土箱涵</w:t>
      </w:r>
      <w:r>
        <w:rPr>
          <w:rFonts w:ascii="Times New Roman" w:hAnsi="Times New Roman" w:cs="Times New Roman"/>
        </w:rPr>
        <w:t>5道，铸铁圆管涵25道。</w:t>
      </w:r>
    </w:p>
    <w:p w14:paraId="66479C1B">
      <w:pPr>
        <w:spacing w:line="360" w:lineRule="auto"/>
        <w:ind w:firstLine="480" w:firstLineChars="200"/>
        <w:jc w:val="both"/>
        <w:rPr>
          <w:rFonts w:ascii="Times New Roman" w:hAnsi="Times New Roman" w:cs="Times New Roman"/>
        </w:rPr>
      </w:pPr>
      <w:r>
        <w:rPr>
          <w:rFonts w:ascii="Times New Roman" w:hAnsi="Times New Roman" w:cs="Times New Roman"/>
        </w:rPr>
        <w:t>拟建公路全线无隧道工程。</w:t>
      </w:r>
    </w:p>
    <w:p w14:paraId="643CAA86">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3.1.6.5交叉工程</w:t>
      </w:r>
    </w:p>
    <w:p w14:paraId="0666B40B">
      <w:pPr>
        <w:spacing w:line="360" w:lineRule="auto"/>
        <w:ind w:firstLine="480" w:firstLineChars="200"/>
        <w:jc w:val="both"/>
        <w:rPr>
          <w:rFonts w:ascii="Times New Roman" w:hAnsi="Times New Roman" w:cs="Times New Roman"/>
        </w:rPr>
      </w:pPr>
      <w:r>
        <w:rPr>
          <w:rFonts w:ascii="Times New Roman" w:hAnsi="Times New Roman" w:cs="Times New Roman"/>
        </w:rPr>
        <w:t>推荐方案共设平面交叉23 处，其中与等级路交叉8处，低等级路交叉15</w:t>
      </w:r>
      <w:r>
        <w:rPr>
          <w:rFonts w:hint="eastAsia" w:ascii="Times New Roman" w:hAnsi="Times New Roman" w:cs="Times New Roman"/>
        </w:rPr>
        <w:t>处</w:t>
      </w:r>
      <w:r>
        <w:rPr>
          <w:rFonts w:ascii="Times New Roman" w:hAnsi="Times New Roman" w:cs="Times New Roman"/>
        </w:rPr>
        <w:t>。</w:t>
      </w:r>
    </w:p>
    <w:bookmarkEnd w:id="314"/>
    <w:p w14:paraId="2D15C9E9">
      <w:pPr>
        <w:pStyle w:val="4"/>
        <w:adjustRightInd w:val="0"/>
        <w:snapToGrid w:val="0"/>
        <w:spacing w:before="156" w:after="156" w:line="240" w:lineRule="auto"/>
        <w:rPr>
          <w:rFonts w:ascii="Times New Roman" w:hAnsi="Times New Roman" w:cs="Times New Roman"/>
          <w:sz w:val="30"/>
        </w:rPr>
      </w:pPr>
      <w:bookmarkStart w:id="317" w:name="_Toc98414189"/>
      <w:bookmarkStart w:id="318" w:name="_Toc98413507"/>
      <w:bookmarkStart w:id="319" w:name="_Toc97464612"/>
      <w:bookmarkStart w:id="320" w:name="_Toc57826715"/>
      <w:bookmarkStart w:id="321" w:name="_Toc97464613"/>
      <w:bookmarkStart w:id="322" w:name="_Toc57826716"/>
      <w:bookmarkStart w:id="323" w:name="_Toc34989551"/>
      <w:bookmarkStart w:id="324" w:name="_Toc98413508"/>
      <w:bookmarkStart w:id="325" w:name="_Toc98414190"/>
      <w:r>
        <w:rPr>
          <w:rFonts w:ascii="Times New Roman" w:hAnsi="Times New Roman" w:cs="Times New Roman"/>
          <w:sz w:val="30"/>
        </w:rPr>
        <w:t>3.1.7占地规模</w:t>
      </w:r>
      <w:bookmarkEnd w:id="317"/>
      <w:bookmarkEnd w:id="318"/>
      <w:bookmarkEnd w:id="319"/>
      <w:bookmarkEnd w:id="320"/>
    </w:p>
    <w:p w14:paraId="37EFC729">
      <w:pPr>
        <w:spacing w:line="360" w:lineRule="auto"/>
        <w:ind w:firstLine="480" w:firstLineChars="200"/>
        <w:jc w:val="both"/>
        <w:rPr>
          <w:rFonts w:ascii="Times New Roman" w:hAnsi="Times New Roman" w:cs="Times New Roman"/>
        </w:rPr>
      </w:pPr>
      <w:r>
        <w:rPr>
          <w:rFonts w:ascii="Times New Roman" w:hAnsi="Times New Roman" w:cs="Times New Roman"/>
        </w:rPr>
        <w:t>根据项目</w:t>
      </w:r>
      <w:r>
        <w:rPr>
          <w:rFonts w:hint="eastAsia" w:ascii="Times New Roman" w:hAnsi="Times New Roman" w:cs="Times New Roman"/>
        </w:rPr>
        <w:t>初设</w:t>
      </w:r>
      <w:r>
        <w:rPr>
          <w:rFonts w:ascii="Times New Roman" w:hAnsi="Times New Roman" w:cs="Times New Roman"/>
        </w:rPr>
        <w:t>，本工程永久占地面积1332.11</w:t>
      </w:r>
      <w:r>
        <w:rPr>
          <w:rFonts w:hint="eastAsia" w:ascii="Times New Roman" w:hAnsi="Times New Roman" w:cs="Times New Roman"/>
        </w:rPr>
        <w:t>亩</w:t>
      </w:r>
      <w:r>
        <w:rPr>
          <w:rFonts w:ascii="Times New Roman" w:hAnsi="Times New Roman" w:cs="Times New Roman"/>
        </w:rPr>
        <w:t>，临时占地481.3</w:t>
      </w:r>
      <w:r>
        <w:rPr>
          <w:rFonts w:hint="eastAsia" w:ascii="Times New Roman" w:hAnsi="Times New Roman" w:cs="Times New Roman"/>
        </w:rPr>
        <w:t>亩</w:t>
      </w:r>
      <w:r>
        <w:rPr>
          <w:rFonts w:ascii="Times New Roman" w:hAnsi="Times New Roman" w:cs="Times New Roman"/>
        </w:rPr>
        <w:t>。</w:t>
      </w:r>
    </w:p>
    <w:p w14:paraId="04B84FBB">
      <w:pPr>
        <w:spacing w:line="360" w:lineRule="auto"/>
        <w:ind w:firstLine="480" w:firstLineChars="200"/>
        <w:jc w:val="both"/>
        <w:rPr>
          <w:rFonts w:ascii="Times New Roman" w:hAnsi="Times New Roman" w:cs="Times New Roman"/>
        </w:rPr>
      </w:pPr>
      <w:r>
        <w:rPr>
          <w:rFonts w:ascii="Times New Roman" w:hAnsi="Times New Roman" w:cs="Times New Roman"/>
        </w:rPr>
        <w:t>（1）永久占地</w:t>
      </w:r>
    </w:p>
    <w:p w14:paraId="2DD778A0">
      <w:pPr>
        <w:spacing w:line="360" w:lineRule="auto"/>
        <w:ind w:firstLine="480" w:firstLineChars="200"/>
        <w:jc w:val="both"/>
        <w:rPr>
          <w:rFonts w:ascii="Times New Roman" w:hAnsi="Times New Roman" w:cs="Times New Roman"/>
        </w:rPr>
      </w:pPr>
      <w:r>
        <w:rPr>
          <w:rFonts w:ascii="Times New Roman" w:hAnsi="Times New Roman" w:cs="Times New Roman"/>
        </w:rPr>
        <w:t>根据《土地利用现状分类标准》（GB/T21010-2017），本项目永久占地类型统计见表3.1-10。</w:t>
      </w:r>
    </w:p>
    <w:p w14:paraId="3E3B54BD">
      <w:pPr>
        <w:pStyle w:val="6"/>
        <w:kinsoku w:val="0"/>
        <w:overflowPunct w:val="0"/>
        <w:spacing w:after="0"/>
        <w:jc w:val="center"/>
        <w:rPr>
          <w:rFonts w:ascii="黑体" w:hAnsi="黑体" w:eastAsia="黑体" w:cs="Times New Roman"/>
          <w:bCs/>
          <w:kern w:val="2"/>
          <w:szCs w:val="21"/>
        </w:rPr>
      </w:pPr>
      <w:r>
        <w:rPr>
          <w:rFonts w:ascii="黑体" w:hAnsi="黑体" w:eastAsia="黑体" w:cs="Times New Roman"/>
          <w:bCs/>
          <w:kern w:val="2"/>
          <w:szCs w:val="21"/>
        </w:rPr>
        <w:t>表3.1-10   本项目永久占地情况表      单位：</w:t>
      </w:r>
      <w:r>
        <w:rPr>
          <w:rFonts w:hint="eastAsia" w:ascii="黑体" w:hAnsi="黑体" w:eastAsia="黑体" w:cs="Times New Roman"/>
          <w:bCs/>
          <w:kern w:val="2"/>
          <w:szCs w:val="21"/>
        </w:rPr>
        <w:t>亩</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905"/>
        <w:gridCol w:w="794"/>
        <w:gridCol w:w="794"/>
        <w:gridCol w:w="689"/>
        <w:gridCol w:w="719"/>
        <w:gridCol w:w="778"/>
        <w:gridCol w:w="778"/>
        <w:gridCol w:w="1159"/>
      </w:tblGrid>
      <w:tr w14:paraId="0AB5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pct"/>
            <w:vMerge w:val="restart"/>
            <w:tcBorders>
              <w:top w:val="single" w:color="auto" w:sz="4" w:space="0"/>
              <w:left w:val="single" w:color="auto" w:sz="4" w:space="0"/>
              <w:bottom w:val="single" w:color="auto" w:sz="4" w:space="0"/>
              <w:right w:val="single" w:color="auto" w:sz="4" w:space="0"/>
            </w:tcBorders>
            <w:noWrap/>
            <w:vAlign w:val="center"/>
          </w:tcPr>
          <w:p w14:paraId="052E9C7F">
            <w:pPr>
              <w:jc w:val="center"/>
              <w:rPr>
                <w:rFonts w:ascii="Times New Roman" w:hAnsi="Times New Roman" w:cs="Times New Roman"/>
                <w:sz w:val="21"/>
                <w:szCs w:val="18"/>
              </w:rPr>
            </w:pPr>
            <w:r>
              <w:rPr>
                <w:rFonts w:ascii="Times New Roman" w:hAnsi="Times New Roman" w:cs="Times New Roman"/>
                <w:sz w:val="21"/>
                <w:szCs w:val="18"/>
              </w:rPr>
              <w:t>起止桩号</w:t>
            </w:r>
          </w:p>
        </w:tc>
        <w:tc>
          <w:tcPr>
            <w:tcW w:w="545" w:type="pct"/>
            <w:vMerge w:val="restart"/>
            <w:tcBorders>
              <w:top w:val="single" w:color="auto" w:sz="4" w:space="0"/>
              <w:left w:val="single" w:color="auto" w:sz="4" w:space="0"/>
              <w:bottom w:val="single" w:color="auto" w:sz="4" w:space="0"/>
              <w:right w:val="single" w:color="auto" w:sz="4" w:space="0"/>
            </w:tcBorders>
            <w:noWrap/>
            <w:vAlign w:val="center"/>
          </w:tcPr>
          <w:p w14:paraId="683672B3">
            <w:pPr>
              <w:jc w:val="center"/>
              <w:rPr>
                <w:rFonts w:ascii="Times New Roman" w:hAnsi="Times New Roman" w:cs="Times New Roman"/>
                <w:sz w:val="21"/>
                <w:szCs w:val="18"/>
              </w:rPr>
            </w:pPr>
            <w:r>
              <w:rPr>
                <w:rFonts w:ascii="Times New Roman" w:hAnsi="Times New Roman" w:cs="Times New Roman"/>
                <w:sz w:val="21"/>
                <w:szCs w:val="18"/>
              </w:rPr>
              <w:t>长度</w:t>
            </w:r>
          </w:p>
          <w:p w14:paraId="0BDB3092">
            <w:pPr>
              <w:jc w:val="center"/>
              <w:rPr>
                <w:rFonts w:ascii="Times New Roman" w:hAnsi="Times New Roman" w:cs="Times New Roman"/>
                <w:sz w:val="21"/>
                <w:szCs w:val="18"/>
              </w:rPr>
            </w:pPr>
            <w:r>
              <w:rPr>
                <w:rFonts w:ascii="Times New Roman" w:hAnsi="Times New Roman" w:cs="Times New Roman"/>
                <w:sz w:val="21"/>
                <w:szCs w:val="18"/>
              </w:rPr>
              <w:t>（km）</w:t>
            </w:r>
          </w:p>
        </w:tc>
        <w:tc>
          <w:tcPr>
            <w:tcW w:w="3782" w:type="pct"/>
            <w:gridSpan w:val="7"/>
            <w:tcBorders>
              <w:top w:val="single" w:color="auto" w:sz="4" w:space="0"/>
              <w:left w:val="single" w:color="auto" w:sz="4" w:space="0"/>
              <w:bottom w:val="single" w:color="auto" w:sz="4" w:space="0"/>
              <w:right w:val="single" w:color="auto" w:sz="4" w:space="0"/>
            </w:tcBorders>
            <w:vAlign w:val="center"/>
          </w:tcPr>
          <w:p w14:paraId="72E307F5">
            <w:pPr>
              <w:jc w:val="center"/>
              <w:rPr>
                <w:rFonts w:ascii="Times New Roman" w:hAnsi="Times New Roman" w:cs="Times New Roman"/>
                <w:sz w:val="21"/>
                <w:szCs w:val="18"/>
              </w:rPr>
            </w:pPr>
            <w:r>
              <w:rPr>
                <w:rFonts w:ascii="Times New Roman" w:hAnsi="Times New Roman" w:cs="Times New Roman"/>
                <w:sz w:val="21"/>
                <w:szCs w:val="18"/>
              </w:rPr>
              <w:t>占地数量</w:t>
            </w:r>
          </w:p>
        </w:tc>
      </w:tr>
      <w:tr w14:paraId="2D51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pct"/>
            <w:vMerge w:val="continue"/>
            <w:tcBorders>
              <w:top w:val="single" w:color="auto" w:sz="4" w:space="0"/>
              <w:left w:val="single" w:color="auto" w:sz="4" w:space="0"/>
              <w:bottom w:val="single" w:color="auto" w:sz="4" w:space="0"/>
              <w:right w:val="single" w:color="auto" w:sz="4" w:space="0"/>
            </w:tcBorders>
            <w:vAlign w:val="center"/>
          </w:tcPr>
          <w:p w14:paraId="678B937C">
            <w:pPr>
              <w:rPr>
                <w:rFonts w:ascii="Times New Roman" w:hAnsi="Times New Roman" w:cs="Times New Roman"/>
                <w:sz w:val="21"/>
                <w:szCs w:val="18"/>
              </w:rPr>
            </w:pPr>
          </w:p>
        </w:tc>
        <w:tc>
          <w:tcPr>
            <w:tcW w:w="545" w:type="pct"/>
            <w:vMerge w:val="continue"/>
            <w:tcBorders>
              <w:top w:val="single" w:color="auto" w:sz="4" w:space="0"/>
              <w:left w:val="single" w:color="auto" w:sz="4" w:space="0"/>
              <w:bottom w:val="single" w:color="auto" w:sz="4" w:space="0"/>
              <w:right w:val="single" w:color="auto" w:sz="4" w:space="0"/>
            </w:tcBorders>
            <w:vAlign w:val="center"/>
          </w:tcPr>
          <w:p w14:paraId="70A5DB81">
            <w:pPr>
              <w:rPr>
                <w:rFonts w:ascii="Times New Roman" w:hAnsi="Times New Roman" w:cs="Times New Roman"/>
                <w:sz w:val="21"/>
                <w:szCs w:val="18"/>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25E2CD70">
            <w:pPr>
              <w:jc w:val="center"/>
              <w:rPr>
                <w:rFonts w:ascii="Times New Roman" w:hAnsi="Times New Roman" w:cs="Times New Roman"/>
                <w:sz w:val="21"/>
                <w:szCs w:val="18"/>
              </w:rPr>
            </w:pPr>
            <w:r>
              <w:rPr>
                <w:rFonts w:ascii="Times New Roman" w:hAnsi="Times New Roman" w:cs="Times New Roman"/>
                <w:sz w:val="21"/>
                <w:szCs w:val="18"/>
              </w:rPr>
              <w:t>耕地</w:t>
            </w:r>
          </w:p>
        </w:tc>
        <w:tc>
          <w:tcPr>
            <w:tcW w:w="484" w:type="pct"/>
            <w:tcBorders>
              <w:top w:val="single" w:color="auto" w:sz="4" w:space="0"/>
              <w:left w:val="single" w:color="auto" w:sz="4" w:space="0"/>
              <w:bottom w:val="single" w:color="auto" w:sz="4" w:space="0"/>
              <w:right w:val="single" w:color="auto" w:sz="4" w:space="0"/>
            </w:tcBorders>
            <w:vAlign w:val="center"/>
          </w:tcPr>
          <w:p w14:paraId="08F018FC">
            <w:pPr>
              <w:jc w:val="center"/>
              <w:rPr>
                <w:rFonts w:ascii="Times New Roman" w:hAnsi="Times New Roman" w:cs="Times New Roman"/>
                <w:sz w:val="21"/>
                <w:szCs w:val="18"/>
              </w:rPr>
            </w:pPr>
            <w:r>
              <w:rPr>
                <w:rFonts w:ascii="Times New Roman" w:hAnsi="Times New Roman" w:cs="Times New Roman"/>
                <w:sz w:val="21"/>
                <w:szCs w:val="18"/>
              </w:rPr>
              <w:t>林地</w:t>
            </w:r>
          </w:p>
        </w:tc>
        <w:tc>
          <w:tcPr>
            <w:tcW w:w="415" w:type="pct"/>
            <w:tcBorders>
              <w:top w:val="single" w:color="auto" w:sz="4" w:space="0"/>
              <w:left w:val="single" w:color="auto" w:sz="4" w:space="0"/>
              <w:bottom w:val="single" w:color="auto" w:sz="4" w:space="0"/>
              <w:right w:val="single" w:color="auto" w:sz="4" w:space="0"/>
            </w:tcBorders>
            <w:vAlign w:val="center"/>
          </w:tcPr>
          <w:p w14:paraId="7DFB201C">
            <w:pPr>
              <w:jc w:val="center"/>
              <w:rPr>
                <w:rFonts w:ascii="Times New Roman" w:hAnsi="Times New Roman" w:cs="Times New Roman"/>
                <w:sz w:val="21"/>
                <w:szCs w:val="18"/>
              </w:rPr>
            </w:pPr>
            <w:r>
              <w:rPr>
                <w:rFonts w:hint="eastAsia" w:ascii="Times New Roman" w:hAnsi="Times New Roman" w:cs="Times New Roman"/>
                <w:sz w:val="21"/>
                <w:szCs w:val="18"/>
              </w:rPr>
              <w:t>宅地</w:t>
            </w:r>
          </w:p>
        </w:tc>
        <w:tc>
          <w:tcPr>
            <w:tcW w:w="646" w:type="pct"/>
            <w:tcBorders>
              <w:top w:val="single" w:color="auto" w:sz="4" w:space="0"/>
              <w:left w:val="single" w:color="auto" w:sz="4" w:space="0"/>
              <w:bottom w:val="single" w:color="auto" w:sz="4" w:space="0"/>
              <w:right w:val="single" w:color="auto" w:sz="4" w:space="0"/>
            </w:tcBorders>
            <w:vAlign w:val="center"/>
          </w:tcPr>
          <w:p w14:paraId="260BC497">
            <w:pPr>
              <w:jc w:val="center"/>
              <w:rPr>
                <w:rFonts w:ascii="Times New Roman" w:hAnsi="Times New Roman" w:cs="Times New Roman"/>
                <w:sz w:val="21"/>
                <w:szCs w:val="18"/>
              </w:rPr>
            </w:pPr>
            <w:r>
              <w:rPr>
                <w:rFonts w:hint="eastAsia" w:ascii="Times New Roman" w:hAnsi="Times New Roman" w:cs="Times New Roman"/>
                <w:sz w:val="21"/>
                <w:szCs w:val="18"/>
              </w:rPr>
              <w:t>渠道</w:t>
            </w:r>
          </w:p>
        </w:tc>
        <w:tc>
          <w:tcPr>
            <w:tcW w:w="512" w:type="pct"/>
            <w:tcBorders>
              <w:top w:val="single" w:color="auto" w:sz="4" w:space="0"/>
              <w:left w:val="single" w:color="auto" w:sz="4" w:space="0"/>
              <w:bottom w:val="single" w:color="auto" w:sz="4" w:space="0"/>
              <w:right w:val="single" w:color="auto" w:sz="4" w:space="0"/>
            </w:tcBorders>
            <w:vAlign w:val="center"/>
          </w:tcPr>
          <w:p w14:paraId="2C81966B">
            <w:pPr>
              <w:jc w:val="center"/>
              <w:rPr>
                <w:rFonts w:ascii="Times New Roman" w:hAnsi="Times New Roman" w:cs="Times New Roman"/>
                <w:sz w:val="21"/>
                <w:szCs w:val="18"/>
              </w:rPr>
            </w:pPr>
            <w:r>
              <w:rPr>
                <w:rFonts w:hint="eastAsia" w:ascii="Times New Roman" w:hAnsi="Times New Roman" w:cs="Times New Roman"/>
                <w:sz w:val="21"/>
                <w:szCs w:val="18"/>
              </w:rPr>
              <w:t>果园</w:t>
            </w:r>
          </w:p>
        </w:tc>
        <w:tc>
          <w:tcPr>
            <w:tcW w:w="512" w:type="pct"/>
            <w:tcBorders>
              <w:top w:val="single" w:color="auto" w:sz="4" w:space="0"/>
              <w:left w:val="single" w:color="auto" w:sz="4" w:space="0"/>
              <w:bottom w:val="single" w:color="auto" w:sz="4" w:space="0"/>
              <w:right w:val="single" w:color="auto" w:sz="4" w:space="0"/>
            </w:tcBorders>
            <w:noWrap/>
            <w:vAlign w:val="center"/>
          </w:tcPr>
          <w:p w14:paraId="02745E3E">
            <w:pPr>
              <w:jc w:val="center"/>
              <w:rPr>
                <w:rFonts w:ascii="Times New Roman" w:hAnsi="Times New Roman" w:cs="Times New Roman"/>
                <w:sz w:val="21"/>
                <w:szCs w:val="18"/>
              </w:rPr>
            </w:pPr>
            <w:r>
              <w:rPr>
                <w:rFonts w:hint="eastAsia" w:ascii="Times New Roman" w:hAnsi="Times New Roman" w:cs="Times New Roman"/>
                <w:sz w:val="21"/>
                <w:szCs w:val="18"/>
              </w:rPr>
              <w:t>旧路</w:t>
            </w:r>
          </w:p>
        </w:tc>
        <w:tc>
          <w:tcPr>
            <w:tcW w:w="735" w:type="pct"/>
            <w:tcBorders>
              <w:top w:val="single" w:color="auto" w:sz="4" w:space="0"/>
              <w:left w:val="single" w:color="auto" w:sz="4" w:space="0"/>
              <w:bottom w:val="single" w:color="auto" w:sz="4" w:space="0"/>
              <w:right w:val="single" w:color="auto" w:sz="4" w:space="0"/>
            </w:tcBorders>
            <w:noWrap/>
            <w:vAlign w:val="center"/>
          </w:tcPr>
          <w:p w14:paraId="45501C0F">
            <w:pPr>
              <w:jc w:val="center"/>
              <w:rPr>
                <w:rFonts w:ascii="Times New Roman" w:hAnsi="Times New Roman" w:cs="Times New Roman"/>
                <w:sz w:val="21"/>
                <w:szCs w:val="18"/>
              </w:rPr>
            </w:pPr>
            <w:r>
              <w:rPr>
                <w:rFonts w:hint="eastAsia" w:ascii="Times New Roman" w:hAnsi="Times New Roman" w:cs="Times New Roman"/>
                <w:sz w:val="21"/>
                <w:szCs w:val="18"/>
              </w:rPr>
              <w:t>草地</w:t>
            </w:r>
          </w:p>
        </w:tc>
      </w:tr>
      <w:tr w14:paraId="552C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pct"/>
            <w:tcBorders>
              <w:top w:val="single" w:color="auto" w:sz="4" w:space="0"/>
              <w:left w:val="single" w:color="auto" w:sz="4" w:space="0"/>
              <w:bottom w:val="single" w:color="auto" w:sz="4" w:space="0"/>
              <w:right w:val="single" w:color="auto" w:sz="4" w:space="0"/>
            </w:tcBorders>
            <w:vAlign w:val="center"/>
          </w:tcPr>
          <w:p w14:paraId="1F2D0F78">
            <w:pPr>
              <w:rPr>
                <w:rFonts w:ascii="Times New Roman" w:hAnsi="Times New Roman" w:cs="Times New Roman"/>
                <w:sz w:val="21"/>
                <w:szCs w:val="18"/>
              </w:rPr>
            </w:pPr>
            <w:r>
              <w:rPr>
                <w:rFonts w:ascii="Times New Roman" w:hAnsi="Times New Roman" w:cs="Times New Roman"/>
                <w:sz w:val="21"/>
                <w:szCs w:val="18"/>
              </w:rPr>
              <w:t>K0+000—K33+453</w:t>
            </w:r>
          </w:p>
        </w:tc>
        <w:tc>
          <w:tcPr>
            <w:tcW w:w="545" w:type="pct"/>
            <w:tcBorders>
              <w:top w:val="single" w:color="auto" w:sz="4" w:space="0"/>
              <w:left w:val="single" w:color="auto" w:sz="4" w:space="0"/>
              <w:bottom w:val="single" w:color="auto" w:sz="4" w:space="0"/>
              <w:right w:val="single" w:color="auto" w:sz="4" w:space="0"/>
            </w:tcBorders>
            <w:vAlign w:val="center"/>
          </w:tcPr>
          <w:p w14:paraId="1EB73268">
            <w:pPr>
              <w:rPr>
                <w:rFonts w:ascii="Times New Roman" w:hAnsi="Times New Roman" w:cs="Times New Roman"/>
                <w:sz w:val="21"/>
                <w:szCs w:val="18"/>
              </w:rPr>
            </w:pPr>
            <w:r>
              <w:rPr>
                <w:rFonts w:ascii="Times New Roman" w:hAnsi="Times New Roman" w:cs="Times New Roman"/>
                <w:sz w:val="21"/>
                <w:szCs w:val="18"/>
              </w:rPr>
              <w:t>32.658</w:t>
            </w:r>
          </w:p>
        </w:tc>
        <w:tc>
          <w:tcPr>
            <w:tcW w:w="478" w:type="pct"/>
            <w:tcBorders>
              <w:top w:val="single" w:color="auto" w:sz="4" w:space="0"/>
              <w:left w:val="single" w:color="auto" w:sz="4" w:space="0"/>
              <w:bottom w:val="single" w:color="auto" w:sz="4" w:space="0"/>
              <w:right w:val="single" w:color="auto" w:sz="4" w:space="0"/>
            </w:tcBorders>
            <w:noWrap/>
            <w:vAlign w:val="center"/>
          </w:tcPr>
          <w:p w14:paraId="75158204">
            <w:pPr>
              <w:jc w:val="center"/>
              <w:rPr>
                <w:rFonts w:ascii="Times New Roman" w:hAnsi="Times New Roman" w:cs="Times New Roman"/>
                <w:sz w:val="21"/>
                <w:szCs w:val="18"/>
              </w:rPr>
            </w:pPr>
            <w:r>
              <w:rPr>
                <w:rFonts w:hint="eastAsia" w:ascii="Times New Roman" w:hAnsi="Times New Roman" w:cs="Times New Roman"/>
                <w:sz w:val="21"/>
                <w:szCs w:val="18"/>
              </w:rPr>
              <w:t>3</w:t>
            </w:r>
            <w:r>
              <w:rPr>
                <w:rFonts w:ascii="Times New Roman" w:hAnsi="Times New Roman" w:cs="Times New Roman"/>
                <w:sz w:val="21"/>
                <w:szCs w:val="18"/>
              </w:rPr>
              <w:t>59.79</w:t>
            </w:r>
          </w:p>
        </w:tc>
        <w:tc>
          <w:tcPr>
            <w:tcW w:w="484" w:type="pct"/>
            <w:tcBorders>
              <w:top w:val="single" w:color="auto" w:sz="4" w:space="0"/>
              <w:left w:val="single" w:color="auto" w:sz="4" w:space="0"/>
              <w:bottom w:val="single" w:color="auto" w:sz="4" w:space="0"/>
              <w:right w:val="single" w:color="auto" w:sz="4" w:space="0"/>
            </w:tcBorders>
            <w:vAlign w:val="center"/>
          </w:tcPr>
          <w:p w14:paraId="5529C32C">
            <w:pPr>
              <w:jc w:val="center"/>
              <w:rPr>
                <w:rFonts w:ascii="Times New Roman" w:hAnsi="Times New Roman" w:cs="Times New Roman"/>
                <w:sz w:val="21"/>
                <w:szCs w:val="18"/>
              </w:rPr>
            </w:pPr>
            <w:r>
              <w:rPr>
                <w:rFonts w:hint="eastAsia" w:ascii="Times New Roman" w:hAnsi="Times New Roman" w:cs="Times New Roman"/>
                <w:sz w:val="21"/>
                <w:szCs w:val="18"/>
              </w:rPr>
              <w:t>2</w:t>
            </w:r>
            <w:r>
              <w:rPr>
                <w:rFonts w:ascii="Times New Roman" w:hAnsi="Times New Roman" w:cs="Times New Roman"/>
                <w:sz w:val="21"/>
                <w:szCs w:val="18"/>
              </w:rPr>
              <w:t>87.65</w:t>
            </w:r>
          </w:p>
        </w:tc>
        <w:tc>
          <w:tcPr>
            <w:tcW w:w="415" w:type="pct"/>
            <w:tcBorders>
              <w:top w:val="single" w:color="auto" w:sz="4" w:space="0"/>
              <w:left w:val="single" w:color="auto" w:sz="4" w:space="0"/>
              <w:bottom w:val="single" w:color="auto" w:sz="4" w:space="0"/>
              <w:right w:val="single" w:color="auto" w:sz="4" w:space="0"/>
            </w:tcBorders>
            <w:vAlign w:val="center"/>
          </w:tcPr>
          <w:p w14:paraId="3E31423B">
            <w:pPr>
              <w:jc w:val="center"/>
              <w:rPr>
                <w:rFonts w:ascii="Times New Roman" w:hAnsi="Times New Roman" w:cs="Times New Roman"/>
                <w:sz w:val="21"/>
                <w:szCs w:val="18"/>
              </w:rPr>
            </w:pPr>
            <w:r>
              <w:rPr>
                <w:rFonts w:hint="eastAsia" w:ascii="Times New Roman" w:hAnsi="Times New Roman" w:cs="Times New Roman"/>
                <w:sz w:val="21"/>
                <w:szCs w:val="18"/>
              </w:rPr>
              <w:t>4</w:t>
            </w:r>
            <w:r>
              <w:rPr>
                <w:rFonts w:ascii="Times New Roman" w:hAnsi="Times New Roman" w:cs="Times New Roman"/>
                <w:sz w:val="21"/>
                <w:szCs w:val="18"/>
              </w:rPr>
              <w:t>9.15</w:t>
            </w:r>
          </w:p>
        </w:tc>
        <w:tc>
          <w:tcPr>
            <w:tcW w:w="646" w:type="pct"/>
            <w:tcBorders>
              <w:top w:val="single" w:color="auto" w:sz="4" w:space="0"/>
              <w:left w:val="single" w:color="auto" w:sz="4" w:space="0"/>
              <w:bottom w:val="single" w:color="auto" w:sz="4" w:space="0"/>
              <w:right w:val="single" w:color="auto" w:sz="4" w:space="0"/>
            </w:tcBorders>
            <w:vAlign w:val="center"/>
          </w:tcPr>
          <w:p w14:paraId="02C6A3B5">
            <w:pPr>
              <w:jc w:val="center"/>
              <w:rPr>
                <w:rFonts w:ascii="Times New Roman" w:hAnsi="Times New Roman" w:cs="Times New Roman"/>
                <w:sz w:val="21"/>
                <w:szCs w:val="18"/>
              </w:rPr>
            </w:pPr>
            <w:r>
              <w:rPr>
                <w:rFonts w:hint="eastAsia" w:ascii="Times New Roman" w:hAnsi="Times New Roman" w:cs="Times New Roman"/>
                <w:sz w:val="21"/>
                <w:szCs w:val="18"/>
              </w:rPr>
              <w:t>6</w:t>
            </w:r>
            <w:r>
              <w:rPr>
                <w:rFonts w:ascii="Times New Roman" w:hAnsi="Times New Roman" w:cs="Times New Roman"/>
                <w:sz w:val="21"/>
                <w:szCs w:val="18"/>
              </w:rPr>
              <w:t>3.43</w:t>
            </w:r>
          </w:p>
        </w:tc>
        <w:tc>
          <w:tcPr>
            <w:tcW w:w="512" w:type="pct"/>
            <w:tcBorders>
              <w:top w:val="single" w:color="auto" w:sz="4" w:space="0"/>
              <w:left w:val="single" w:color="auto" w:sz="4" w:space="0"/>
              <w:bottom w:val="single" w:color="auto" w:sz="4" w:space="0"/>
              <w:right w:val="single" w:color="auto" w:sz="4" w:space="0"/>
            </w:tcBorders>
            <w:vAlign w:val="center"/>
          </w:tcPr>
          <w:p w14:paraId="19831B2B">
            <w:pPr>
              <w:jc w:val="center"/>
              <w:rPr>
                <w:rFonts w:ascii="Times New Roman" w:hAnsi="Times New Roman" w:cs="Times New Roman"/>
                <w:sz w:val="21"/>
                <w:szCs w:val="18"/>
              </w:rPr>
            </w:pPr>
            <w:r>
              <w:rPr>
                <w:rFonts w:hint="eastAsia" w:ascii="Times New Roman" w:hAnsi="Times New Roman" w:cs="Times New Roman"/>
                <w:sz w:val="21"/>
                <w:szCs w:val="18"/>
              </w:rPr>
              <w:t>4</w:t>
            </w:r>
            <w:r>
              <w:rPr>
                <w:rFonts w:ascii="Times New Roman" w:hAnsi="Times New Roman" w:cs="Times New Roman"/>
                <w:sz w:val="21"/>
                <w:szCs w:val="18"/>
              </w:rPr>
              <w:t>.07</w:t>
            </w:r>
          </w:p>
        </w:tc>
        <w:tc>
          <w:tcPr>
            <w:tcW w:w="512" w:type="pct"/>
            <w:tcBorders>
              <w:top w:val="single" w:color="auto" w:sz="4" w:space="0"/>
              <w:left w:val="single" w:color="auto" w:sz="4" w:space="0"/>
              <w:bottom w:val="single" w:color="auto" w:sz="4" w:space="0"/>
              <w:right w:val="single" w:color="auto" w:sz="4" w:space="0"/>
            </w:tcBorders>
            <w:noWrap/>
            <w:vAlign w:val="center"/>
          </w:tcPr>
          <w:p w14:paraId="55B5EDE1">
            <w:pPr>
              <w:jc w:val="center"/>
              <w:rPr>
                <w:rFonts w:ascii="Times New Roman" w:hAnsi="Times New Roman" w:cs="Times New Roman"/>
                <w:sz w:val="21"/>
                <w:szCs w:val="18"/>
              </w:rPr>
            </w:pPr>
            <w:r>
              <w:rPr>
                <w:rFonts w:hint="eastAsia" w:ascii="Times New Roman" w:hAnsi="Times New Roman" w:cs="Times New Roman"/>
                <w:sz w:val="21"/>
                <w:szCs w:val="18"/>
              </w:rPr>
              <w:t>5</w:t>
            </w:r>
            <w:r>
              <w:rPr>
                <w:rFonts w:ascii="Times New Roman" w:hAnsi="Times New Roman" w:cs="Times New Roman"/>
                <w:sz w:val="21"/>
                <w:szCs w:val="18"/>
              </w:rPr>
              <w:t>3.32</w:t>
            </w:r>
          </w:p>
        </w:tc>
        <w:tc>
          <w:tcPr>
            <w:tcW w:w="735" w:type="pct"/>
            <w:tcBorders>
              <w:top w:val="single" w:color="auto" w:sz="4" w:space="0"/>
              <w:left w:val="single" w:color="auto" w:sz="4" w:space="0"/>
              <w:bottom w:val="single" w:color="auto" w:sz="4" w:space="0"/>
              <w:right w:val="single" w:color="auto" w:sz="4" w:space="0"/>
            </w:tcBorders>
            <w:noWrap/>
            <w:vAlign w:val="center"/>
          </w:tcPr>
          <w:p w14:paraId="3F73B67E">
            <w:pPr>
              <w:jc w:val="center"/>
              <w:rPr>
                <w:rFonts w:ascii="Times New Roman" w:hAnsi="Times New Roman" w:cs="Times New Roman"/>
                <w:sz w:val="21"/>
                <w:szCs w:val="18"/>
              </w:rPr>
            </w:pPr>
            <w:r>
              <w:rPr>
                <w:rFonts w:hint="eastAsia" w:ascii="Times New Roman" w:hAnsi="Times New Roman" w:cs="Times New Roman"/>
                <w:sz w:val="21"/>
                <w:szCs w:val="18"/>
              </w:rPr>
              <w:t>4</w:t>
            </w:r>
            <w:r>
              <w:rPr>
                <w:rFonts w:ascii="Times New Roman" w:hAnsi="Times New Roman" w:cs="Times New Roman"/>
                <w:sz w:val="21"/>
                <w:szCs w:val="18"/>
              </w:rPr>
              <w:t>14.69</w:t>
            </w:r>
          </w:p>
        </w:tc>
      </w:tr>
      <w:tr w14:paraId="08D11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pct"/>
            <w:tcBorders>
              <w:top w:val="single" w:color="auto" w:sz="4" w:space="0"/>
              <w:left w:val="single" w:color="auto" w:sz="4" w:space="0"/>
              <w:bottom w:val="single" w:color="auto" w:sz="4" w:space="0"/>
              <w:right w:val="single" w:color="auto" w:sz="4" w:space="0"/>
            </w:tcBorders>
            <w:vAlign w:val="center"/>
          </w:tcPr>
          <w:p w14:paraId="32BC83B2">
            <w:pPr>
              <w:jc w:val="center"/>
              <w:rPr>
                <w:rFonts w:ascii="Times New Roman" w:hAnsi="Times New Roman" w:cs="Times New Roman"/>
                <w:sz w:val="21"/>
                <w:szCs w:val="18"/>
              </w:rPr>
            </w:pPr>
            <w:r>
              <w:rPr>
                <w:rFonts w:hint="eastAsia" w:ascii="Times New Roman" w:hAnsi="Times New Roman" w:cs="Times New Roman"/>
                <w:sz w:val="21"/>
                <w:szCs w:val="18"/>
              </w:rPr>
              <w:t>合计</w:t>
            </w:r>
          </w:p>
        </w:tc>
        <w:tc>
          <w:tcPr>
            <w:tcW w:w="545" w:type="pct"/>
            <w:tcBorders>
              <w:top w:val="single" w:color="auto" w:sz="4" w:space="0"/>
              <w:left w:val="single" w:color="auto" w:sz="4" w:space="0"/>
              <w:bottom w:val="single" w:color="auto" w:sz="4" w:space="0"/>
              <w:right w:val="single" w:color="auto" w:sz="4" w:space="0"/>
            </w:tcBorders>
            <w:noWrap/>
            <w:vAlign w:val="center"/>
          </w:tcPr>
          <w:p w14:paraId="051500BC">
            <w:pPr>
              <w:jc w:val="center"/>
              <w:rPr>
                <w:rFonts w:ascii="Times New Roman" w:hAnsi="Times New Roman" w:cs="Times New Roman"/>
                <w:sz w:val="21"/>
                <w:szCs w:val="18"/>
              </w:rPr>
            </w:pPr>
          </w:p>
        </w:tc>
        <w:tc>
          <w:tcPr>
            <w:tcW w:w="3782" w:type="pct"/>
            <w:gridSpan w:val="7"/>
            <w:tcBorders>
              <w:top w:val="single" w:color="auto" w:sz="4" w:space="0"/>
              <w:left w:val="single" w:color="auto" w:sz="4" w:space="0"/>
              <w:bottom w:val="single" w:color="auto" w:sz="4" w:space="0"/>
              <w:right w:val="single" w:color="auto" w:sz="4" w:space="0"/>
            </w:tcBorders>
            <w:noWrap/>
            <w:vAlign w:val="center"/>
          </w:tcPr>
          <w:p w14:paraId="11C9E133">
            <w:pPr>
              <w:jc w:val="center"/>
              <w:rPr>
                <w:rFonts w:ascii="Times New Roman" w:hAnsi="Times New Roman" w:cs="Times New Roman"/>
                <w:sz w:val="21"/>
                <w:szCs w:val="18"/>
              </w:rPr>
            </w:pPr>
            <w:r>
              <w:rPr>
                <w:rFonts w:ascii="Times New Roman" w:hAnsi="Times New Roman" w:cs="Times New Roman"/>
                <w:sz w:val="21"/>
                <w:szCs w:val="18"/>
              </w:rPr>
              <w:t>1332.11</w:t>
            </w:r>
          </w:p>
        </w:tc>
      </w:tr>
    </w:tbl>
    <w:p w14:paraId="597E4942">
      <w:pPr>
        <w:pStyle w:val="6"/>
        <w:kinsoku w:val="0"/>
        <w:overflowPunct w:val="0"/>
        <w:spacing w:after="0"/>
        <w:jc w:val="center"/>
        <w:rPr>
          <w:rFonts w:ascii="Times New Roman" w:hAnsi="Times New Roman" w:cs="Times New Roman"/>
          <w:b/>
          <w:bCs/>
          <w:kern w:val="2"/>
        </w:rPr>
      </w:pPr>
    </w:p>
    <w:p w14:paraId="5CCD3E52">
      <w:pPr>
        <w:spacing w:line="360" w:lineRule="auto"/>
        <w:ind w:firstLine="480" w:firstLineChars="200"/>
        <w:rPr>
          <w:rFonts w:ascii="Times New Roman" w:hAnsi="Times New Roman" w:cs="Times New Roman"/>
        </w:rPr>
      </w:pPr>
      <w:r>
        <w:rPr>
          <w:rFonts w:ascii="Times New Roman" w:hAnsi="Times New Roman" w:cs="Times New Roman"/>
        </w:rPr>
        <w:t>（2）临时占地</w:t>
      </w:r>
    </w:p>
    <w:p w14:paraId="48DCA55B">
      <w:pPr>
        <w:spacing w:line="360" w:lineRule="auto"/>
        <w:ind w:firstLine="480" w:firstLineChars="200"/>
        <w:jc w:val="both"/>
        <w:rPr>
          <w:rFonts w:ascii="Times New Roman" w:hAnsi="Times New Roman" w:cs="Times New Roman"/>
        </w:rPr>
      </w:pPr>
      <w:r>
        <w:rPr>
          <w:rFonts w:ascii="Times New Roman" w:hAnsi="Times New Roman" w:cs="Times New Roman"/>
        </w:rPr>
        <w:t>本工程临时占地包括</w:t>
      </w:r>
      <w:r>
        <w:rPr>
          <w:rFonts w:hint="eastAsia" w:ascii="Times New Roman" w:hAnsi="Times New Roman" w:cs="Times New Roman"/>
        </w:rPr>
        <w:t>主线全线施工便道、</w:t>
      </w:r>
      <w:r>
        <w:rPr>
          <w:rFonts w:ascii="Times New Roman" w:hAnsi="Times New Roman" w:cs="Times New Roman"/>
        </w:rPr>
        <w:t>弃土场</w:t>
      </w:r>
      <w:r>
        <w:rPr>
          <w:rFonts w:hint="eastAsia" w:ascii="Times New Roman" w:hAnsi="Times New Roman" w:cs="Times New Roman"/>
        </w:rPr>
        <w:t>及其施工便道、</w:t>
      </w:r>
      <w:r>
        <w:rPr>
          <w:rFonts w:ascii="Times New Roman" w:hAnsi="Times New Roman" w:cs="Times New Roman"/>
        </w:rPr>
        <w:t>施工综合场站</w:t>
      </w:r>
      <w:r>
        <w:rPr>
          <w:rFonts w:hint="eastAsia" w:ascii="Times New Roman" w:hAnsi="Times New Roman" w:cs="Times New Roman"/>
        </w:rPr>
        <w:t>及其施工便道等</w:t>
      </w:r>
      <w:r>
        <w:rPr>
          <w:rFonts w:ascii="Times New Roman" w:hAnsi="Times New Roman" w:cs="Times New Roman"/>
        </w:rPr>
        <w:t>。</w:t>
      </w:r>
      <w:bookmarkStart w:id="326" w:name="_Hlk172397451"/>
      <w:r>
        <w:rPr>
          <w:rFonts w:ascii="Times New Roman" w:hAnsi="Times New Roman" w:cs="Times New Roman"/>
        </w:rPr>
        <w:t>占地类型</w:t>
      </w:r>
      <w:bookmarkEnd w:id="326"/>
      <w:r>
        <w:rPr>
          <w:rFonts w:hint="eastAsia" w:ascii="Times New Roman" w:hAnsi="Times New Roman" w:cs="Times New Roman"/>
        </w:rPr>
        <w:t>均为荒地</w:t>
      </w:r>
      <w:r>
        <w:rPr>
          <w:rFonts w:ascii="Times New Roman" w:hAnsi="Times New Roman" w:cs="Times New Roman"/>
        </w:rPr>
        <w:t>。</w:t>
      </w:r>
    </w:p>
    <w:p w14:paraId="53C07E88">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1 \* GB3 </w:instrText>
      </w:r>
      <w:r>
        <w:rPr>
          <w:rFonts w:ascii="Times New Roman" w:hAnsi="Times New Roman" w:cs="Times New Roman"/>
        </w:rPr>
        <w:fldChar w:fldCharType="separate"/>
      </w:r>
      <w:r>
        <w:rPr>
          <w:rFonts w:hint="eastAsia"/>
        </w:rPr>
        <w:t>①</w:t>
      </w:r>
      <w:r>
        <w:rPr>
          <w:rFonts w:ascii="Times New Roman" w:hAnsi="Times New Roman" w:cs="Times New Roman"/>
        </w:rPr>
        <w:fldChar w:fldCharType="end"/>
      </w:r>
      <w:r>
        <w:rPr>
          <w:rFonts w:ascii="Times New Roman" w:hAnsi="Times New Roman" w:cs="Times New Roman"/>
        </w:rPr>
        <w:t>施工综合场站</w:t>
      </w:r>
    </w:p>
    <w:p w14:paraId="1AC30585">
      <w:pPr>
        <w:spacing w:line="360" w:lineRule="auto"/>
        <w:ind w:firstLine="480" w:firstLineChars="200"/>
        <w:jc w:val="both"/>
        <w:rPr>
          <w:rFonts w:ascii="Times New Roman" w:hAnsi="Times New Roman" w:cs="Times New Roman"/>
        </w:rPr>
      </w:pPr>
      <w:r>
        <w:rPr>
          <w:rFonts w:ascii="Times New Roman" w:hAnsi="Times New Roman" w:cs="Times New Roman"/>
        </w:rPr>
        <w:t xml:space="preserve">本次拟建2座施工综合场站，2座施工综合场站内均设置水稳混凝土拌合站、水泥混凝土拌合站、沥青拌合站、预制场、生活区。 </w:t>
      </w:r>
      <w:r>
        <w:rPr>
          <w:rFonts w:hint="eastAsia" w:ascii="Times New Roman" w:hAnsi="Times New Roman" w:cs="Times New Roman"/>
        </w:rPr>
        <w:t>设定如下：</w:t>
      </w:r>
    </w:p>
    <w:p w14:paraId="46B77830">
      <w:pPr>
        <w:pStyle w:val="6"/>
        <w:kinsoku w:val="0"/>
        <w:overflowPunct w:val="0"/>
        <w:spacing w:after="0"/>
        <w:jc w:val="center"/>
        <w:rPr>
          <w:rFonts w:ascii="Times New Roman" w:hAnsi="Times New Roman" w:cs="Times New Roman"/>
          <w:b/>
          <w:bCs/>
          <w:kern w:val="2"/>
          <w:sz w:val="32"/>
        </w:rPr>
      </w:pPr>
      <w:r>
        <w:rPr>
          <w:rFonts w:hint="eastAsia" w:ascii="黑体" w:hAnsi="黑体" w:eastAsia="黑体" w:cs="Times New Roman"/>
          <w:bCs/>
          <w:kern w:val="2"/>
          <w:szCs w:val="21"/>
        </w:rPr>
        <w:t>表</w:t>
      </w:r>
      <w:r>
        <w:rPr>
          <w:rFonts w:ascii="黑体" w:hAnsi="黑体" w:eastAsia="黑体" w:cs="Times New Roman"/>
          <w:bCs/>
          <w:kern w:val="2"/>
          <w:szCs w:val="21"/>
        </w:rPr>
        <w:t xml:space="preserve"> 3.1-11      </w:t>
      </w:r>
      <w:r>
        <w:rPr>
          <w:rFonts w:hint="eastAsia" w:ascii="黑体" w:hAnsi="黑体" w:eastAsia="黑体" w:cs="Times New Roman"/>
          <w:bCs/>
          <w:kern w:val="2"/>
          <w:szCs w:val="21"/>
        </w:rPr>
        <w:t>综合场站设置</w:t>
      </w:r>
      <w:r>
        <w:rPr>
          <w:rFonts w:ascii="黑体" w:hAnsi="黑体" w:eastAsia="黑体" w:cs="Times New Roman"/>
          <w:bCs/>
          <w:kern w:val="2"/>
          <w:szCs w:val="21"/>
        </w:rPr>
        <w:t>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4"/>
        <w:gridCol w:w="2226"/>
        <w:gridCol w:w="2598"/>
      </w:tblGrid>
      <w:tr w14:paraId="4F65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0" w:type="dxa"/>
            <w:vAlign w:val="center"/>
          </w:tcPr>
          <w:p w14:paraId="078A9E1C">
            <w:pPr>
              <w:jc w:val="center"/>
              <w:rPr>
                <w:rFonts w:ascii="Times New Roman" w:hAnsi="Times New Roman" w:cs="Times New Roman"/>
                <w:sz w:val="21"/>
                <w:szCs w:val="18"/>
              </w:rPr>
            </w:pPr>
            <w:r>
              <w:rPr>
                <w:rFonts w:hint="eastAsia" w:ascii="Times New Roman" w:hAnsi="Times New Roman" w:cs="Times New Roman"/>
                <w:sz w:val="21"/>
                <w:szCs w:val="18"/>
              </w:rPr>
              <w:t>综合场站名称</w:t>
            </w:r>
            <w:r>
              <w:rPr>
                <w:rFonts w:ascii="Times New Roman" w:hAnsi="Times New Roman" w:cs="Times New Roman"/>
                <w:sz w:val="21"/>
                <w:szCs w:val="18"/>
              </w:rPr>
              <w:t xml:space="preserve"> </w:t>
            </w:r>
          </w:p>
        </w:tc>
        <w:tc>
          <w:tcPr>
            <w:tcW w:w="1701" w:type="dxa"/>
            <w:vAlign w:val="center"/>
          </w:tcPr>
          <w:p w14:paraId="6BE05563">
            <w:pPr>
              <w:jc w:val="center"/>
              <w:rPr>
                <w:rFonts w:ascii="Times New Roman" w:hAnsi="Times New Roman" w:cs="Times New Roman"/>
                <w:sz w:val="21"/>
                <w:szCs w:val="18"/>
              </w:rPr>
            </w:pPr>
            <w:r>
              <w:rPr>
                <w:rFonts w:hint="eastAsia" w:ascii="Times New Roman" w:hAnsi="Times New Roman" w:cs="Times New Roman"/>
                <w:sz w:val="21"/>
                <w:szCs w:val="18"/>
              </w:rPr>
              <w:t>上路桩号</w:t>
            </w:r>
          </w:p>
        </w:tc>
        <w:tc>
          <w:tcPr>
            <w:tcW w:w="1985" w:type="dxa"/>
            <w:vAlign w:val="center"/>
          </w:tcPr>
          <w:p w14:paraId="1838A02B">
            <w:pPr>
              <w:jc w:val="center"/>
              <w:rPr>
                <w:rFonts w:ascii="Times New Roman" w:hAnsi="Times New Roman" w:cs="Times New Roman"/>
                <w:sz w:val="21"/>
                <w:szCs w:val="18"/>
              </w:rPr>
            </w:pPr>
            <w:r>
              <w:rPr>
                <w:rFonts w:hint="eastAsia" w:ascii="Times New Roman" w:hAnsi="Times New Roman" w:cs="Times New Roman"/>
                <w:sz w:val="21"/>
                <w:szCs w:val="18"/>
              </w:rPr>
              <w:t>支线距离（</w:t>
            </w:r>
            <w:r>
              <w:rPr>
                <w:rFonts w:ascii="Times New Roman" w:hAnsi="Times New Roman" w:cs="Times New Roman"/>
                <w:sz w:val="21"/>
                <w:szCs w:val="18"/>
              </w:rPr>
              <w:t>m</w:t>
            </w:r>
            <w:r>
              <w:rPr>
                <w:rFonts w:hint="eastAsia" w:ascii="Times New Roman" w:hAnsi="Times New Roman" w:cs="Times New Roman"/>
                <w:sz w:val="21"/>
                <w:szCs w:val="18"/>
              </w:rPr>
              <w:t>）</w:t>
            </w:r>
          </w:p>
        </w:tc>
      </w:tr>
      <w:tr w14:paraId="07FB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0" w:type="dxa"/>
            <w:vAlign w:val="center"/>
          </w:tcPr>
          <w:p w14:paraId="7B3B2033">
            <w:pPr>
              <w:jc w:val="center"/>
              <w:rPr>
                <w:rFonts w:ascii="Times New Roman" w:hAnsi="Times New Roman" w:cs="Times New Roman"/>
                <w:sz w:val="21"/>
                <w:szCs w:val="18"/>
              </w:rPr>
            </w:pPr>
            <w:r>
              <w:rPr>
                <w:rFonts w:ascii="Times New Roman" w:hAnsi="Times New Roman" w:cs="Times New Roman"/>
                <w:sz w:val="21"/>
                <w:szCs w:val="18"/>
              </w:rPr>
              <w:t>1#综合场站（拌合站、预制场）</w:t>
            </w:r>
          </w:p>
        </w:tc>
        <w:tc>
          <w:tcPr>
            <w:tcW w:w="1701" w:type="dxa"/>
            <w:vAlign w:val="center"/>
          </w:tcPr>
          <w:p w14:paraId="264F3931">
            <w:pPr>
              <w:jc w:val="center"/>
              <w:rPr>
                <w:rFonts w:ascii="Times New Roman" w:hAnsi="Times New Roman" w:cs="Times New Roman"/>
                <w:sz w:val="21"/>
                <w:szCs w:val="18"/>
              </w:rPr>
            </w:pPr>
            <w:r>
              <w:rPr>
                <w:rFonts w:ascii="Times New Roman" w:hAnsi="Times New Roman" w:cs="Times New Roman"/>
                <w:sz w:val="21"/>
                <w:szCs w:val="18"/>
              </w:rPr>
              <w:t>K14+000</w:t>
            </w:r>
          </w:p>
        </w:tc>
        <w:tc>
          <w:tcPr>
            <w:tcW w:w="1985" w:type="dxa"/>
            <w:vAlign w:val="center"/>
          </w:tcPr>
          <w:p w14:paraId="4851DF99">
            <w:pPr>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00</w:t>
            </w:r>
          </w:p>
        </w:tc>
      </w:tr>
      <w:tr w14:paraId="487A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0" w:type="dxa"/>
            <w:vAlign w:val="center"/>
          </w:tcPr>
          <w:p w14:paraId="5FEAD5EA">
            <w:pPr>
              <w:jc w:val="center"/>
              <w:rPr>
                <w:rFonts w:ascii="Times New Roman" w:hAnsi="Times New Roman" w:cs="Times New Roman"/>
                <w:sz w:val="21"/>
                <w:szCs w:val="18"/>
              </w:rPr>
            </w:pPr>
            <w:r>
              <w:rPr>
                <w:rFonts w:ascii="Times New Roman" w:hAnsi="Times New Roman" w:cs="Times New Roman"/>
                <w:sz w:val="21"/>
                <w:szCs w:val="18"/>
              </w:rPr>
              <w:t>2#综合场站（拌合站、预制场）</w:t>
            </w:r>
          </w:p>
        </w:tc>
        <w:tc>
          <w:tcPr>
            <w:tcW w:w="1701" w:type="dxa"/>
            <w:vAlign w:val="center"/>
          </w:tcPr>
          <w:p w14:paraId="4F1D69BE">
            <w:pPr>
              <w:jc w:val="center"/>
              <w:rPr>
                <w:rFonts w:ascii="Times New Roman" w:hAnsi="Times New Roman" w:cs="Times New Roman"/>
                <w:sz w:val="21"/>
                <w:szCs w:val="18"/>
              </w:rPr>
            </w:pPr>
            <w:r>
              <w:rPr>
                <w:rFonts w:ascii="Times New Roman" w:hAnsi="Times New Roman" w:cs="Times New Roman"/>
                <w:sz w:val="21"/>
                <w:szCs w:val="18"/>
              </w:rPr>
              <w:t>K27+500</w:t>
            </w:r>
          </w:p>
        </w:tc>
        <w:tc>
          <w:tcPr>
            <w:tcW w:w="1985" w:type="dxa"/>
            <w:vAlign w:val="center"/>
          </w:tcPr>
          <w:p w14:paraId="366E81E7">
            <w:pPr>
              <w:jc w:val="center"/>
              <w:rPr>
                <w:rFonts w:ascii="Times New Roman" w:hAnsi="Times New Roman" w:cs="Times New Roman"/>
                <w:sz w:val="21"/>
                <w:szCs w:val="18"/>
              </w:rPr>
            </w:pPr>
            <w:r>
              <w:rPr>
                <w:rFonts w:ascii="Times New Roman" w:hAnsi="Times New Roman" w:cs="Times New Roman"/>
                <w:sz w:val="21"/>
                <w:szCs w:val="18"/>
              </w:rPr>
              <w:t>100</w:t>
            </w:r>
          </w:p>
        </w:tc>
      </w:tr>
    </w:tbl>
    <w:p w14:paraId="18CD3FBF">
      <w:pPr>
        <w:spacing w:line="360" w:lineRule="auto"/>
        <w:ind w:firstLine="480" w:firstLineChars="200"/>
        <w:jc w:val="both"/>
        <w:rPr>
          <w:rFonts w:ascii="Times New Roman" w:hAnsi="Times New Roman" w:cs="Times New Roman"/>
        </w:rPr>
      </w:pPr>
      <w:r>
        <w:rPr>
          <w:rFonts w:hint="eastAsia"/>
        </w:rPr>
        <w:t>②</w:t>
      </w:r>
      <w:r>
        <w:rPr>
          <w:rFonts w:hint="eastAsia" w:ascii="Times New Roman" w:hAnsi="Times New Roman" w:cs="Times New Roman"/>
        </w:rPr>
        <w:t>取、弃土场设置</w:t>
      </w:r>
    </w:p>
    <w:p w14:paraId="15133617">
      <w:pPr>
        <w:spacing w:line="360" w:lineRule="auto"/>
        <w:ind w:firstLine="480" w:firstLineChars="200"/>
        <w:jc w:val="both"/>
        <w:rPr>
          <w:rFonts w:ascii="Times New Roman" w:hAnsi="Times New Roman" w:cs="Times New Roman"/>
        </w:rPr>
      </w:pPr>
      <w:r>
        <w:rPr>
          <w:rFonts w:ascii="Times New Roman" w:hAnsi="Times New Roman" w:cs="Times New Roman"/>
        </w:rPr>
        <w:t>根据项目初步设计，</w:t>
      </w:r>
      <w:r>
        <w:rPr>
          <w:rFonts w:hint="eastAsia" w:ascii="Times New Roman" w:hAnsi="Times New Roman" w:cs="Times New Roman"/>
        </w:rPr>
        <w:t>本项目路基填料采用砾类土，采取集中外购的取土方式。设置</w:t>
      </w:r>
      <w:r>
        <w:rPr>
          <w:rFonts w:ascii="Times New Roman" w:hAnsi="Times New Roman" w:cs="Times New Roman"/>
        </w:rPr>
        <w:t>弃土场3</w:t>
      </w:r>
      <w:r>
        <w:rPr>
          <w:rFonts w:hint="eastAsia" w:ascii="Times New Roman" w:hAnsi="Times New Roman" w:cs="Times New Roman"/>
        </w:rPr>
        <w:t>处。取土外购。</w:t>
      </w:r>
    </w:p>
    <w:p w14:paraId="1D0ED092">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本项目取、弃土场设置情况见下表：</w:t>
      </w:r>
    </w:p>
    <w:p w14:paraId="5C643E10">
      <w:pPr>
        <w:pStyle w:val="6"/>
        <w:kinsoku w:val="0"/>
        <w:overflowPunct w:val="0"/>
        <w:spacing w:after="0"/>
        <w:jc w:val="center"/>
        <w:rPr>
          <w:rFonts w:ascii="Times New Roman" w:hAnsi="Times New Roman" w:cs="Times New Roman"/>
          <w:b/>
          <w:bCs/>
          <w:kern w:val="2"/>
        </w:rPr>
      </w:pPr>
      <w:r>
        <w:rPr>
          <w:rFonts w:hint="eastAsia" w:ascii="黑体" w:hAnsi="黑体" w:eastAsia="黑体" w:cs="Times New Roman"/>
          <w:bCs/>
          <w:kern w:val="2"/>
          <w:szCs w:val="21"/>
        </w:rPr>
        <w:t>表</w:t>
      </w:r>
      <w:r>
        <w:rPr>
          <w:rFonts w:ascii="黑体" w:hAnsi="黑体" w:eastAsia="黑体" w:cs="Times New Roman"/>
          <w:bCs/>
          <w:kern w:val="2"/>
          <w:szCs w:val="21"/>
        </w:rPr>
        <w:t xml:space="preserve"> 3.1-12     取、弃土</w:t>
      </w:r>
      <w:r>
        <w:rPr>
          <w:rFonts w:hint="eastAsia" w:ascii="黑体" w:hAnsi="黑体" w:eastAsia="黑体" w:cs="Times New Roman"/>
          <w:bCs/>
          <w:kern w:val="2"/>
          <w:szCs w:val="21"/>
        </w:rPr>
        <w:t>场</w:t>
      </w:r>
      <w:r>
        <w:rPr>
          <w:rFonts w:ascii="黑体" w:hAnsi="黑体" w:eastAsia="黑体" w:cs="Times New Roman"/>
          <w:bCs/>
          <w:kern w:val="2"/>
          <w:szCs w:val="21"/>
        </w:rPr>
        <w:t>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330"/>
        <w:gridCol w:w="1020"/>
        <w:gridCol w:w="1165"/>
        <w:gridCol w:w="2854"/>
      </w:tblGrid>
      <w:tr w14:paraId="2977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1129" w:type="dxa"/>
            <w:vAlign w:val="center"/>
          </w:tcPr>
          <w:p w14:paraId="0CADE187">
            <w:pPr>
              <w:jc w:val="center"/>
              <w:rPr>
                <w:rFonts w:ascii="Times New Roman" w:hAnsi="Times New Roman" w:cs="Times New Roman"/>
                <w:sz w:val="21"/>
                <w:szCs w:val="18"/>
              </w:rPr>
            </w:pPr>
            <w:r>
              <w:rPr>
                <w:rFonts w:hint="eastAsia" w:ascii="Times New Roman" w:hAnsi="Times New Roman" w:cs="Times New Roman"/>
                <w:sz w:val="21"/>
                <w:szCs w:val="18"/>
              </w:rPr>
              <w:t>编号</w:t>
            </w:r>
          </w:p>
        </w:tc>
        <w:tc>
          <w:tcPr>
            <w:tcW w:w="2268" w:type="dxa"/>
            <w:vAlign w:val="center"/>
          </w:tcPr>
          <w:p w14:paraId="05B1B93C">
            <w:pPr>
              <w:jc w:val="center"/>
              <w:rPr>
                <w:rFonts w:ascii="Times New Roman" w:hAnsi="Times New Roman" w:cs="Times New Roman"/>
                <w:sz w:val="21"/>
                <w:szCs w:val="18"/>
              </w:rPr>
            </w:pPr>
            <w:r>
              <w:rPr>
                <w:rFonts w:hint="eastAsia" w:ascii="Times New Roman" w:hAnsi="Times New Roman" w:cs="Times New Roman"/>
                <w:sz w:val="21"/>
                <w:szCs w:val="18"/>
              </w:rPr>
              <w:t>取（弃）土场位置</w:t>
            </w:r>
            <w:r>
              <w:rPr>
                <w:rFonts w:ascii="Times New Roman" w:hAnsi="Times New Roman" w:cs="Times New Roman"/>
                <w:sz w:val="21"/>
                <w:szCs w:val="18"/>
              </w:rPr>
              <w:t xml:space="preserve"> </w:t>
            </w:r>
          </w:p>
        </w:tc>
        <w:tc>
          <w:tcPr>
            <w:tcW w:w="993" w:type="dxa"/>
            <w:vAlign w:val="center"/>
          </w:tcPr>
          <w:p w14:paraId="0E1BE753">
            <w:pPr>
              <w:jc w:val="center"/>
              <w:rPr>
                <w:rFonts w:ascii="Times New Roman" w:hAnsi="Times New Roman" w:cs="Times New Roman"/>
                <w:sz w:val="21"/>
                <w:szCs w:val="18"/>
              </w:rPr>
            </w:pPr>
            <w:r>
              <w:rPr>
                <w:rFonts w:hint="eastAsia" w:ascii="Times New Roman" w:hAnsi="Times New Roman" w:cs="Times New Roman"/>
                <w:sz w:val="21"/>
                <w:szCs w:val="18"/>
              </w:rPr>
              <w:t>上、下路</w:t>
            </w:r>
          </w:p>
          <w:p w14:paraId="5F861B4A">
            <w:pPr>
              <w:jc w:val="center"/>
              <w:rPr>
                <w:rFonts w:ascii="Times New Roman" w:hAnsi="Times New Roman" w:cs="Times New Roman"/>
                <w:sz w:val="21"/>
                <w:szCs w:val="18"/>
              </w:rPr>
            </w:pPr>
            <w:r>
              <w:rPr>
                <w:rFonts w:hint="eastAsia" w:ascii="Times New Roman" w:hAnsi="Times New Roman" w:cs="Times New Roman"/>
                <w:sz w:val="21"/>
                <w:szCs w:val="18"/>
              </w:rPr>
              <w:t>桩号</w:t>
            </w:r>
          </w:p>
        </w:tc>
        <w:tc>
          <w:tcPr>
            <w:tcW w:w="1134" w:type="dxa"/>
            <w:vAlign w:val="center"/>
          </w:tcPr>
          <w:p w14:paraId="36D1D24E">
            <w:pPr>
              <w:jc w:val="center"/>
              <w:rPr>
                <w:rFonts w:ascii="Times New Roman" w:hAnsi="Times New Roman" w:cs="Times New Roman"/>
                <w:sz w:val="21"/>
                <w:szCs w:val="18"/>
              </w:rPr>
            </w:pPr>
            <w:r>
              <w:rPr>
                <w:rFonts w:hint="eastAsia" w:ascii="Times New Roman" w:hAnsi="Times New Roman" w:cs="Times New Roman"/>
                <w:sz w:val="21"/>
                <w:szCs w:val="18"/>
              </w:rPr>
              <w:t>支距</w:t>
            </w:r>
          </w:p>
          <w:p w14:paraId="2A7DCDCF">
            <w:pPr>
              <w:jc w:val="center"/>
              <w:rPr>
                <w:rFonts w:ascii="Times New Roman" w:hAnsi="Times New Roman" w:cs="Times New Roman"/>
                <w:sz w:val="21"/>
                <w:szCs w:val="18"/>
              </w:rPr>
            </w:pPr>
            <w:r>
              <w:rPr>
                <w:rFonts w:hint="eastAsia" w:ascii="Times New Roman" w:hAnsi="Times New Roman" w:cs="Times New Roman"/>
                <w:sz w:val="21"/>
                <w:szCs w:val="18"/>
              </w:rPr>
              <w:t>（k</w:t>
            </w:r>
            <w:r>
              <w:rPr>
                <w:rFonts w:ascii="Times New Roman" w:hAnsi="Times New Roman" w:cs="Times New Roman"/>
                <w:sz w:val="21"/>
                <w:szCs w:val="18"/>
              </w:rPr>
              <w:t>m</w:t>
            </w:r>
            <w:r>
              <w:rPr>
                <w:rFonts w:hint="eastAsia" w:ascii="Times New Roman" w:hAnsi="Times New Roman" w:cs="Times New Roman"/>
                <w:sz w:val="21"/>
                <w:szCs w:val="18"/>
              </w:rPr>
              <w:t>）</w:t>
            </w:r>
          </w:p>
        </w:tc>
        <w:tc>
          <w:tcPr>
            <w:tcW w:w="2778" w:type="dxa"/>
            <w:vAlign w:val="center"/>
          </w:tcPr>
          <w:p w14:paraId="374D3F03">
            <w:pPr>
              <w:jc w:val="center"/>
              <w:rPr>
                <w:rFonts w:ascii="Times New Roman" w:hAnsi="Times New Roman" w:cs="Times New Roman"/>
                <w:sz w:val="21"/>
                <w:szCs w:val="18"/>
              </w:rPr>
            </w:pPr>
            <w:r>
              <w:rPr>
                <w:rFonts w:hint="eastAsia" w:ascii="Times New Roman" w:hAnsi="Times New Roman" w:cs="Times New Roman"/>
                <w:sz w:val="21"/>
                <w:szCs w:val="18"/>
              </w:rPr>
              <w:t>供应范围</w:t>
            </w:r>
          </w:p>
        </w:tc>
      </w:tr>
      <w:tr w14:paraId="71FF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9" w:type="dxa"/>
            <w:vAlign w:val="center"/>
          </w:tcPr>
          <w:p w14:paraId="5D25E73E">
            <w:pPr>
              <w:jc w:val="center"/>
              <w:rPr>
                <w:rFonts w:ascii="Times New Roman" w:hAnsi="Times New Roman" w:cs="Times New Roman"/>
                <w:sz w:val="21"/>
                <w:szCs w:val="18"/>
              </w:rPr>
            </w:pPr>
            <w:r>
              <w:rPr>
                <w:rFonts w:ascii="Times New Roman" w:hAnsi="Times New Roman" w:cs="Times New Roman"/>
                <w:sz w:val="21"/>
                <w:szCs w:val="18"/>
              </w:rPr>
              <w:t>取土场</w:t>
            </w:r>
          </w:p>
        </w:tc>
        <w:tc>
          <w:tcPr>
            <w:tcW w:w="2268" w:type="dxa"/>
            <w:vAlign w:val="center"/>
          </w:tcPr>
          <w:p w14:paraId="12252013">
            <w:pPr>
              <w:jc w:val="center"/>
              <w:rPr>
                <w:rFonts w:ascii="Times New Roman" w:hAnsi="Times New Roman" w:cs="Times New Roman"/>
                <w:sz w:val="21"/>
                <w:szCs w:val="18"/>
              </w:rPr>
            </w:pPr>
            <w:r>
              <w:rPr>
                <w:rFonts w:hint="eastAsia" w:ascii="Times New Roman" w:hAnsi="Times New Roman" w:cs="Times New Roman"/>
                <w:sz w:val="21"/>
                <w:szCs w:val="18"/>
              </w:rPr>
              <w:t>位于疏附县乌帕尔镇东北方向约</w:t>
            </w:r>
            <w:r>
              <w:rPr>
                <w:rFonts w:ascii="Times New Roman" w:hAnsi="Times New Roman" w:cs="Times New Roman"/>
                <w:sz w:val="21"/>
                <w:szCs w:val="18"/>
              </w:rPr>
              <w:t>5.5公里</w:t>
            </w:r>
          </w:p>
        </w:tc>
        <w:tc>
          <w:tcPr>
            <w:tcW w:w="993" w:type="dxa"/>
            <w:vAlign w:val="center"/>
          </w:tcPr>
          <w:p w14:paraId="354C379E">
            <w:pPr>
              <w:jc w:val="center"/>
              <w:rPr>
                <w:rFonts w:ascii="Times New Roman" w:hAnsi="Times New Roman" w:cs="Times New Roman"/>
                <w:sz w:val="21"/>
                <w:szCs w:val="18"/>
              </w:rPr>
            </w:pPr>
            <w:r>
              <w:rPr>
                <w:rFonts w:ascii="Times New Roman" w:hAnsi="Times New Roman" w:cs="Times New Roman"/>
                <w:sz w:val="21"/>
                <w:szCs w:val="18"/>
              </w:rPr>
              <w:t>K33+453</w:t>
            </w:r>
          </w:p>
        </w:tc>
        <w:tc>
          <w:tcPr>
            <w:tcW w:w="1134" w:type="dxa"/>
            <w:vAlign w:val="center"/>
          </w:tcPr>
          <w:p w14:paraId="47FE8383">
            <w:pPr>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6</w:t>
            </w:r>
          </w:p>
        </w:tc>
        <w:tc>
          <w:tcPr>
            <w:tcW w:w="2778" w:type="dxa"/>
            <w:vAlign w:val="center"/>
          </w:tcPr>
          <w:p w14:paraId="0A080DA3">
            <w:pPr>
              <w:jc w:val="center"/>
              <w:rPr>
                <w:rFonts w:ascii="Times New Roman" w:hAnsi="Times New Roman" w:cs="Times New Roman"/>
                <w:sz w:val="21"/>
                <w:szCs w:val="18"/>
              </w:rPr>
            </w:pPr>
            <w:r>
              <w:rPr>
                <w:rFonts w:hint="eastAsia" w:ascii="Times New Roman" w:hAnsi="Times New Roman" w:cs="Times New Roman"/>
                <w:sz w:val="21"/>
                <w:szCs w:val="18"/>
              </w:rPr>
              <w:t>外购，供应全线填方</w:t>
            </w:r>
            <w:r>
              <w:rPr>
                <w:rFonts w:ascii="Times New Roman" w:hAnsi="Times New Roman" w:cs="Times New Roman"/>
                <w:sz w:val="21"/>
                <w:szCs w:val="18"/>
              </w:rPr>
              <w:t xml:space="preserve"> </w:t>
            </w:r>
          </w:p>
        </w:tc>
      </w:tr>
      <w:tr w14:paraId="76CE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9" w:type="dxa"/>
            <w:vAlign w:val="center"/>
          </w:tcPr>
          <w:p w14:paraId="003DC23E">
            <w:pPr>
              <w:jc w:val="center"/>
              <w:rPr>
                <w:rFonts w:ascii="Times New Roman" w:hAnsi="Times New Roman" w:cs="Times New Roman"/>
                <w:sz w:val="21"/>
                <w:szCs w:val="18"/>
              </w:rPr>
            </w:pPr>
            <w:r>
              <w:rPr>
                <w:rFonts w:ascii="Times New Roman" w:hAnsi="Times New Roman" w:cs="Times New Roman"/>
                <w:sz w:val="21"/>
                <w:szCs w:val="18"/>
              </w:rPr>
              <w:t>1#弃土场</w:t>
            </w:r>
          </w:p>
        </w:tc>
        <w:tc>
          <w:tcPr>
            <w:tcW w:w="2268" w:type="dxa"/>
            <w:vAlign w:val="center"/>
          </w:tcPr>
          <w:p w14:paraId="5C517AD8">
            <w:pPr>
              <w:jc w:val="center"/>
              <w:rPr>
                <w:rFonts w:ascii="Times New Roman" w:hAnsi="Times New Roman" w:cs="Times New Roman"/>
                <w:sz w:val="21"/>
                <w:szCs w:val="18"/>
              </w:rPr>
            </w:pPr>
            <w:r>
              <w:rPr>
                <w:rFonts w:hint="eastAsia" w:ascii="Times New Roman" w:hAnsi="Times New Roman" w:cs="Times New Roman"/>
                <w:sz w:val="21"/>
                <w:szCs w:val="18"/>
              </w:rPr>
              <w:t>位于路线右侧</w:t>
            </w:r>
            <w:r>
              <w:rPr>
                <w:rFonts w:ascii="Times New Roman" w:hAnsi="Times New Roman" w:cs="Times New Roman"/>
                <w:sz w:val="21"/>
                <w:szCs w:val="18"/>
              </w:rPr>
              <w:t>100m处</w:t>
            </w:r>
          </w:p>
        </w:tc>
        <w:tc>
          <w:tcPr>
            <w:tcW w:w="993" w:type="dxa"/>
            <w:vAlign w:val="center"/>
          </w:tcPr>
          <w:p w14:paraId="3CE2A4C2">
            <w:pPr>
              <w:jc w:val="center"/>
              <w:rPr>
                <w:rFonts w:ascii="Times New Roman" w:hAnsi="Times New Roman" w:cs="Times New Roman"/>
                <w:sz w:val="21"/>
                <w:szCs w:val="18"/>
              </w:rPr>
            </w:pPr>
            <w:r>
              <w:rPr>
                <w:rFonts w:ascii="Times New Roman" w:hAnsi="Times New Roman" w:cs="Times New Roman"/>
                <w:sz w:val="21"/>
                <w:szCs w:val="18"/>
              </w:rPr>
              <w:t>K13+200</w:t>
            </w:r>
          </w:p>
        </w:tc>
        <w:tc>
          <w:tcPr>
            <w:tcW w:w="1134" w:type="dxa"/>
            <w:vAlign w:val="center"/>
          </w:tcPr>
          <w:p w14:paraId="5DD78B1B">
            <w:pPr>
              <w:jc w:val="center"/>
              <w:rPr>
                <w:rFonts w:ascii="Times New Roman" w:hAnsi="Times New Roman" w:cs="Times New Roman"/>
                <w:sz w:val="21"/>
                <w:szCs w:val="18"/>
              </w:rPr>
            </w:pPr>
            <w:r>
              <w:rPr>
                <w:rFonts w:hint="eastAsia" w:ascii="Times New Roman" w:hAnsi="Times New Roman" w:cs="Times New Roman"/>
                <w:sz w:val="21"/>
                <w:szCs w:val="18"/>
              </w:rPr>
              <w:t>0</w:t>
            </w:r>
            <w:r>
              <w:rPr>
                <w:rFonts w:ascii="Times New Roman" w:hAnsi="Times New Roman" w:cs="Times New Roman"/>
                <w:sz w:val="21"/>
                <w:szCs w:val="18"/>
              </w:rPr>
              <w:t>.1</w:t>
            </w:r>
          </w:p>
        </w:tc>
        <w:tc>
          <w:tcPr>
            <w:tcW w:w="2778" w:type="dxa"/>
            <w:vAlign w:val="center"/>
          </w:tcPr>
          <w:p w14:paraId="3100627A">
            <w:pPr>
              <w:jc w:val="center"/>
              <w:rPr>
                <w:rFonts w:ascii="Times New Roman" w:hAnsi="Times New Roman" w:cs="Times New Roman"/>
                <w:sz w:val="21"/>
                <w:szCs w:val="18"/>
              </w:rPr>
            </w:pPr>
            <w:r>
              <w:rPr>
                <w:rFonts w:hint="eastAsia" w:ascii="Times New Roman" w:hAnsi="Times New Roman" w:cs="Times New Roman"/>
                <w:sz w:val="21"/>
                <w:szCs w:val="18"/>
              </w:rPr>
              <w:t>供应</w:t>
            </w:r>
            <w:r>
              <w:rPr>
                <w:rFonts w:ascii="Times New Roman" w:hAnsi="Times New Roman" w:cs="Times New Roman"/>
                <w:sz w:val="21"/>
                <w:szCs w:val="18"/>
              </w:rPr>
              <w:t>K0+794.953～K20+000 弃方</w:t>
            </w:r>
          </w:p>
        </w:tc>
      </w:tr>
      <w:tr w14:paraId="57D3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9" w:type="dxa"/>
            <w:vAlign w:val="center"/>
          </w:tcPr>
          <w:p w14:paraId="71522261">
            <w:pPr>
              <w:jc w:val="center"/>
              <w:rPr>
                <w:rFonts w:ascii="Times New Roman" w:hAnsi="Times New Roman" w:cs="Times New Roman"/>
                <w:sz w:val="21"/>
                <w:szCs w:val="18"/>
              </w:rPr>
            </w:pPr>
            <w:r>
              <w:rPr>
                <w:rFonts w:ascii="Times New Roman" w:hAnsi="Times New Roman" w:cs="Times New Roman"/>
                <w:sz w:val="21"/>
                <w:szCs w:val="18"/>
              </w:rPr>
              <w:t>2#弃土场</w:t>
            </w:r>
          </w:p>
        </w:tc>
        <w:tc>
          <w:tcPr>
            <w:tcW w:w="2268" w:type="dxa"/>
            <w:vAlign w:val="center"/>
          </w:tcPr>
          <w:p w14:paraId="76FDCCF6">
            <w:pPr>
              <w:jc w:val="center"/>
              <w:rPr>
                <w:rFonts w:ascii="Times New Roman" w:hAnsi="Times New Roman" w:cs="Times New Roman"/>
                <w:sz w:val="21"/>
                <w:szCs w:val="18"/>
              </w:rPr>
            </w:pPr>
            <w:r>
              <w:rPr>
                <w:rFonts w:hint="eastAsia" w:ascii="Times New Roman" w:hAnsi="Times New Roman" w:cs="Times New Roman"/>
                <w:sz w:val="21"/>
                <w:szCs w:val="18"/>
              </w:rPr>
              <w:t>位于路线右侧</w:t>
            </w:r>
            <w:r>
              <w:rPr>
                <w:rFonts w:ascii="Times New Roman" w:hAnsi="Times New Roman" w:cs="Times New Roman"/>
                <w:sz w:val="21"/>
                <w:szCs w:val="18"/>
              </w:rPr>
              <w:t>100m处</w:t>
            </w:r>
          </w:p>
        </w:tc>
        <w:tc>
          <w:tcPr>
            <w:tcW w:w="993" w:type="dxa"/>
            <w:vAlign w:val="center"/>
          </w:tcPr>
          <w:p w14:paraId="01ACDE99">
            <w:pPr>
              <w:jc w:val="center"/>
              <w:rPr>
                <w:rFonts w:ascii="Times New Roman" w:hAnsi="Times New Roman" w:cs="Times New Roman"/>
                <w:sz w:val="21"/>
                <w:szCs w:val="18"/>
              </w:rPr>
            </w:pPr>
            <w:r>
              <w:rPr>
                <w:rFonts w:ascii="Times New Roman" w:hAnsi="Times New Roman" w:cs="Times New Roman"/>
                <w:sz w:val="21"/>
                <w:szCs w:val="18"/>
              </w:rPr>
              <w:t>K13+420</w:t>
            </w:r>
          </w:p>
        </w:tc>
        <w:tc>
          <w:tcPr>
            <w:tcW w:w="1134" w:type="dxa"/>
            <w:vAlign w:val="center"/>
          </w:tcPr>
          <w:p w14:paraId="5FE45657">
            <w:pPr>
              <w:jc w:val="center"/>
              <w:rPr>
                <w:rFonts w:ascii="Times New Roman" w:hAnsi="Times New Roman" w:cs="Times New Roman"/>
                <w:sz w:val="21"/>
                <w:szCs w:val="18"/>
              </w:rPr>
            </w:pPr>
            <w:r>
              <w:rPr>
                <w:rFonts w:hint="eastAsia" w:ascii="Times New Roman" w:hAnsi="Times New Roman" w:cs="Times New Roman"/>
                <w:sz w:val="21"/>
                <w:szCs w:val="18"/>
              </w:rPr>
              <w:t>0.</w:t>
            </w:r>
            <w:r>
              <w:rPr>
                <w:rFonts w:ascii="Times New Roman" w:hAnsi="Times New Roman" w:cs="Times New Roman"/>
                <w:sz w:val="21"/>
                <w:szCs w:val="18"/>
              </w:rPr>
              <w:t>1</w:t>
            </w:r>
          </w:p>
        </w:tc>
        <w:tc>
          <w:tcPr>
            <w:tcW w:w="2778" w:type="dxa"/>
            <w:vAlign w:val="center"/>
          </w:tcPr>
          <w:p w14:paraId="55D141BD">
            <w:pPr>
              <w:jc w:val="center"/>
              <w:rPr>
                <w:rFonts w:ascii="Times New Roman" w:hAnsi="Times New Roman" w:cs="Times New Roman"/>
                <w:sz w:val="21"/>
                <w:szCs w:val="18"/>
              </w:rPr>
            </w:pPr>
            <w:r>
              <w:rPr>
                <w:rFonts w:hint="eastAsia" w:ascii="Times New Roman" w:hAnsi="Times New Roman" w:cs="Times New Roman"/>
                <w:sz w:val="21"/>
                <w:szCs w:val="18"/>
              </w:rPr>
              <w:t>供应</w:t>
            </w:r>
            <w:r>
              <w:rPr>
                <w:rFonts w:ascii="Times New Roman" w:hAnsi="Times New Roman" w:cs="Times New Roman"/>
                <w:sz w:val="21"/>
                <w:szCs w:val="18"/>
              </w:rPr>
              <w:t>K0+794.953～K20+000 弃方</w:t>
            </w:r>
          </w:p>
        </w:tc>
      </w:tr>
      <w:tr w14:paraId="6849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9" w:type="dxa"/>
            <w:vAlign w:val="center"/>
          </w:tcPr>
          <w:p w14:paraId="76C5B88D">
            <w:pPr>
              <w:jc w:val="center"/>
              <w:rPr>
                <w:rFonts w:ascii="Times New Roman" w:hAnsi="Times New Roman" w:cs="Times New Roman"/>
                <w:sz w:val="21"/>
                <w:szCs w:val="18"/>
              </w:rPr>
            </w:pPr>
            <w:r>
              <w:rPr>
                <w:rFonts w:ascii="Times New Roman" w:hAnsi="Times New Roman" w:cs="Times New Roman"/>
                <w:sz w:val="21"/>
                <w:szCs w:val="18"/>
              </w:rPr>
              <w:t>3#弃土场</w:t>
            </w:r>
          </w:p>
        </w:tc>
        <w:tc>
          <w:tcPr>
            <w:tcW w:w="2268" w:type="dxa"/>
            <w:vAlign w:val="center"/>
          </w:tcPr>
          <w:p w14:paraId="1A45F6A8">
            <w:pPr>
              <w:jc w:val="center"/>
              <w:rPr>
                <w:rFonts w:ascii="Times New Roman" w:hAnsi="Times New Roman" w:cs="Times New Roman"/>
                <w:sz w:val="21"/>
                <w:szCs w:val="18"/>
              </w:rPr>
            </w:pPr>
            <w:r>
              <w:rPr>
                <w:rFonts w:hint="eastAsia" w:ascii="Times New Roman" w:hAnsi="Times New Roman" w:cs="Times New Roman"/>
                <w:sz w:val="21"/>
                <w:szCs w:val="18"/>
              </w:rPr>
              <w:t>位于路线右侧</w:t>
            </w:r>
            <w:r>
              <w:rPr>
                <w:rFonts w:ascii="Times New Roman" w:hAnsi="Times New Roman" w:cs="Times New Roman"/>
                <w:sz w:val="21"/>
                <w:szCs w:val="18"/>
              </w:rPr>
              <w:t>400m处</w:t>
            </w:r>
          </w:p>
        </w:tc>
        <w:tc>
          <w:tcPr>
            <w:tcW w:w="993" w:type="dxa"/>
            <w:vAlign w:val="center"/>
          </w:tcPr>
          <w:p w14:paraId="09144135">
            <w:pPr>
              <w:jc w:val="center"/>
              <w:rPr>
                <w:rFonts w:ascii="Times New Roman" w:hAnsi="Times New Roman" w:cs="Times New Roman"/>
                <w:sz w:val="21"/>
                <w:szCs w:val="18"/>
              </w:rPr>
            </w:pPr>
            <w:r>
              <w:rPr>
                <w:rFonts w:ascii="Times New Roman" w:hAnsi="Times New Roman" w:cs="Times New Roman"/>
                <w:sz w:val="21"/>
                <w:szCs w:val="18"/>
              </w:rPr>
              <w:t>K13+840</w:t>
            </w:r>
          </w:p>
        </w:tc>
        <w:tc>
          <w:tcPr>
            <w:tcW w:w="1134" w:type="dxa"/>
            <w:vAlign w:val="center"/>
          </w:tcPr>
          <w:p w14:paraId="69164E3E">
            <w:pPr>
              <w:jc w:val="center"/>
              <w:rPr>
                <w:rFonts w:ascii="Times New Roman" w:hAnsi="Times New Roman" w:cs="Times New Roman"/>
                <w:sz w:val="21"/>
                <w:szCs w:val="18"/>
              </w:rPr>
            </w:pPr>
            <w:r>
              <w:rPr>
                <w:rFonts w:hint="eastAsia" w:ascii="Times New Roman" w:hAnsi="Times New Roman" w:cs="Times New Roman"/>
                <w:sz w:val="21"/>
                <w:szCs w:val="18"/>
              </w:rPr>
              <w:t>0</w:t>
            </w:r>
            <w:r>
              <w:rPr>
                <w:rFonts w:ascii="Times New Roman" w:hAnsi="Times New Roman" w:cs="Times New Roman"/>
                <w:sz w:val="21"/>
                <w:szCs w:val="18"/>
              </w:rPr>
              <w:t>.4</w:t>
            </w:r>
          </w:p>
        </w:tc>
        <w:tc>
          <w:tcPr>
            <w:tcW w:w="2778" w:type="dxa"/>
            <w:vAlign w:val="center"/>
          </w:tcPr>
          <w:p w14:paraId="17C47F03">
            <w:pPr>
              <w:rPr>
                <w:rFonts w:ascii="Times New Roman" w:hAnsi="Times New Roman" w:cs="Times New Roman"/>
                <w:sz w:val="21"/>
                <w:szCs w:val="18"/>
              </w:rPr>
            </w:pPr>
            <w:r>
              <w:rPr>
                <w:rFonts w:hint="eastAsia" w:ascii="Times New Roman" w:hAnsi="Times New Roman" w:cs="Times New Roman"/>
                <w:sz w:val="21"/>
                <w:szCs w:val="18"/>
              </w:rPr>
              <w:t>供应</w:t>
            </w:r>
            <w:r>
              <w:rPr>
                <w:rFonts w:ascii="Times New Roman" w:hAnsi="Times New Roman" w:cs="Times New Roman"/>
                <w:sz w:val="21"/>
                <w:szCs w:val="18"/>
              </w:rPr>
              <w:t>K20+000～K33+452.782 弃方</w:t>
            </w:r>
          </w:p>
        </w:tc>
      </w:tr>
    </w:tbl>
    <w:p w14:paraId="5EDFEE1D">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3 \* GB3 </w:instrText>
      </w:r>
      <w:r>
        <w:rPr>
          <w:rFonts w:ascii="Times New Roman" w:hAnsi="Times New Roman" w:cs="Times New Roman"/>
        </w:rPr>
        <w:fldChar w:fldCharType="separate"/>
      </w:r>
      <w:r>
        <w:rPr>
          <w:rFonts w:hint="eastAsia"/>
        </w:rPr>
        <w:t>③</w:t>
      </w:r>
      <w:r>
        <w:rPr>
          <w:rFonts w:ascii="Times New Roman" w:hAnsi="Times New Roman" w:cs="Times New Roman"/>
        </w:rPr>
        <w:fldChar w:fldCharType="end"/>
      </w:r>
      <w:r>
        <w:rPr>
          <w:rFonts w:ascii="Times New Roman" w:hAnsi="Times New Roman" w:cs="Times New Roman"/>
        </w:rPr>
        <w:t>施工便道</w:t>
      </w:r>
    </w:p>
    <w:p w14:paraId="4FBEB3FD">
      <w:pPr>
        <w:spacing w:line="360" w:lineRule="auto"/>
        <w:ind w:firstLine="480" w:firstLineChars="200"/>
        <w:jc w:val="both"/>
        <w:rPr>
          <w:rFonts w:ascii="Times New Roman" w:hAnsi="Times New Roman" w:cs="Times New Roman"/>
        </w:rPr>
      </w:pPr>
      <w:r>
        <w:rPr>
          <w:rFonts w:ascii="Times New Roman" w:hAnsi="Times New Roman" w:cs="Times New Roman"/>
        </w:rPr>
        <w:t>根据</w:t>
      </w:r>
      <w:r>
        <w:rPr>
          <w:rFonts w:hint="eastAsia" w:ascii="Times New Roman" w:hAnsi="Times New Roman" w:cs="Times New Roman"/>
        </w:rPr>
        <w:t>项目初设全线共设置施工便道2</w:t>
      </w:r>
      <w:r>
        <w:rPr>
          <w:rFonts w:ascii="Times New Roman" w:hAnsi="Times New Roman" w:cs="Times New Roman"/>
        </w:rPr>
        <w:t>2822</w:t>
      </w:r>
      <w:r>
        <w:rPr>
          <w:rFonts w:hint="eastAsia" w:ascii="Times New Roman" w:hAnsi="Times New Roman" w:cs="Times New Roman"/>
        </w:rPr>
        <w:t>米、设置</w:t>
      </w:r>
      <w:r>
        <w:rPr>
          <w:rFonts w:ascii="Times New Roman" w:hAnsi="Times New Roman" w:cs="Times New Roman"/>
        </w:rPr>
        <w:t>14处截水坝</w:t>
      </w:r>
      <w:r>
        <w:rPr>
          <w:rFonts w:hint="eastAsia" w:ascii="Times New Roman" w:hAnsi="Times New Roman" w:cs="Times New Roman"/>
        </w:rPr>
        <w:t>前排水沟</w:t>
      </w:r>
      <w:r>
        <w:rPr>
          <w:rFonts w:ascii="Times New Roman" w:hAnsi="Times New Roman" w:cs="Times New Roman"/>
        </w:rPr>
        <w:t>2451.159</w:t>
      </w:r>
      <w:r>
        <w:rPr>
          <w:rFonts w:hint="eastAsia" w:ascii="Times New Roman" w:hAnsi="Times New Roman" w:cs="Times New Roman"/>
        </w:rPr>
        <w:t>米</w:t>
      </w:r>
      <w:r>
        <w:rPr>
          <w:rFonts w:hint="eastAsia" w:ascii="Times New Roman" w:hAnsi="Times New Roman" w:eastAsia="黑体" w:cs="Times New Roman"/>
        </w:rPr>
        <w:t>。</w:t>
      </w:r>
    </w:p>
    <w:p w14:paraId="620BC880">
      <w:pPr>
        <w:spacing w:line="360" w:lineRule="auto"/>
        <w:ind w:firstLine="480" w:firstLineChars="200"/>
        <w:jc w:val="both"/>
        <w:rPr>
          <w:rFonts w:ascii="Times New Roman" w:hAnsi="Times New Roman" w:cs="Times New Roman"/>
          <w:color w:val="FF0000"/>
        </w:rPr>
      </w:pPr>
      <w:r>
        <w:rPr>
          <w:rFonts w:ascii="Times New Roman" w:hAnsi="Times New Roman" w:cs="Times New Roman"/>
        </w:rPr>
        <w:t>本项目临时占地见表3.1-13。</w:t>
      </w:r>
      <w:r>
        <w:rPr>
          <w:rFonts w:ascii="Times New Roman" w:hAnsi="Times New Roman" w:cs="Times New Roman"/>
          <w:color w:val="FF0000"/>
        </w:rPr>
        <w:t>本项目施工布置示意图见图3.1-4。</w:t>
      </w:r>
    </w:p>
    <w:p w14:paraId="7917BD4C">
      <w:pPr>
        <w:pStyle w:val="6"/>
        <w:kinsoku w:val="0"/>
        <w:overflowPunct w:val="0"/>
        <w:spacing w:after="0"/>
        <w:jc w:val="center"/>
        <w:rPr>
          <w:rFonts w:ascii="Times New Roman" w:hAnsi="Times New Roman" w:eastAsia="黑体" w:cs="Times New Roman"/>
          <w:sz w:val="32"/>
        </w:rPr>
      </w:pPr>
      <w:r>
        <w:rPr>
          <w:rFonts w:ascii="黑体" w:hAnsi="黑体" w:eastAsia="黑体" w:cs="Times New Roman"/>
          <w:bCs/>
          <w:kern w:val="2"/>
          <w:szCs w:val="21"/>
        </w:rPr>
        <w:t>表3.1-13  项目临时占地类型及面积表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3"/>
        <w:gridCol w:w="1092"/>
        <w:gridCol w:w="2219"/>
        <w:gridCol w:w="1654"/>
      </w:tblGrid>
      <w:tr w14:paraId="4053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1EC614E8">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临时占地</w:t>
            </w:r>
          </w:p>
        </w:tc>
        <w:tc>
          <w:tcPr>
            <w:tcW w:w="640" w:type="pct"/>
            <w:vAlign w:val="center"/>
          </w:tcPr>
          <w:p w14:paraId="301CCB58">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占地类型</w:t>
            </w:r>
          </w:p>
        </w:tc>
        <w:tc>
          <w:tcPr>
            <w:tcW w:w="1301" w:type="pct"/>
            <w:vAlign w:val="center"/>
          </w:tcPr>
          <w:p w14:paraId="5BB1B83F">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位置或桩号</w:t>
            </w:r>
          </w:p>
        </w:tc>
        <w:tc>
          <w:tcPr>
            <w:tcW w:w="970" w:type="pct"/>
            <w:vAlign w:val="center"/>
          </w:tcPr>
          <w:p w14:paraId="4BF63B74">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占地面积（</w:t>
            </w:r>
            <w:r>
              <w:rPr>
                <w:rFonts w:hint="eastAsia" w:ascii="Times New Roman" w:hAnsi="Times New Roman" w:cs="Times New Roman"/>
                <w:snapToGrid w:val="0"/>
                <w:sz w:val="21"/>
                <w:szCs w:val="18"/>
              </w:rPr>
              <w:t>亩</w:t>
            </w:r>
            <w:r>
              <w:rPr>
                <w:rFonts w:ascii="Times New Roman" w:hAnsi="Times New Roman" w:cs="Times New Roman"/>
                <w:snapToGrid w:val="0"/>
                <w:sz w:val="21"/>
                <w:szCs w:val="18"/>
              </w:rPr>
              <w:t>）</w:t>
            </w:r>
          </w:p>
        </w:tc>
      </w:tr>
      <w:tr w14:paraId="7E75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6343A2D4">
            <w:pPr>
              <w:adjustRightInd w:val="0"/>
              <w:snapToGrid w:val="0"/>
              <w:jc w:val="center"/>
              <w:rPr>
                <w:rFonts w:ascii="Times New Roman" w:hAnsi="Times New Roman" w:cs="Times New Roman"/>
                <w:snapToGrid w:val="0"/>
                <w:sz w:val="21"/>
                <w:szCs w:val="18"/>
              </w:rPr>
            </w:pPr>
            <w:r>
              <w:rPr>
                <w:rFonts w:ascii="Times New Roman" w:hAnsi="Times New Roman" w:cs="Times New Roman"/>
                <w:sz w:val="21"/>
                <w:szCs w:val="18"/>
              </w:rPr>
              <w:t>1#综合场站（拌合站、预制场）</w:t>
            </w:r>
            <w:r>
              <w:rPr>
                <w:rFonts w:hint="eastAsia" w:ascii="Times New Roman" w:hAnsi="Times New Roman" w:cs="Times New Roman"/>
                <w:sz w:val="21"/>
                <w:szCs w:val="18"/>
              </w:rPr>
              <w:t>及其施工便道</w:t>
            </w:r>
          </w:p>
        </w:tc>
        <w:tc>
          <w:tcPr>
            <w:tcW w:w="640" w:type="pct"/>
            <w:vAlign w:val="center"/>
          </w:tcPr>
          <w:p w14:paraId="34CA9C26">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荒地</w:t>
            </w:r>
          </w:p>
        </w:tc>
        <w:tc>
          <w:tcPr>
            <w:tcW w:w="1301" w:type="pct"/>
            <w:vAlign w:val="center"/>
          </w:tcPr>
          <w:p w14:paraId="5BD51E51">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K14+000右侧100m</w:t>
            </w:r>
          </w:p>
        </w:tc>
        <w:tc>
          <w:tcPr>
            <w:tcW w:w="970" w:type="pct"/>
            <w:vAlign w:val="center"/>
          </w:tcPr>
          <w:p w14:paraId="19F8F254">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1</w:t>
            </w:r>
            <w:r>
              <w:rPr>
                <w:rFonts w:ascii="Times New Roman" w:hAnsi="Times New Roman" w:cs="Times New Roman"/>
                <w:snapToGrid w:val="0"/>
                <w:sz w:val="21"/>
                <w:szCs w:val="18"/>
              </w:rPr>
              <w:t>2.94</w:t>
            </w:r>
          </w:p>
        </w:tc>
      </w:tr>
      <w:tr w14:paraId="4846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730D5549">
            <w:pPr>
              <w:adjustRightInd w:val="0"/>
              <w:snapToGrid w:val="0"/>
              <w:jc w:val="center"/>
              <w:rPr>
                <w:rFonts w:ascii="Times New Roman" w:hAnsi="Times New Roman" w:cs="Times New Roman"/>
                <w:snapToGrid w:val="0"/>
                <w:sz w:val="21"/>
                <w:szCs w:val="18"/>
              </w:rPr>
            </w:pPr>
            <w:r>
              <w:rPr>
                <w:rFonts w:ascii="Times New Roman" w:hAnsi="Times New Roman" w:cs="Times New Roman"/>
                <w:sz w:val="21"/>
                <w:szCs w:val="18"/>
              </w:rPr>
              <w:t>2#综合场站（拌合站、预制场）</w:t>
            </w:r>
            <w:r>
              <w:rPr>
                <w:rFonts w:hint="eastAsia" w:ascii="Times New Roman" w:hAnsi="Times New Roman" w:cs="Times New Roman"/>
                <w:sz w:val="21"/>
                <w:szCs w:val="18"/>
              </w:rPr>
              <w:t>及其施工便道</w:t>
            </w:r>
          </w:p>
        </w:tc>
        <w:tc>
          <w:tcPr>
            <w:tcW w:w="640" w:type="pct"/>
            <w:vAlign w:val="center"/>
          </w:tcPr>
          <w:p w14:paraId="618DC4D5">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荒地</w:t>
            </w:r>
          </w:p>
        </w:tc>
        <w:tc>
          <w:tcPr>
            <w:tcW w:w="1301" w:type="pct"/>
            <w:vAlign w:val="center"/>
          </w:tcPr>
          <w:p w14:paraId="16C50E33">
            <w:pPr>
              <w:adjustRightInd w:val="0"/>
              <w:snapToGrid w:val="0"/>
              <w:jc w:val="center"/>
              <w:rPr>
                <w:rFonts w:ascii="Times New Roman" w:hAnsi="Times New Roman" w:cs="Times New Roman"/>
                <w:snapToGrid w:val="0"/>
                <w:sz w:val="21"/>
                <w:szCs w:val="18"/>
              </w:rPr>
            </w:pPr>
            <w:r>
              <w:rPr>
                <w:rFonts w:ascii="Times New Roman" w:hAnsi="Times New Roman" w:cs="Times New Roman"/>
                <w:sz w:val="21"/>
                <w:szCs w:val="18"/>
              </w:rPr>
              <w:t>K27+500右侧100m</w:t>
            </w:r>
          </w:p>
        </w:tc>
        <w:tc>
          <w:tcPr>
            <w:tcW w:w="970" w:type="pct"/>
            <w:vAlign w:val="center"/>
          </w:tcPr>
          <w:p w14:paraId="20BE86CE">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1</w:t>
            </w:r>
            <w:r>
              <w:rPr>
                <w:rFonts w:ascii="Times New Roman" w:hAnsi="Times New Roman" w:cs="Times New Roman"/>
                <w:snapToGrid w:val="0"/>
                <w:sz w:val="21"/>
                <w:szCs w:val="18"/>
              </w:rPr>
              <w:t>1.94</w:t>
            </w:r>
          </w:p>
        </w:tc>
      </w:tr>
      <w:tr w14:paraId="2E26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4F599278">
            <w:pPr>
              <w:adjustRightInd w:val="0"/>
              <w:snapToGrid w:val="0"/>
              <w:jc w:val="center"/>
              <w:rPr>
                <w:rFonts w:ascii="Times New Roman" w:hAnsi="Times New Roman" w:cs="Times New Roman"/>
                <w:snapToGrid w:val="0"/>
                <w:sz w:val="21"/>
                <w:szCs w:val="18"/>
              </w:rPr>
            </w:pPr>
            <w:r>
              <w:rPr>
                <w:rFonts w:ascii="Times New Roman" w:hAnsi="Times New Roman" w:cs="Times New Roman"/>
                <w:sz w:val="21"/>
                <w:szCs w:val="18"/>
              </w:rPr>
              <w:t>1#</w:t>
            </w:r>
            <w:r>
              <w:rPr>
                <w:rFonts w:hint="eastAsia" w:ascii="Times New Roman" w:hAnsi="Times New Roman" w:cs="Times New Roman"/>
                <w:sz w:val="21"/>
                <w:szCs w:val="18"/>
              </w:rPr>
              <w:t>弃土场及其施工便道</w:t>
            </w:r>
          </w:p>
        </w:tc>
        <w:tc>
          <w:tcPr>
            <w:tcW w:w="640" w:type="pct"/>
            <w:vAlign w:val="center"/>
          </w:tcPr>
          <w:p w14:paraId="3A54DCBC">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荒地</w:t>
            </w:r>
          </w:p>
        </w:tc>
        <w:tc>
          <w:tcPr>
            <w:tcW w:w="1301" w:type="pct"/>
            <w:vAlign w:val="center"/>
          </w:tcPr>
          <w:p w14:paraId="64A4FBA6">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z w:val="21"/>
                <w:szCs w:val="18"/>
              </w:rPr>
              <w:t>主线</w:t>
            </w:r>
            <w:r>
              <w:rPr>
                <w:rFonts w:ascii="Times New Roman" w:hAnsi="Times New Roman" w:cs="Times New Roman"/>
                <w:sz w:val="21"/>
                <w:szCs w:val="18"/>
              </w:rPr>
              <w:t>K13+200右侧</w:t>
            </w:r>
          </w:p>
        </w:tc>
        <w:tc>
          <w:tcPr>
            <w:tcW w:w="970" w:type="pct"/>
            <w:vAlign w:val="center"/>
          </w:tcPr>
          <w:p w14:paraId="285709F7">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9</w:t>
            </w:r>
            <w:r>
              <w:rPr>
                <w:rFonts w:ascii="Times New Roman" w:hAnsi="Times New Roman" w:cs="Times New Roman"/>
                <w:snapToGrid w:val="0"/>
                <w:sz w:val="21"/>
                <w:szCs w:val="18"/>
              </w:rPr>
              <w:t>7.82</w:t>
            </w:r>
          </w:p>
        </w:tc>
      </w:tr>
      <w:tr w14:paraId="6B77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0446180A">
            <w:pPr>
              <w:adjustRightInd w:val="0"/>
              <w:snapToGrid w:val="0"/>
              <w:jc w:val="center"/>
              <w:rPr>
                <w:rFonts w:ascii="Times New Roman" w:hAnsi="Times New Roman" w:cs="Times New Roman"/>
                <w:sz w:val="21"/>
                <w:szCs w:val="18"/>
              </w:rPr>
            </w:pPr>
            <w:r>
              <w:rPr>
                <w:rFonts w:ascii="Times New Roman" w:hAnsi="Times New Roman" w:cs="Times New Roman"/>
                <w:sz w:val="21"/>
                <w:szCs w:val="18"/>
              </w:rPr>
              <w:t>2#</w:t>
            </w:r>
            <w:r>
              <w:rPr>
                <w:rFonts w:hint="eastAsia" w:ascii="Times New Roman" w:hAnsi="Times New Roman" w:cs="Times New Roman"/>
                <w:sz w:val="21"/>
                <w:szCs w:val="18"/>
              </w:rPr>
              <w:t>弃土场及其施工便道</w:t>
            </w:r>
          </w:p>
        </w:tc>
        <w:tc>
          <w:tcPr>
            <w:tcW w:w="640" w:type="pct"/>
            <w:vAlign w:val="center"/>
          </w:tcPr>
          <w:p w14:paraId="1014EA23">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荒地</w:t>
            </w:r>
          </w:p>
        </w:tc>
        <w:tc>
          <w:tcPr>
            <w:tcW w:w="1301" w:type="pct"/>
            <w:vAlign w:val="center"/>
          </w:tcPr>
          <w:p w14:paraId="0D670487">
            <w:pPr>
              <w:adjustRightInd w:val="0"/>
              <w:snapToGrid w:val="0"/>
              <w:jc w:val="center"/>
              <w:rPr>
                <w:rFonts w:ascii="Times New Roman" w:hAnsi="Times New Roman" w:cs="Times New Roman"/>
                <w:sz w:val="21"/>
                <w:szCs w:val="18"/>
              </w:rPr>
            </w:pPr>
            <w:r>
              <w:rPr>
                <w:rFonts w:hint="eastAsia" w:ascii="Times New Roman" w:hAnsi="Times New Roman" w:cs="Times New Roman"/>
                <w:sz w:val="21"/>
                <w:szCs w:val="18"/>
              </w:rPr>
              <w:t>主线</w:t>
            </w:r>
            <w:r>
              <w:rPr>
                <w:rFonts w:ascii="Times New Roman" w:hAnsi="Times New Roman" w:cs="Times New Roman"/>
                <w:sz w:val="21"/>
                <w:szCs w:val="18"/>
              </w:rPr>
              <w:t>K13+420右侧</w:t>
            </w:r>
          </w:p>
        </w:tc>
        <w:tc>
          <w:tcPr>
            <w:tcW w:w="970" w:type="pct"/>
            <w:vAlign w:val="center"/>
          </w:tcPr>
          <w:p w14:paraId="44257148">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3</w:t>
            </w:r>
            <w:r>
              <w:rPr>
                <w:rFonts w:ascii="Times New Roman" w:hAnsi="Times New Roman" w:cs="Times New Roman"/>
                <w:snapToGrid w:val="0"/>
                <w:sz w:val="21"/>
                <w:szCs w:val="18"/>
              </w:rPr>
              <w:t>1.52</w:t>
            </w:r>
          </w:p>
        </w:tc>
      </w:tr>
      <w:tr w14:paraId="1C2F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675594C2">
            <w:pPr>
              <w:adjustRightInd w:val="0"/>
              <w:snapToGrid w:val="0"/>
              <w:jc w:val="center"/>
              <w:rPr>
                <w:rFonts w:ascii="Times New Roman" w:hAnsi="Times New Roman" w:cs="Times New Roman"/>
                <w:sz w:val="21"/>
                <w:szCs w:val="18"/>
              </w:rPr>
            </w:pPr>
            <w:r>
              <w:rPr>
                <w:rFonts w:ascii="Times New Roman" w:hAnsi="Times New Roman" w:cs="Times New Roman"/>
                <w:sz w:val="21"/>
                <w:szCs w:val="18"/>
              </w:rPr>
              <w:t>3#</w:t>
            </w:r>
            <w:r>
              <w:rPr>
                <w:rFonts w:hint="eastAsia" w:ascii="Times New Roman" w:hAnsi="Times New Roman" w:cs="Times New Roman"/>
                <w:sz w:val="21"/>
                <w:szCs w:val="18"/>
              </w:rPr>
              <w:t>弃土场及其施工便道</w:t>
            </w:r>
          </w:p>
        </w:tc>
        <w:tc>
          <w:tcPr>
            <w:tcW w:w="640" w:type="pct"/>
            <w:vAlign w:val="center"/>
          </w:tcPr>
          <w:p w14:paraId="5938C84B">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荒地</w:t>
            </w:r>
          </w:p>
        </w:tc>
        <w:tc>
          <w:tcPr>
            <w:tcW w:w="1301" w:type="pct"/>
            <w:vAlign w:val="center"/>
          </w:tcPr>
          <w:p w14:paraId="7268BBB6">
            <w:pPr>
              <w:adjustRightInd w:val="0"/>
              <w:snapToGrid w:val="0"/>
              <w:jc w:val="center"/>
              <w:rPr>
                <w:rFonts w:ascii="Times New Roman" w:hAnsi="Times New Roman" w:cs="Times New Roman"/>
                <w:sz w:val="21"/>
                <w:szCs w:val="18"/>
              </w:rPr>
            </w:pPr>
            <w:r>
              <w:rPr>
                <w:rFonts w:hint="eastAsia" w:ascii="Times New Roman" w:hAnsi="Times New Roman" w:cs="Times New Roman"/>
                <w:sz w:val="21"/>
                <w:szCs w:val="18"/>
              </w:rPr>
              <w:t>主线</w:t>
            </w:r>
            <w:r>
              <w:rPr>
                <w:rFonts w:ascii="Times New Roman" w:hAnsi="Times New Roman" w:cs="Times New Roman"/>
                <w:sz w:val="21"/>
                <w:szCs w:val="18"/>
              </w:rPr>
              <w:t>K13+840</w:t>
            </w:r>
            <w:r>
              <w:rPr>
                <w:rFonts w:hint="eastAsia" w:ascii="Times New Roman" w:hAnsi="Times New Roman" w:cs="Times New Roman"/>
                <w:sz w:val="21"/>
                <w:szCs w:val="18"/>
              </w:rPr>
              <w:t>左</w:t>
            </w:r>
            <w:r>
              <w:rPr>
                <w:rFonts w:ascii="Times New Roman" w:hAnsi="Times New Roman" w:cs="Times New Roman"/>
                <w:sz w:val="21"/>
                <w:szCs w:val="18"/>
              </w:rPr>
              <w:t>侧</w:t>
            </w:r>
          </w:p>
        </w:tc>
        <w:tc>
          <w:tcPr>
            <w:tcW w:w="970" w:type="pct"/>
            <w:vAlign w:val="center"/>
          </w:tcPr>
          <w:p w14:paraId="36F6267C">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4</w:t>
            </w:r>
            <w:r>
              <w:rPr>
                <w:rFonts w:ascii="Times New Roman" w:hAnsi="Times New Roman" w:cs="Times New Roman"/>
                <w:snapToGrid w:val="0"/>
                <w:sz w:val="21"/>
                <w:szCs w:val="18"/>
              </w:rPr>
              <w:t>0.17</w:t>
            </w:r>
          </w:p>
        </w:tc>
      </w:tr>
      <w:tr w14:paraId="372A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5A3CEDC6">
            <w:pPr>
              <w:adjustRightInd w:val="0"/>
              <w:snapToGrid w:val="0"/>
              <w:jc w:val="center"/>
              <w:rPr>
                <w:rFonts w:ascii="Times New Roman" w:hAnsi="Times New Roman" w:cs="Times New Roman"/>
                <w:sz w:val="21"/>
                <w:szCs w:val="18"/>
              </w:rPr>
            </w:pPr>
            <w:r>
              <w:rPr>
                <w:rFonts w:hint="eastAsia" w:ascii="Times New Roman" w:hAnsi="Times New Roman" w:cs="Times New Roman"/>
                <w:sz w:val="21"/>
                <w:szCs w:val="18"/>
              </w:rPr>
              <w:t>施工便道</w:t>
            </w:r>
          </w:p>
        </w:tc>
        <w:tc>
          <w:tcPr>
            <w:tcW w:w="640" w:type="pct"/>
            <w:vAlign w:val="center"/>
          </w:tcPr>
          <w:p w14:paraId="6E7AB7F1">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荒地</w:t>
            </w:r>
          </w:p>
        </w:tc>
        <w:tc>
          <w:tcPr>
            <w:tcW w:w="1301" w:type="pct"/>
            <w:vAlign w:val="center"/>
          </w:tcPr>
          <w:p w14:paraId="74EF91C8">
            <w:pPr>
              <w:adjustRightInd w:val="0"/>
              <w:snapToGrid w:val="0"/>
              <w:jc w:val="center"/>
              <w:rPr>
                <w:rFonts w:ascii="Times New Roman" w:hAnsi="Times New Roman" w:cs="Times New Roman"/>
                <w:sz w:val="21"/>
                <w:szCs w:val="18"/>
              </w:rPr>
            </w:pPr>
            <w:r>
              <w:rPr>
                <w:rFonts w:hint="eastAsia" w:ascii="Times New Roman" w:hAnsi="Times New Roman" w:cs="Times New Roman"/>
                <w:sz w:val="21"/>
                <w:szCs w:val="18"/>
              </w:rPr>
              <w:t>全线</w:t>
            </w:r>
          </w:p>
        </w:tc>
        <w:tc>
          <w:tcPr>
            <w:tcW w:w="970" w:type="pct"/>
            <w:vAlign w:val="center"/>
          </w:tcPr>
          <w:p w14:paraId="25B8A1F7">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257.52</w:t>
            </w:r>
          </w:p>
        </w:tc>
      </w:tr>
      <w:tr w14:paraId="135F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089" w:type="pct"/>
            <w:vAlign w:val="center"/>
          </w:tcPr>
          <w:p w14:paraId="6B1B9029">
            <w:pPr>
              <w:adjustRightInd w:val="0"/>
              <w:snapToGrid w:val="0"/>
              <w:jc w:val="center"/>
              <w:rPr>
                <w:rFonts w:ascii="Times New Roman" w:hAnsi="Times New Roman" w:cs="Times New Roman"/>
                <w:sz w:val="21"/>
                <w:szCs w:val="18"/>
              </w:rPr>
            </w:pPr>
            <w:r>
              <w:rPr>
                <w:rFonts w:hint="eastAsia" w:ascii="Times New Roman" w:hAnsi="Times New Roman" w:cs="Times New Roman"/>
                <w:sz w:val="21"/>
                <w:szCs w:val="18"/>
              </w:rPr>
              <w:t>截水坝前排水沟</w:t>
            </w:r>
          </w:p>
        </w:tc>
        <w:tc>
          <w:tcPr>
            <w:tcW w:w="640" w:type="pct"/>
            <w:vAlign w:val="center"/>
          </w:tcPr>
          <w:p w14:paraId="1B76783F">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荒地</w:t>
            </w:r>
          </w:p>
        </w:tc>
        <w:tc>
          <w:tcPr>
            <w:tcW w:w="1301" w:type="pct"/>
            <w:vAlign w:val="center"/>
          </w:tcPr>
          <w:p w14:paraId="2AEFCC66">
            <w:pPr>
              <w:adjustRightInd w:val="0"/>
              <w:snapToGrid w:val="0"/>
              <w:jc w:val="center"/>
              <w:rPr>
                <w:rFonts w:ascii="Times New Roman" w:hAnsi="Times New Roman" w:cs="Times New Roman"/>
                <w:sz w:val="21"/>
                <w:szCs w:val="18"/>
              </w:rPr>
            </w:pPr>
            <w:r>
              <w:rPr>
                <w:rFonts w:hint="eastAsia" w:ascii="Times New Roman" w:hAnsi="Times New Roman" w:cs="Times New Roman"/>
                <w:sz w:val="21"/>
                <w:szCs w:val="18"/>
              </w:rPr>
              <w:t>全线</w:t>
            </w:r>
            <w:r>
              <w:rPr>
                <w:rFonts w:ascii="Times New Roman" w:hAnsi="Times New Roman" w:cs="Times New Roman"/>
                <w:sz w:val="21"/>
                <w:szCs w:val="18"/>
              </w:rPr>
              <w:t>14处截水坝</w:t>
            </w:r>
          </w:p>
        </w:tc>
        <w:tc>
          <w:tcPr>
            <w:tcW w:w="970" w:type="pct"/>
            <w:vAlign w:val="center"/>
          </w:tcPr>
          <w:p w14:paraId="4C8131C8">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2</w:t>
            </w:r>
            <w:r>
              <w:rPr>
                <w:rFonts w:ascii="Times New Roman" w:hAnsi="Times New Roman" w:cs="Times New Roman"/>
                <w:snapToGrid w:val="0"/>
                <w:sz w:val="21"/>
                <w:szCs w:val="18"/>
              </w:rPr>
              <w:t>9.41</w:t>
            </w:r>
          </w:p>
        </w:tc>
      </w:tr>
      <w:tr w14:paraId="5553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 w:type="pct"/>
            <w:gridSpan w:val="3"/>
            <w:vAlign w:val="center"/>
          </w:tcPr>
          <w:p w14:paraId="56769CCF">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合计</w:t>
            </w:r>
          </w:p>
        </w:tc>
        <w:tc>
          <w:tcPr>
            <w:tcW w:w="970" w:type="pct"/>
            <w:vAlign w:val="center"/>
          </w:tcPr>
          <w:p w14:paraId="1F6A8A97">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481.3</w:t>
            </w:r>
          </w:p>
        </w:tc>
      </w:tr>
    </w:tbl>
    <w:p w14:paraId="01F19E63">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3.1.8砍伐及拆迁</w:t>
      </w:r>
      <w:bookmarkEnd w:id="321"/>
      <w:bookmarkEnd w:id="322"/>
      <w:bookmarkEnd w:id="323"/>
      <w:bookmarkEnd w:id="324"/>
      <w:bookmarkEnd w:id="325"/>
    </w:p>
    <w:p w14:paraId="2D55E195">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3.1.8.1</w:t>
      </w:r>
      <w:bookmarkStart w:id="327" w:name="_Toc486841848"/>
      <w:bookmarkStart w:id="328" w:name="_Toc493587506"/>
      <w:bookmarkStart w:id="329" w:name="_Toc482003734"/>
      <w:bookmarkStart w:id="330" w:name="_Toc471983191"/>
      <w:bookmarkStart w:id="331" w:name="_Toc469140821"/>
      <w:bookmarkStart w:id="332" w:name="_Toc471981498"/>
      <w:r>
        <w:rPr>
          <w:rFonts w:ascii="Times New Roman" w:hAnsi="Times New Roman" w:cs="Times New Roman"/>
          <w:i w:val="0"/>
        </w:rPr>
        <w:t>砍伐量及补偿</w:t>
      </w:r>
      <w:bookmarkEnd w:id="327"/>
      <w:bookmarkEnd w:id="328"/>
      <w:bookmarkEnd w:id="329"/>
      <w:bookmarkEnd w:id="330"/>
      <w:bookmarkEnd w:id="331"/>
      <w:bookmarkEnd w:id="332"/>
    </w:p>
    <w:p w14:paraId="52BBCBA6">
      <w:pPr>
        <w:spacing w:line="360" w:lineRule="auto"/>
        <w:ind w:firstLine="480" w:firstLineChars="200"/>
        <w:jc w:val="both"/>
        <w:rPr>
          <w:rFonts w:ascii="Times New Roman" w:hAnsi="Times New Roman" w:cs="Times New Roman"/>
          <w:bCs/>
          <w:lang w:bidi="en-US"/>
        </w:rPr>
      </w:pPr>
      <w:r>
        <w:rPr>
          <w:rFonts w:hint="eastAsia" w:ascii="Times New Roman" w:hAnsi="Times New Roman" w:cs="Times New Roman"/>
          <w:bCs/>
          <w:lang w:bidi="en-US"/>
        </w:rPr>
        <w:t>本工程建设需砍伐或移栽主要树木林木、果树、灌木为主，根据初步设计报告需</w:t>
      </w:r>
      <w:r>
        <w:rPr>
          <w:rFonts w:ascii="Times New Roman" w:hAnsi="Times New Roman" w:cs="Times New Roman"/>
          <w:bCs/>
          <w:lang w:bidi="en-US"/>
        </w:rPr>
        <w:t>赔偿</w:t>
      </w:r>
      <w:r>
        <w:rPr>
          <w:rFonts w:hint="eastAsia" w:ascii="Times New Roman" w:hAnsi="Times New Roman" w:cs="Times New Roman"/>
          <w:bCs/>
          <w:lang w:bidi="en-US"/>
        </w:rPr>
        <w:t>一般</w:t>
      </w:r>
      <w:r>
        <w:rPr>
          <w:rFonts w:ascii="Times New Roman" w:hAnsi="Times New Roman" w:cs="Times New Roman"/>
          <w:bCs/>
          <w:lang w:bidi="en-US"/>
        </w:rPr>
        <w:t>树木</w:t>
      </w:r>
      <w:r>
        <w:rPr>
          <w:rFonts w:hint="eastAsia" w:ascii="Times New Roman" w:hAnsi="Times New Roman" w:cs="Times New Roman"/>
          <w:bCs/>
          <w:lang w:bidi="en-US"/>
        </w:rPr>
        <w:t>1</w:t>
      </w:r>
      <w:r>
        <w:rPr>
          <w:rFonts w:ascii="Times New Roman" w:hAnsi="Times New Roman" w:cs="Times New Roman"/>
          <w:bCs/>
          <w:lang w:bidi="en-US"/>
        </w:rPr>
        <w:t>38078</w:t>
      </w:r>
      <w:r>
        <w:rPr>
          <w:rFonts w:hint="eastAsia" w:ascii="Times New Roman" w:hAnsi="Times New Roman" w:cs="Times New Roman"/>
          <w:bCs/>
          <w:lang w:bidi="en-US"/>
        </w:rPr>
        <w:t>株，其中胸径</w:t>
      </w:r>
      <w:r>
        <w:rPr>
          <w:rFonts w:ascii="Times New Roman" w:hAnsi="Times New Roman" w:cs="Times New Roman"/>
          <w:bCs/>
          <w:lang w:bidi="en-US"/>
        </w:rPr>
        <w:t>5cm以下</w:t>
      </w:r>
      <w:r>
        <w:rPr>
          <w:rFonts w:hint="eastAsia" w:ascii="Times New Roman" w:hAnsi="Times New Roman" w:cs="Times New Roman"/>
          <w:bCs/>
          <w:lang w:bidi="en-US"/>
        </w:rPr>
        <w:t>的</w:t>
      </w:r>
      <w:r>
        <w:rPr>
          <w:rFonts w:ascii="Times New Roman" w:hAnsi="Times New Roman" w:cs="Times New Roman"/>
          <w:bCs/>
          <w:lang w:bidi="en-US"/>
        </w:rPr>
        <w:t>86988</w:t>
      </w:r>
      <w:r>
        <w:rPr>
          <w:rFonts w:hint="eastAsia" w:ascii="Times New Roman" w:hAnsi="Times New Roman" w:cs="Times New Roman"/>
          <w:bCs/>
          <w:lang w:bidi="en-US"/>
        </w:rPr>
        <w:t>株、胸径</w:t>
      </w:r>
      <w:r>
        <w:rPr>
          <w:rFonts w:ascii="Times New Roman" w:hAnsi="Times New Roman" w:cs="Times New Roman"/>
          <w:bCs/>
          <w:lang w:bidi="en-US"/>
        </w:rPr>
        <w:t>5~15cm</w:t>
      </w:r>
      <w:r>
        <w:rPr>
          <w:rFonts w:hint="eastAsia" w:ascii="Times New Roman" w:hAnsi="Times New Roman" w:cs="Times New Roman"/>
          <w:bCs/>
          <w:lang w:bidi="en-US"/>
        </w:rPr>
        <w:t>的</w:t>
      </w:r>
      <w:r>
        <w:rPr>
          <w:rFonts w:ascii="Times New Roman" w:hAnsi="Times New Roman" w:cs="Times New Roman"/>
          <w:bCs/>
          <w:lang w:bidi="en-US"/>
        </w:rPr>
        <w:t>26345</w:t>
      </w:r>
      <w:r>
        <w:rPr>
          <w:rFonts w:hint="eastAsia" w:ascii="Times New Roman" w:hAnsi="Times New Roman" w:cs="Times New Roman"/>
          <w:bCs/>
          <w:lang w:bidi="en-US"/>
        </w:rPr>
        <w:t>株、胸径</w:t>
      </w:r>
      <w:r>
        <w:rPr>
          <w:rFonts w:ascii="Times New Roman" w:hAnsi="Times New Roman" w:cs="Times New Roman"/>
          <w:bCs/>
          <w:lang w:bidi="en-US"/>
        </w:rPr>
        <w:t>15~30cm</w:t>
      </w:r>
      <w:r>
        <w:rPr>
          <w:rFonts w:hint="eastAsia" w:ascii="Times New Roman" w:hAnsi="Times New Roman" w:cs="Times New Roman"/>
          <w:bCs/>
          <w:lang w:bidi="en-US"/>
        </w:rPr>
        <w:t>的</w:t>
      </w:r>
      <w:r>
        <w:rPr>
          <w:rFonts w:ascii="Times New Roman" w:hAnsi="Times New Roman" w:cs="Times New Roman"/>
          <w:bCs/>
          <w:lang w:bidi="en-US"/>
        </w:rPr>
        <w:t>17859</w:t>
      </w:r>
      <w:r>
        <w:rPr>
          <w:rFonts w:hint="eastAsia" w:ascii="Times New Roman" w:hAnsi="Times New Roman" w:cs="Times New Roman"/>
          <w:bCs/>
          <w:lang w:bidi="en-US"/>
        </w:rPr>
        <w:t>株、胸径</w:t>
      </w:r>
      <w:r>
        <w:rPr>
          <w:rFonts w:ascii="Times New Roman" w:hAnsi="Times New Roman" w:cs="Times New Roman"/>
          <w:bCs/>
          <w:lang w:bidi="en-US"/>
        </w:rPr>
        <w:t>30cm</w:t>
      </w:r>
      <w:r>
        <w:rPr>
          <w:rFonts w:hint="eastAsia" w:ascii="Times New Roman" w:hAnsi="Times New Roman" w:cs="Times New Roman"/>
          <w:bCs/>
          <w:lang w:bidi="en-US"/>
        </w:rPr>
        <w:t>以上的</w:t>
      </w:r>
      <w:r>
        <w:rPr>
          <w:rFonts w:ascii="Times New Roman" w:hAnsi="Times New Roman" w:cs="Times New Roman"/>
          <w:bCs/>
          <w:lang w:bidi="en-US"/>
        </w:rPr>
        <w:t>6886</w:t>
      </w:r>
      <w:r>
        <w:rPr>
          <w:rFonts w:hint="eastAsia" w:ascii="Times New Roman" w:hAnsi="Times New Roman" w:cs="Times New Roman"/>
          <w:bCs/>
          <w:lang w:bidi="en-US"/>
        </w:rPr>
        <w:t>株；</w:t>
      </w:r>
      <w:r>
        <w:rPr>
          <w:rFonts w:ascii="Times New Roman" w:hAnsi="Times New Roman" w:cs="Times New Roman"/>
          <w:bCs/>
          <w:lang w:bidi="en-US"/>
        </w:rPr>
        <w:t>赔偿</w:t>
      </w:r>
      <w:r>
        <w:rPr>
          <w:rFonts w:hint="eastAsia" w:ascii="Times New Roman" w:hAnsi="Times New Roman" w:cs="Times New Roman"/>
          <w:bCs/>
          <w:lang w:bidi="en-US"/>
        </w:rPr>
        <w:t>果树2</w:t>
      </w:r>
      <w:r>
        <w:rPr>
          <w:rFonts w:ascii="Times New Roman" w:hAnsi="Times New Roman" w:cs="Times New Roman"/>
          <w:bCs/>
          <w:lang w:bidi="en-US"/>
        </w:rPr>
        <w:t>356</w:t>
      </w:r>
      <w:r>
        <w:rPr>
          <w:rFonts w:hint="eastAsia" w:ascii="Times New Roman" w:hAnsi="Times New Roman" w:cs="Times New Roman"/>
          <w:bCs/>
          <w:lang w:bidi="en-US"/>
        </w:rPr>
        <w:t>株，其中胸径</w:t>
      </w:r>
      <w:r>
        <w:rPr>
          <w:rFonts w:ascii="Times New Roman" w:hAnsi="Times New Roman" w:cs="Times New Roman"/>
          <w:bCs/>
          <w:lang w:bidi="en-US"/>
        </w:rPr>
        <w:t>15cm</w:t>
      </w:r>
      <w:r>
        <w:rPr>
          <w:rFonts w:hint="eastAsia" w:ascii="Times New Roman" w:hAnsi="Times New Roman" w:cs="Times New Roman"/>
          <w:bCs/>
          <w:lang w:bidi="en-US"/>
        </w:rPr>
        <w:t>以下的</w:t>
      </w:r>
      <w:r>
        <w:rPr>
          <w:rFonts w:ascii="Times New Roman" w:hAnsi="Times New Roman" w:cs="Times New Roman"/>
          <w:bCs/>
          <w:lang w:bidi="en-US"/>
        </w:rPr>
        <w:t>2062</w:t>
      </w:r>
      <w:r>
        <w:rPr>
          <w:rFonts w:hint="eastAsia" w:ascii="Times New Roman" w:hAnsi="Times New Roman" w:cs="Times New Roman"/>
          <w:bCs/>
          <w:lang w:bidi="en-US"/>
        </w:rPr>
        <w:t>株、胸径</w:t>
      </w:r>
      <w:r>
        <w:rPr>
          <w:rFonts w:ascii="Times New Roman" w:hAnsi="Times New Roman" w:cs="Times New Roman"/>
          <w:bCs/>
          <w:lang w:bidi="en-US"/>
        </w:rPr>
        <w:t>15cm</w:t>
      </w:r>
      <w:r>
        <w:rPr>
          <w:rFonts w:hint="eastAsia" w:ascii="Times New Roman" w:hAnsi="Times New Roman" w:cs="Times New Roman"/>
          <w:bCs/>
          <w:lang w:bidi="en-US"/>
        </w:rPr>
        <w:t>以上的</w:t>
      </w:r>
      <w:r>
        <w:rPr>
          <w:rFonts w:ascii="Times New Roman" w:hAnsi="Times New Roman" w:cs="Times New Roman"/>
          <w:bCs/>
          <w:lang w:bidi="en-US"/>
        </w:rPr>
        <w:t>294</w:t>
      </w:r>
      <w:r>
        <w:rPr>
          <w:rFonts w:hint="eastAsia" w:ascii="Times New Roman" w:hAnsi="Times New Roman" w:cs="Times New Roman"/>
          <w:bCs/>
          <w:lang w:bidi="en-US"/>
        </w:rPr>
        <w:t>株；赔偿灌木1</w:t>
      </w:r>
      <w:r>
        <w:rPr>
          <w:rFonts w:ascii="Times New Roman" w:hAnsi="Times New Roman" w:cs="Times New Roman"/>
          <w:bCs/>
          <w:lang w:bidi="en-US"/>
        </w:rPr>
        <w:t>1.526</w:t>
      </w:r>
      <w:r>
        <w:rPr>
          <w:rFonts w:ascii="Times New Roman" w:hAnsi="Times New Roman" w:cs="Times New Roman"/>
        </w:rPr>
        <w:t xml:space="preserve"> hm</w:t>
      </w:r>
      <w:r>
        <w:rPr>
          <w:rFonts w:ascii="Times New Roman" w:hAnsi="Times New Roman" w:cs="Times New Roman"/>
          <w:vertAlign w:val="superscript"/>
        </w:rPr>
        <w:t>2</w:t>
      </w:r>
      <w:r>
        <w:rPr>
          <w:rFonts w:hint="eastAsia" w:ascii="Times New Roman" w:hAnsi="Times New Roman" w:cs="Times New Roman"/>
          <w:bCs/>
          <w:lang w:bidi="en-US"/>
        </w:rPr>
        <w:t>；赔偿青苗3</w:t>
      </w:r>
      <w:r>
        <w:rPr>
          <w:rFonts w:ascii="Times New Roman" w:hAnsi="Times New Roman" w:cs="Times New Roman"/>
          <w:bCs/>
          <w:lang w:bidi="en-US"/>
        </w:rPr>
        <w:t>44.52</w:t>
      </w:r>
      <w:r>
        <w:rPr>
          <w:rFonts w:hint="eastAsia" w:ascii="Times New Roman" w:hAnsi="Times New Roman" w:cs="Times New Roman"/>
          <w:bCs/>
          <w:lang w:bidi="en-US"/>
        </w:rPr>
        <w:t>亩。</w:t>
      </w:r>
    </w:p>
    <w:p w14:paraId="09808AD5">
      <w:pPr>
        <w:spacing w:line="360" w:lineRule="auto"/>
        <w:ind w:firstLine="480" w:firstLineChars="200"/>
        <w:jc w:val="both"/>
        <w:rPr>
          <w:rFonts w:ascii="Times New Roman" w:hAnsi="Times New Roman" w:cs="Times New Roman"/>
          <w:bCs/>
          <w:lang w:bidi="en-US"/>
        </w:rPr>
      </w:pPr>
      <w:r>
        <w:rPr>
          <w:rFonts w:hint="eastAsia" w:ascii="Times New Roman" w:hAnsi="Times New Roman" w:cs="Times New Roman"/>
          <w:bCs/>
          <w:lang w:bidi="en-US"/>
        </w:rPr>
        <w:t>建议项目优化设计，作为行道树，尽量减少砍伐，对避免不了砍伐的树木对树木采取保护性移栽，避免直接砍伐。</w:t>
      </w:r>
    </w:p>
    <w:p w14:paraId="235AB398">
      <w:pPr>
        <w:pStyle w:val="5"/>
        <w:snapToGrid w:val="0"/>
        <w:spacing w:before="156" w:after="156" w:line="240" w:lineRule="auto"/>
        <w:rPr>
          <w:rFonts w:ascii="Times New Roman" w:hAnsi="Times New Roman" w:cs="Times New Roman"/>
          <w:i w:val="0"/>
        </w:rPr>
      </w:pPr>
      <w:bookmarkStart w:id="333" w:name="_Toc471983192"/>
      <w:bookmarkStart w:id="334" w:name="_Toc486841849"/>
      <w:bookmarkStart w:id="335" w:name="_Toc493587507"/>
      <w:bookmarkStart w:id="336" w:name="_Toc469140822"/>
      <w:bookmarkStart w:id="337" w:name="_Toc482003735"/>
      <w:bookmarkStart w:id="338" w:name="_Toc471981499"/>
      <w:r>
        <w:rPr>
          <w:rFonts w:ascii="Times New Roman" w:hAnsi="Times New Roman" w:cs="Times New Roman"/>
          <w:i w:val="0"/>
        </w:rPr>
        <w:t>3.1.8.2拆迁安置</w:t>
      </w:r>
      <w:bookmarkEnd w:id="333"/>
      <w:bookmarkEnd w:id="334"/>
      <w:bookmarkEnd w:id="335"/>
      <w:bookmarkEnd w:id="336"/>
      <w:bookmarkEnd w:id="337"/>
      <w:bookmarkEnd w:id="338"/>
    </w:p>
    <w:p w14:paraId="69A89A1E">
      <w:pPr>
        <w:pStyle w:val="6"/>
        <w:spacing w:line="560" w:lineRule="exact"/>
        <w:ind w:firstLine="480"/>
        <w:rPr>
          <w:rFonts w:ascii="Times New Roman"/>
        </w:rPr>
      </w:pPr>
      <w:r>
        <w:rPr>
          <w:rFonts w:hint="eastAsia" w:ascii="Times New Roman"/>
        </w:rPr>
        <w:t>（1）建筑拆迁</w:t>
      </w:r>
    </w:p>
    <w:p w14:paraId="042D712E">
      <w:pPr>
        <w:pStyle w:val="6"/>
        <w:spacing w:line="560" w:lineRule="exact"/>
        <w:ind w:firstLine="480"/>
        <w:jc w:val="both"/>
        <w:rPr>
          <w:rFonts w:ascii="Times New Roman"/>
        </w:rPr>
      </w:pPr>
      <w:r>
        <w:rPr>
          <w:rFonts w:ascii="Times New Roman"/>
        </w:rPr>
        <w:t>本项目建设过程</w:t>
      </w:r>
      <w:r>
        <w:rPr>
          <w:rFonts w:hint="eastAsia" w:ascii="Times New Roman"/>
        </w:rPr>
        <w:t>中拆迁砖混房</w:t>
      </w:r>
      <w:r>
        <w:rPr>
          <w:rFonts w:ascii="Times New Roman"/>
        </w:rPr>
        <w:t>12573.4</w:t>
      </w:r>
      <w:r>
        <w:rPr>
          <w:rFonts w:hint="eastAsia" w:ascii="Times New Roman"/>
        </w:rPr>
        <w:t>m</w:t>
      </w:r>
      <w:r>
        <w:rPr>
          <w:rFonts w:hint="eastAsia" w:ascii="Times New Roman"/>
          <w:vertAlign w:val="superscript"/>
        </w:rPr>
        <w:t>2</w:t>
      </w:r>
      <w:r>
        <w:rPr>
          <w:rFonts w:hint="eastAsia" w:ascii="Times New Roman"/>
        </w:rPr>
        <w:t>，简易房</w:t>
      </w:r>
      <w:r>
        <w:rPr>
          <w:rFonts w:ascii="Times New Roman"/>
        </w:rPr>
        <w:t>4741</w:t>
      </w:r>
      <w:r>
        <w:rPr>
          <w:rFonts w:hint="eastAsia" w:ascii="Times New Roman"/>
        </w:rPr>
        <w:t>m</w:t>
      </w:r>
      <w:r>
        <w:rPr>
          <w:rFonts w:hint="eastAsia" w:ascii="Times New Roman"/>
          <w:vertAlign w:val="superscript"/>
        </w:rPr>
        <w:t>2</w:t>
      </w:r>
      <w:r>
        <w:rPr>
          <w:rFonts w:hint="eastAsia" w:ascii="Times New Roman"/>
        </w:rPr>
        <w:t>，砖混围墙</w:t>
      </w:r>
      <w:r>
        <w:rPr>
          <w:rFonts w:ascii="Times New Roman"/>
        </w:rPr>
        <w:t>3250</w:t>
      </w:r>
      <w:r>
        <w:rPr>
          <w:rFonts w:hint="eastAsia" w:ascii="Times New Roman"/>
        </w:rPr>
        <w:t>m</w:t>
      </w:r>
      <w:r>
        <w:rPr>
          <w:rFonts w:hint="eastAsia" w:ascii="Times New Roman"/>
          <w:vertAlign w:val="superscript"/>
        </w:rPr>
        <w:t>2</w:t>
      </w:r>
      <w:r>
        <w:rPr>
          <w:rFonts w:ascii="Times New Roman"/>
        </w:rPr>
        <w:t>。</w:t>
      </w:r>
    </w:p>
    <w:p w14:paraId="5E5BA3FC">
      <w:pPr>
        <w:spacing w:line="360" w:lineRule="auto"/>
        <w:ind w:firstLine="480" w:firstLineChars="200"/>
        <w:jc w:val="both"/>
        <w:rPr>
          <w:rFonts w:ascii="Times New Roman" w:hAnsi="Times New Roman" w:cs="Times New Roman"/>
        </w:rPr>
      </w:pPr>
      <w:r>
        <w:rPr>
          <w:rFonts w:ascii="Times New Roman" w:hAnsi="Times New Roman" w:cs="Times New Roman"/>
        </w:rPr>
        <w:t>拆除建筑垃圾尽可能回用，不能回用的集中收集后运至城市管理部门指定地点。</w:t>
      </w:r>
    </w:p>
    <w:p w14:paraId="7CAEF62D">
      <w:pPr>
        <w:spacing w:line="360" w:lineRule="auto"/>
        <w:ind w:firstLine="480" w:firstLineChars="200"/>
        <w:jc w:val="both"/>
        <w:rPr>
          <w:rFonts w:ascii="Times New Roman" w:hAnsi="Times New Roman" w:cs="Times New Roman"/>
        </w:rPr>
      </w:pPr>
      <w:r>
        <w:rPr>
          <w:rFonts w:hint="eastAsia" w:ascii="Times New Roman" w:hAnsi="Times New Roman" w:cs="Times New Roman"/>
        </w:rPr>
        <w:t>（2）电力、通讯及其他管线设施拆迁</w:t>
      </w:r>
    </w:p>
    <w:p w14:paraId="5F27114F">
      <w:pPr>
        <w:spacing w:line="360" w:lineRule="auto"/>
        <w:ind w:firstLine="480" w:firstLineChars="200"/>
        <w:jc w:val="both"/>
        <w:rPr>
          <w:rFonts w:ascii="Times New Roman" w:hAnsi="Times New Roman" w:cs="Times New Roman"/>
        </w:rPr>
      </w:pPr>
      <w:r>
        <w:rPr>
          <w:rFonts w:hint="eastAsia" w:ascii="Times New Roman" w:hAnsi="Times New Roman" w:cs="Times New Roman"/>
        </w:rPr>
        <w:t>电力、通讯及其他管线设施拆迁</w:t>
      </w:r>
      <w:r>
        <w:rPr>
          <w:rFonts w:ascii="Times New Roman" w:hAnsi="Times New Roman" w:cs="Times New Roman"/>
        </w:rPr>
        <w:t>见表3.1-14。</w:t>
      </w:r>
    </w:p>
    <w:p w14:paraId="78CFF25D">
      <w:pPr>
        <w:pStyle w:val="6"/>
        <w:kinsoku w:val="0"/>
        <w:overflowPunct w:val="0"/>
        <w:spacing w:after="0"/>
        <w:jc w:val="center"/>
        <w:rPr>
          <w:rFonts w:ascii="Times New Roman" w:hAnsi="Times New Roman" w:cs="Times New Roman"/>
          <w:b/>
          <w:bCs/>
          <w:sz w:val="32"/>
        </w:rPr>
      </w:pPr>
      <w:r>
        <w:rPr>
          <w:rFonts w:ascii="黑体" w:hAnsi="黑体" w:eastAsia="黑体" w:cs="Times New Roman"/>
          <w:bCs/>
          <w:kern w:val="2"/>
          <w:szCs w:val="21"/>
        </w:rPr>
        <w:t>表3.1-14</w:t>
      </w:r>
      <w:r>
        <w:rPr>
          <w:rFonts w:hint="eastAsia" w:ascii="黑体" w:hAnsi="黑体" w:eastAsia="黑体" w:cs="Times New Roman"/>
          <w:bCs/>
          <w:kern w:val="2"/>
          <w:szCs w:val="21"/>
        </w:rPr>
        <w:t>拆迁电力、通讯及其他管线设施拆迁</w:t>
      </w:r>
      <w:r>
        <w:rPr>
          <w:rFonts w:ascii="黑体" w:hAnsi="黑体" w:eastAsia="黑体" w:cs="Times New Roman"/>
          <w:bCs/>
          <w:kern w:val="2"/>
          <w:szCs w:val="21"/>
        </w:rPr>
        <w:t>一览表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4"/>
      </w:tblGrid>
      <w:tr w14:paraId="7D14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6" w:type="pct"/>
            <w:vAlign w:val="center"/>
          </w:tcPr>
          <w:p w14:paraId="5C91E4DA">
            <w:pPr>
              <w:jc w:val="center"/>
              <w:rPr>
                <w:rFonts w:ascii="Times New Roman" w:hAnsi="Times New Roman" w:cs="Times New Roman"/>
                <w:sz w:val="21"/>
                <w:szCs w:val="18"/>
              </w:rPr>
            </w:pPr>
            <w:r>
              <w:rPr>
                <w:rFonts w:ascii="Times New Roman" w:hAnsi="Times New Roman" w:cs="Times New Roman"/>
                <w:sz w:val="21"/>
                <w:szCs w:val="18"/>
              </w:rPr>
              <w:t>拆迁</w:t>
            </w:r>
          </w:p>
        </w:tc>
        <w:tc>
          <w:tcPr>
            <w:tcW w:w="1666" w:type="pct"/>
            <w:vAlign w:val="center"/>
          </w:tcPr>
          <w:p w14:paraId="64055DD4">
            <w:pPr>
              <w:jc w:val="center"/>
              <w:rPr>
                <w:rFonts w:ascii="Times New Roman" w:hAnsi="Times New Roman" w:cs="Times New Roman"/>
                <w:sz w:val="21"/>
                <w:szCs w:val="18"/>
              </w:rPr>
            </w:pPr>
            <w:r>
              <w:rPr>
                <w:rFonts w:ascii="Times New Roman" w:hAnsi="Times New Roman" w:cs="Times New Roman"/>
                <w:sz w:val="21"/>
                <w:szCs w:val="18"/>
              </w:rPr>
              <w:t>单位</w:t>
            </w:r>
          </w:p>
        </w:tc>
        <w:tc>
          <w:tcPr>
            <w:tcW w:w="1667" w:type="pct"/>
            <w:vAlign w:val="center"/>
          </w:tcPr>
          <w:p w14:paraId="3CED77AA">
            <w:pPr>
              <w:jc w:val="center"/>
              <w:rPr>
                <w:rFonts w:ascii="Times New Roman" w:hAnsi="Times New Roman" w:cs="Times New Roman"/>
                <w:sz w:val="21"/>
                <w:szCs w:val="18"/>
              </w:rPr>
            </w:pPr>
            <w:r>
              <w:rPr>
                <w:rFonts w:ascii="Times New Roman" w:hAnsi="Times New Roman" w:cs="Times New Roman"/>
                <w:sz w:val="21"/>
                <w:szCs w:val="18"/>
              </w:rPr>
              <w:t>数量</w:t>
            </w:r>
          </w:p>
        </w:tc>
      </w:tr>
      <w:tr w14:paraId="7B8D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6" w:type="pct"/>
            <w:vAlign w:val="center"/>
          </w:tcPr>
          <w:p w14:paraId="19560DC1">
            <w:pPr>
              <w:jc w:val="center"/>
              <w:rPr>
                <w:rFonts w:ascii="Times New Roman" w:hAnsi="Times New Roman" w:cs="Times New Roman"/>
                <w:sz w:val="21"/>
                <w:szCs w:val="18"/>
              </w:rPr>
            </w:pPr>
            <w:r>
              <w:rPr>
                <w:rFonts w:hint="eastAsia" w:ascii="Times New Roman" w:hAnsi="Times New Roman" w:cs="Times New Roman"/>
                <w:sz w:val="21"/>
                <w:szCs w:val="18"/>
              </w:rPr>
              <w:t>电讯杆</w:t>
            </w:r>
          </w:p>
        </w:tc>
        <w:tc>
          <w:tcPr>
            <w:tcW w:w="1666" w:type="pct"/>
            <w:vAlign w:val="center"/>
          </w:tcPr>
          <w:p w14:paraId="155A75AA">
            <w:pPr>
              <w:jc w:val="center"/>
              <w:rPr>
                <w:rFonts w:ascii="Times New Roman" w:hAnsi="Times New Roman" w:cs="Times New Roman"/>
                <w:sz w:val="21"/>
                <w:szCs w:val="18"/>
              </w:rPr>
            </w:pPr>
            <w:r>
              <w:rPr>
                <w:rFonts w:hint="eastAsia" w:ascii="Times New Roman" w:hAnsi="Times New Roman" w:cs="Times New Roman"/>
                <w:sz w:val="21"/>
                <w:szCs w:val="18"/>
              </w:rPr>
              <w:t>座</w:t>
            </w:r>
          </w:p>
        </w:tc>
        <w:tc>
          <w:tcPr>
            <w:tcW w:w="1667" w:type="pct"/>
            <w:vAlign w:val="center"/>
          </w:tcPr>
          <w:p w14:paraId="4A60B859">
            <w:pPr>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16</w:t>
            </w:r>
          </w:p>
        </w:tc>
      </w:tr>
      <w:tr w14:paraId="0F89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6" w:type="pct"/>
            <w:vAlign w:val="center"/>
          </w:tcPr>
          <w:p w14:paraId="6E457D38">
            <w:pPr>
              <w:jc w:val="center"/>
              <w:rPr>
                <w:rFonts w:ascii="Times New Roman" w:hAnsi="Times New Roman" w:cs="Times New Roman"/>
                <w:sz w:val="21"/>
                <w:szCs w:val="18"/>
              </w:rPr>
            </w:pPr>
            <w:r>
              <w:rPr>
                <w:rFonts w:hint="eastAsia" w:ascii="Times New Roman" w:hAnsi="Times New Roman" w:cs="Times New Roman"/>
                <w:sz w:val="21"/>
                <w:szCs w:val="18"/>
              </w:rPr>
              <w:t>电线</w:t>
            </w:r>
            <w:r>
              <w:rPr>
                <w:rFonts w:ascii="Times New Roman" w:hAnsi="Times New Roman" w:cs="Times New Roman"/>
                <w:sz w:val="21"/>
                <w:szCs w:val="18"/>
              </w:rPr>
              <w:t>杆</w:t>
            </w:r>
          </w:p>
        </w:tc>
        <w:tc>
          <w:tcPr>
            <w:tcW w:w="1666" w:type="pct"/>
            <w:vAlign w:val="center"/>
          </w:tcPr>
          <w:p w14:paraId="7AE1CE24">
            <w:pPr>
              <w:jc w:val="center"/>
              <w:rPr>
                <w:rFonts w:ascii="Times New Roman" w:hAnsi="Times New Roman" w:cs="Times New Roman"/>
                <w:sz w:val="21"/>
                <w:szCs w:val="18"/>
              </w:rPr>
            </w:pPr>
            <w:r>
              <w:rPr>
                <w:rFonts w:hint="eastAsia" w:ascii="Times New Roman" w:hAnsi="Times New Roman" w:cs="Times New Roman"/>
                <w:sz w:val="21"/>
                <w:szCs w:val="18"/>
              </w:rPr>
              <w:t>座</w:t>
            </w:r>
          </w:p>
        </w:tc>
        <w:tc>
          <w:tcPr>
            <w:tcW w:w="1667" w:type="pct"/>
            <w:vAlign w:val="center"/>
          </w:tcPr>
          <w:p w14:paraId="43AE4492">
            <w:pPr>
              <w:jc w:val="center"/>
              <w:rPr>
                <w:rFonts w:ascii="Times New Roman" w:hAnsi="Times New Roman" w:cs="Times New Roman"/>
                <w:sz w:val="21"/>
                <w:szCs w:val="18"/>
              </w:rPr>
            </w:pPr>
            <w:r>
              <w:rPr>
                <w:rFonts w:ascii="Times New Roman" w:hAnsi="Times New Roman" w:cs="Times New Roman"/>
                <w:sz w:val="21"/>
                <w:szCs w:val="18"/>
              </w:rPr>
              <w:t>162</w:t>
            </w:r>
          </w:p>
        </w:tc>
      </w:tr>
      <w:tr w14:paraId="244A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6" w:type="pct"/>
            <w:vAlign w:val="center"/>
          </w:tcPr>
          <w:p w14:paraId="283B6AB8">
            <w:pPr>
              <w:jc w:val="center"/>
              <w:rPr>
                <w:rFonts w:ascii="Times New Roman" w:hAnsi="Times New Roman" w:cs="Times New Roman"/>
                <w:sz w:val="21"/>
                <w:szCs w:val="18"/>
              </w:rPr>
            </w:pPr>
            <w:r>
              <w:rPr>
                <w:rFonts w:hint="eastAsia" w:ascii="Times New Roman" w:hAnsi="Times New Roman" w:cs="Times New Roman"/>
                <w:sz w:val="21"/>
                <w:szCs w:val="18"/>
              </w:rPr>
              <w:t>高压电塔</w:t>
            </w:r>
          </w:p>
        </w:tc>
        <w:tc>
          <w:tcPr>
            <w:tcW w:w="1666" w:type="pct"/>
            <w:vAlign w:val="center"/>
          </w:tcPr>
          <w:p w14:paraId="0A79E70B">
            <w:pPr>
              <w:jc w:val="center"/>
              <w:rPr>
                <w:rFonts w:ascii="Times New Roman" w:hAnsi="Times New Roman" w:cs="Times New Roman"/>
                <w:sz w:val="21"/>
                <w:szCs w:val="18"/>
              </w:rPr>
            </w:pPr>
            <w:r>
              <w:rPr>
                <w:rFonts w:hint="eastAsia" w:ascii="Times New Roman" w:hAnsi="Times New Roman" w:cs="Times New Roman"/>
                <w:sz w:val="21"/>
                <w:szCs w:val="18"/>
              </w:rPr>
              <w:t>座</w:t>
            </w:r>
          </w:p>
        </w:tc>
        <w:tc>
          <w:tcPr>
            <w:tcW w:w="1667" w:type="pct"/>
            <w:vAlign w:val="center"/>
          </w:tcPr>
          <w:p w14:paraId="01A14E71">
            <w:pPr>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0</w:t>
            </w:r>
          </w:p>
        </w:tc>
      </w:tr>
      <w:tr w14:paraId="4D8C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6" w:type="pct"/>
            <w:vAlign w:val="center"/>
          </w:tcPr>
          <w:p w14:paraId="6ADCA856">
            <w:pPr>
              <w:jc w:val="center"/>
              <w:rPr>
                <w:rFonts w:ascii="Times New Roman" w:hAnsi="Times New Roman" w:cs="Times New Roman"/>
                <w:sz w:val="21"/>
                <w:szCs w:val="18"/>
              </w:rPr>
            </w:pPr>
            <w:r>
              <w:rPr>
                <w:rFonts w:hint="eastAsia" w:ascii="Times New Roman" w:hAnsi="Times New Roman" w:cs="Times New Roman"/>
                <w:sz w:val="21"/>
                <w:szCs w:val="18"/>
              </w:rPr>
              <w:t>地下光缆</w:t>
            </w:r>
          </w:p>
        </w:tc>
        <w:tc>
          <w:tcPr>
            <w:tcW w:w="1666" w:type="pct"/>
            <w:vAlign w:val="center"/>
          </w:tcPr>
          <w:p w14:paraId="2E32D06F">
            <w:pPr>
              <w:jc w:val="center"/>
              <w:rPr>
                <w:rFonts w:ascii="Times New Roman" w:hAnsi="Times New Roman" w:cs="Times New Roman"/>
                <w:sz w:val="21"/>
                <w:szCs w:val="18"/>
              </w:rPr>
            </w:pPr>
            <w:r>
              <w:rPr>
                <w:rFonts w:hint="eastAsia" w:ascii="Times New Roman" w:hAnsi="Times New Roman" w:cs="Times New Roman"/>
                <w:sz w:val="21"/>
                <w:szCs w:val="18"/>
              </w:rPr>
              <w:t>米</w:t>
            </w:r>
          </w:p>
        </w:tc>
        <w:tc>
          <w:tcPr>
            <w:tcW w:w="1667" w:type="pct"/>
            <w:vAlign w:val="center"/>
          </w:tcPr>
          <w:p w14:paraId="6E7304D1">
            <w:pPr>
              <w:jc w:val="center"/>
              <w:rPr>
                <w:rFonts w:ascii="Times New Roman" w:hAnsi="Times New Roman" w:cs="Times New Roman"/>
                <w:sz w:val="21"/>
                <w:szCs w:val="18"/>
              </w:rPr>
            </w:pPr>
            <w:r>
              <w:rPr>
                <w:rFonts w:hint="eastAsia" w:ascii="Times New Roman" w:hAnsi="Times New Roman" w:cs="Times New Roman"/>
                <w:sz w:val="21"/>
                <w:szCs w:val="18"/>
              </w:rPr>
              <w:t>7</w:t>
            </w:r>
            <w:r>
              <w:rPr>
                <w:rFonts w:ascii="Times New Roman" w:hAnsi="Times New Roman" w:cs="Times New Roman"/>
                <w:sz w:val="21"/>
                <w:szCs w:val="18"/>
              </w:rPr>
              <w:t>170</w:t>
            </w:r>
          </w:p>
        </w:tc>
      </w:tr>
    </w:tbl>
    <w:p w14:paraId="2C859291">
      <w:pPr>
        <w:pStyle w:val="4"/>
        <w:adjustRightInd w:val="0"/>
        <w:snapToGrid w:val="0"/>
        <w:spacing w:before="156" w:afterLines="0" w:line="240" w:lineRule="auto"/>
        <w:rPr>
          <w:rFonts w:ascii="Times New Roman" w:hAnsi="Times New Roman" w:cs="Times New Roman"/>
          <w:color w:val="00B050"/>
          <w:sz w:val="30"/>
        </w:rPr>
      </w:pPr>
      <w:bookmarkStart w:id="339" w:name="_Toc97464614"/>
      <w:bookmarkStart w:id="340" w:name="_Toc57826717"/>
      <w:bookmarkStart w:id="341" w:name="_Toc98413509"/>
      <w:bookmarkStart w:id="342" w:name="_Toc34989553"/>
      <w:bookmarkStart w:id="343" w:name="_Toc98414191"/>
      <w:r>
        <w:rPr>
          <w:rFonts w:ascii="Times New Roman" w:hAnsi="Times New Roman" w:cs="Times New Roman"/>
          <w:sz w:val="30"/>
        </w:rPr>
        <w:t>3.1.9土石方平衡</w:t>
      </w:r>
      <w:bookmarkEnd w:id="339"/>
      <w:bookmarkEnd w:id="340"/>
      <w:bookmarkEnd w:id="341"/>
      <w:bookmarkEnd w:id="342"/>
      <w:bookmarkEnd w:id="343"/>
      <w:r>
        <w:rPr>
          <w:rFonts w:ascii="Times New Roman" w:hAnsi="Times New Roman" w:cs="Times New Roman"/>
          <w:sz w:val="30"/>
        </w:rPr>
        <w:t xml:space="preserve"> </w:t>
      </w:r>
    </w:p>
    <w:p w14:paraId="1B54948D">
      <w:pPr>
        <w:spacing w:line="360" w:lineRule="auto"/>
        <w:ind w:firstLine="480" w:firstLineChars="200"/>
        <w:rPr>
          <w:rFonts w:ascii="Times New Roman" w:hAnsi="Times New Roman" w:cs="Times New Roman"/>
        </w:rPr>
      </w:pPr>
      <w:r>
        <w:rPr>
          <w:rFonts w:ascii="Times New Roman" w:hAnsi="Times New Roman" w:cs="Times New Roman"/>
        </w:rPr>
        <w:t>（1）挖、填方量</w:t>
      </w:r>
    </w:p>
    <w:p w14:paraId="16D3B0D4">
      <w:pPr>
        <w:pStyle w:val="6"/>
        <w:kinsoku w:val="0"/>
        <w:overflowPunct w:val="0"/>
        <w:spacing w:after="0"/>
        <w:jc w:val="center"/>
        <w:rPr>
          <w:rFonts w:ascii="Times New Roman" w:hAnsi="Times New Roman" w:cs="Times New Roman"/>
          <w:b/>
          <w:bCs/>
          <w:sz w:val="32"/>
        </w:rPr>
      </w:pPr>
      <w:r>
        <w:rPr>
          <w:rFonts w:ascii="黑体" w:hAnsi="黑体" w:eastAsia="黑体" w:cs="Times New Roman"/>
          <w:bCs/>
          <w:kern w:val="2"/>
          <w:szCs w:val="21"/>
        </w:rPr>
        <w:t>表3.1-15</w:t>
      </w:r>
      <w:r>
        <w:rPr>
          <w:rFonts w:hint="eastAsia" w:ascii="黑体" w:hAnsi="黑体" w:eastAsia="黑体" w:cs="Times New Roman"/>
          <w:bCs/>
          <w:kern w:val="2"/>
          <w:szCs w:val="21"/>
        </w:rPr>
        <w:t>土石方挖、填量</w:t>
      </w:r>
      <w:r>
        <w:rPr>
          <w:rFonts w:ascii="黑体" w:hAnsi="黑体" w:eastAsia="黑体" w:cs="Times New Roman"/>
          <w:bCs/>
          <w:kern w:val="2"/>
          <w:szCs w:val="21"/>
        </w:rPr>
        <w:t xml:space="preserve">  单位：</w:t>
      </w:r>
      <w:r>
        <w:rPr>
          <w:rFonts w:hint="eastAsia" w:ascii="黑体" w:hAnsi="黑体" w:eastAsia="黑体" w:cs="Times New Roman"/>
          <w:bCs/>
          <w:kern w:val="2"/>
          <w:szCs w:val="21"/>
        </w:rPr>
        <w:t>K</w:t>
      </w:r>
      <w:r>
        <w:rPr>
          <w:rFonts w:ascii="黑体" w:hAnsi="黑体" w:eastAsia="黑体" w:cs="Times New Roman"/>
          <w:bCs/>
          <w:kern w:val="2"/>
          <w:szCs w:val="21"/>
        </w:rPr>
        <w:t>m</w:t>
      </w:r>
      <w:r>
        <w:rPr>
          <w:rFonts w:ascii="黑体" w:hAnsi="黑体" w:eastAsia="黑体" w:cs="Times New Roman"/>
          <w:bCs/>
          <w:kern w:val="2"/>
          <w:szCs w:val="21"/>
          <w:vertAlign w:val="superscript"/>
        </w:rPr>
        <w:t>3</w:t>
      </w:r>
    </w:p>
    <w:tbl>
      <w:tblPr>
        <w:tblStyle w:val="8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20"/>
        <w:gridCol w:w="1170"/>
        <w:gridCol w:w="1088"/>
        <w:gridCol w:w="1088"/>
        <w:gridCol w:w="1088"/>
        <w:gridCol w:w="1088"/>
        <w:gridCol w:w="1086"/>
      </w:tblGrid>
      <w:tr w14:paraId="2B9B99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668" w:type="pct"/>
            <w:vAlign w:val="center"/>
          </w:tcPr>
          <w:p w14:paraId="5233730E">
            <w:pPr>
              <w:jc w:val="center"/>
              <w:rPr>
                <w:rFonts w:ascii="Times New Roman" w:hAnsi="Times New Roman" w:cs="Times New Roman"/>
                <w:sz w:val="21"/>
                <w:szCs w:val="21"/>
              </w:rPr>
            </w:pPr>
            <w:r>
              <w:rPr>
                <w:rFonts w:hint="eastAsia" w:ascii="Times New Roman" w:hAnsi="Times New Roman" w:cs="Times New Roman"/>
                <w:sz w:val="21"/>
                <w:szCs w:val="21"/>
              </w:rPr>
              <w:t>公路</w:t>
            </w:r>
          </w:p>
        </w:tc>
        <w:tc>
          <w:tcPr>
            <w:tcW w:w="763" w:type="pct"/>
            <w:vAlign w:val="center"/>
          </w:tcPr>
          <w:p w14:paraId="1AD1C937">
            <w:pPr>
              <w:jc w:val="center"/>
              <w:rPr>
                <w:rFonts w:ascii="Times New Roman" w:hAnsi="Times New Roman" w:cs="Times New Roman"/>
                <w:sz w:val="21"/>
                <w:szCs w:val="21"/>
              </w:rPr>
            </w:pPr>
            <w:r>
              <w:rPr>
                <w:rFonts w:hint="eastAsia" w:ascii="Times New Roman" w:hAnsi="Times New Roman" w:cs="Times New Roman"/>
                <w:sz w:val="21"/>
                <w:szCs w:val="21"/>
              </w:rPr>
              <w:t>挖方量</w:t>
            </w:r>
          </w:p>
        </w:tc>
        <w:tc>
          <w:tcPr>
            <w:tcW w:w="714" w:type="pct"/>
            <w:vAlign w:val="center"/>
          </w:tcPr>
          <w:p w14:paraId="7D20F062">
            <w:pPr>
              <w:jc w:val="center"/>
              <w:rPr>
                <w:rFonts w:ascii="Times New Roman" w:hAnsi="Times New Roman" w:cs="Times New Roman"/>
                <w:sz w:val="21"/>
                <w:szCs w:val="21"/>
              </w:rPr>
            </w:pPr>
            <w:r>
              <w:rPr>
                <w:rFonts w:hint="eastAsia" w:ascii="Times New Roman" w:hAnsi="Times New Roman" w:cs="Times New Roman"/>
                <w:sz w:val="21"/>
                <w:szCs w:val="21"/>
              </w:rPr>
              <w:t>填方量</w:t>
            </w:r>
          </w:p>
        </w:tc>
        <w:tc>
          <w:tcPr>
            <w:tcW w:w="714" w:type="pct"/>
          </w:tcPr>
          <w:p w14:paraId="73B2E2A6">
            <w:pPr>
              <w:jc w:val="center"/>
              <w:rPr>
                <w:rFonts w:ascii="Times New Roman" w:hAnsi="Times New Roman" w:cs="Times New Roman"/>
                <w:sz w:val="21"/>
                <w:szCs w:val="21"/>
              </w:rPr>
            </w:pPr>
            <w:r>
              <w:rPr>
                <w:rFonts w:hint="eastAsia" w:ascii="Times New Roman" w:hAnsi="Times New Roman" w:cs="Times New Roman"/>
                <w:sz w:val="21"/>
                <w:szCs w:val="21"/>
              </w:rPr>
              <w:t>本桩利用</w:t>
            </w:r>
          </w:p>
        </w:tc>
        <w:tc>
          <w:tcPr>
            <w:tcW w:w="714" w:type="pct"/>
          </w:tcPr>
          <w:p w14:paraId="30ADEEAB">
            <w:pPr>
              <w:jc w:val="center"/>
              <w:rPr>
                <w:rFonts w:ascii="Times New Roman" w:hAnsi="Times New Roman" w:cs="Times New Roman"/>
                <w:sz w:val="21"/>
                <w:szCs w:val="21"/>
              </w:rPr>
            </w:pPr>
            <w:r>
              <w:rPr>
                <w:rFonts w:hint="eastAsia" w:ascii="Times New Roman" w:hAnsi="Times New Roman" w:cs="Times New Roman"/>
                <w:sz w:val="21"/>
                <w:szCs w:val="21"/>
              </w:rPr>
              <w:t>远运利用</w:t>
            </w:r>
          </w:p>
        </w:tc>
        <w:tc>
          <w:tcPr>
            <w:tcW w:w="714" w:type="pct"/>
          </w:tcPr>
          <w:p w14:paraId="1BA9F369">
            <w:pPr>
              <w:jc w:val="center"/>
              <w:rPr>
                <w:rFonts w:ascii="Times New Roman" w:hAnsi="Times New Roman" w:cs="Times New Roman"/>
                <w:sz w:val="21"/>
                <w:szCs w:val="21"/>
              </w:rPr>
            </w:pPr>
            <w:r>
              <w:rPr>
                <w:rFonts w:hint="eastAsia" w:ascii="Times New Roman" w:hAnsi="Times New Roman" w:cs="Times New Roman"/>
                <w:sz w:val="21"/>
                <w:szCs w:val="21"/>
              </w:rPr>
              <w:t>借方</w:t>
            </w:r>
          </w:p>
        </w:tc>
        <w:tc>
          <w:tcPr>
            <w:tcW w:w="714" w:type="pct"/>
          </w:tcPr>
          <w:p w14:paraId="61EBBC17">
            <w:pPr>
              <w:jc w:val="center"/>
              <w:rPr>
                <w:rFonts w:ascii="Times New Roman" w:hAnsi="Times New Roman" w:cs="Times New Roman"/>
                <w:sz w:val="21"/>
                <w:szCs w:val="21"/>
              </w:rPr>
            </w:pPr>
            <w:r>
              <w:rPr>
                <w:rFonts w:hint="eastAsia" w:ascii="Times New Roman" w:hAnsi="Times New Roman" w:cs="Times New Roman"/>
                <w:sz w:val="21"/>
                <w:szCs w:val="21"/>
              </w:rPr>
              <w:t>废方</w:t>
            </w:r>
          </w:p>
        </w:tc>
      </w:tr>
      <w:tr w14:paraId="636A16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68" w:type="pct"/>
            <w:vAlign w:val="center"/>
          </w:tcPr>
          <w:p w14:paraId="0B6F84BC">
            <w:pPr>
              <w:jc w:val="center"/>
              <w:rPr>
                <w:rFonts w:ascii="Times New Roman" w:hAnsi="Times New Roman" w:cs="Times New Roman"/>
                <w:sz w:val="21"/>
                <w:szCs w:val="21"/>
              </w:rPr>
            </w:pPr>
            <w:r>
              <w:rPr>
                <w:rFonts w:hint="eastAsia" w:ascii="Times New Roman" w:hAnsi="Times New Roman" w:cs="Times New Roman"/>
                <w:sz w:val="21"/>
                <w:szCs w:val="21"/>
              </w:rPr>
              <w:t>二级公路K</w:t>
            </w:r>
            <w:r>
              <w:rPr>
                <w:rFonts w:ascii="Times New Roman" w:hAnsi="Times New Roman" w:cs="Times New Roman"/>
                <w:sz w:val="21"/>
                <w:szCs w:val="21"/>
              </w:rPr>
              <w:t>0~K33</w:t>
            </w:r>
          </w:p>
        </w:tc>
        <w:tc>
          <w:tcPr>
            <w:tcW w:w="763" w:type="pct"/>
            <w:vAlign w:val="center"/>
          </w:tcPr>
          <w:p w14:paraId="5043E382">
            <w:pPr>
              <w:jc w:val="center"/>
              <w:rPr>
                <w:rFonts w:ascii="Times New Roman" w:hAnsi="Times New Roman" w:cs="Times New Roman"/>
                <w:sz w:val="21"/>
                <w:szCs w:val="21"/>
              </w:rPr>
            </w:pPr>
            <w:r>
              <w:rPr>
                <w:rFonts w:ascii="CIDFont+F2" w:hAnsi="CIDFont+F2"/>
                <w:sz w:val="21"/>
                <w:szCs w:val="21"/>
              </w:rPr>
              <w:t>51.65</w:t>
            </w:r>
          </w:p>
        </w:tc>
        <w:tc>
          <w:tcPr>
            <w:tcW w:w="714" w:type="pct"/>
            <w:vAlign w:val="center"/>
          </w:tcPr>
          <w:p w14:paraId="577BC971">
            <w:pPr>
              <w:jc w:val="center"/>
              <w:rPr>
                <w:rFonts w:ascii="Times New Roman" w:hAnsi="Times New Roman" w:cs="Times New Roman"/>
                <w:sz w:val="21"/>
                <w:szCs w:val="21"/>
              </w:rPr>
            </w:pPr>
            <w:r>
              <w:rPr>
                <w:rFonts w:ascii="CIDFont+F2" w:hAnsi="CIDFont+F2"/>
                <w:sz w:val="21"/>
                <w:szCs w:val="21"/>
              </w:rPr>
              <w:t>78.14</w:t>
            </w:r>
          </w:p>
        </w:tc>
        <w:tc>
          <w:tcPr>
            <w:tcW w:w="714" w:type="pct"/>
          </w:tcPr>
          <w:p w14:paraId="42EBDE60">
            <w:pPr>
              <w:jc w:val="center"/>
              <w:rPr>
                <w:rFonts w:hint="eastAsia" w:ascii="CIDFont+F2" w:hAnsi="CIDFont+F2"/>
                <w:sz w:val="21"/>
                <w:szCs w:val="21"/>
              </w:rPr>
            </w:pPr>
            <w:r>
              <w:rPr>
                <w:rFonts w:hint="eastAsia" w:ascii="CIDFont+F2" w:hAnsi="CIDFont+F2"/>
                <w:sz w:val="21"/>
                <w:szCs w:val="21"/>
              </w:rPr>
              <w:t>0</w:t>
            </w:r>
          </w:p>
        </w:tc>
        <w:tc>
          <w:tcPr>
            <w:tcW w:w="714" w:type="pct"/>
          </w:tcPr>
          <w:p w14:paraId="6DBED90C">
            <w:pPr>
              <w:jc w:val="center"/>
              <w:rPr>
                <w:rFonts w:hint="eastAsia" w:ascii="CIDFont+F2" w:hAnsi="CIDFont+F2"/>
                <w:sz w:val="21"/>
                <w:szCs w:val="21"/>
              </w:rPr>
            </w:pPr>
            <w:r>
              <w:rPr>
                <w:rFonts w:hint="eastAsia" w:ascii="CIDFont+F2" w:hAnsi="CIDFont+F2"/>
                <w:sz w:val="21"/>
                <w:szCs w:val="21"/>
              </w:rPr>
              <w:t>0</w:t>
            </w:r>
          </w:p>
        </w:tc>
        <w:tc>
          <w:tcPr>
            <w:tcW w:w="714" w:type="pct"/>
          </w:tcPr>
          <w:p w14:paraId="4D9988D6">
            <w:pPr>
              <w:jc w:val="center"/>
              <w:rPr>
                <w:rFonts w:hint="eastAsia" w:ascii="CIDFont+F2" w:hAnsi="CIDFont+F2"/>
                <w:sz w:val="21"/>
                <w:szCs w:val="21"/>
              </w:rPr>
            </w:pPr>
            <w:r>
              <w:rPr>
                <w:rFonts w:hint="eastAsia" w:ascii="CIDFont+F2" w:hAnsi="CIDFont+F2"/>
                <w:sz w:val="21"/>
                <w:szCs w:val="21"/>
              </w:rPr>
              <w:t>9</w:t>
            </w:r>
            <w:r>
              <w:rPr>
                <w:rFonts w:ascii="CIDFont+F2" w:hAnsi="CIDFont+F2"/>
                <w:sz w:val="21"/>
                <w:szCs w:val="21"/>
              </w:rPr>
              <w:t>0.64</w:t>
            </w:r>
          </w:p>
        </w:tc>
        <w:tc>
          <w:tcPr>
            <w:tcW w:w="714" w:type="pct"/>
          </w:tcPr>
          <w:p w14:paraId="16234DBD">
            <w:pPr>
              <w:jc w:val="center"/>
              <w:rPr>
                <w:rFonts w:hint="eastAsia" w:ascii="CIDFont+F2" w:hAnsi="CIDFont+F2"/>
                <w:sz w:val="21"/>
                <w:szCs w:val="21"/>
              </w:rPr>
            </w:pPr>
            <w:r>
              <w:rPr>
                <w:rFonts w:hint="eastAsia" w:ascii="CIDFont+F2" w:hAnsi="CIDFont+F2"/>
                <w:sz w:val="21"/>
                <w:szCs w:val="21"/>
              </w:rPr>
              <w:t>5</w:t>
            </w:r>
            <w:r>
              <w:rPr>
                <w:rFonts w:ascii="CIDFont+F2" w:hAnsi="CIDFont+F2"/>
                <w:sz w:val="21"/>
                <w:szCs w:val="21"/>
              </w:rPr>
              <w:t>1.65</w:t>
            </w:r>
          </w:p>
        </w:tc>
      </w:tr>
      <w:tr w14:paraId="217363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68" w:type="pct"/>
            <w:vAlign w:val="center"/>
          </w:tcPr>
          <w:p w14:paraId="77FCEA63">
            <w:pPr>
              <w:jc w:val="center"/>
              <w:rPr>
                <w:rFonts w:ascii="Times New Roman" w:hAnsi="Times New Roman" w:cs="Times New Roman"/>
                <w:sz w:val="21"/>
                <w:szCs w:val="21"/>
              </w:rPr>
            </w:pPr>
            <w:r>
              <w:rPr>
                <w:rFonts w:hint="eastAsia" w:ascii="Times New Roman" w:hAnsi="Times New Roman" w:cs="Times New Roman"/>
                <w:sz w:val="21"/>
                <w:szCs w:val="21"/>
              </w:rPr>
              <w:t>三级公路</w:t>
            </w:r>
          </w:p>
          <w:p w14:paraId="3CB8D5B2">
            <w:pPr>
              <w:jc w:val="center"/>
              <w:rPr>
                <w:rFonts w:ascii="Times New Roman" w:hAnsi="Times New Roman" w:cs="Times New Roman"/>
                <w:sz w:val="21"/>
                <w:szCs w:val="21"/>
              </w:rPr>
            </w:pPr>
            <w:r>
              <w:rPr>
                <w:rFonts w:hint="eastAsia" w:ascii="Times New Roman" w:hAnsi="Times New Roman" w:cs="Times New Roman"/>
                <w:sz w:val="21"/>
                <w:szCs w:val="21"/>
              </w:rPr>
              <w:t>K</w:t>
            </w:r>
            <w:r>
              <w:rPr>
                <w:rFonts w:ascii="Times New Roman" w:hAnsi="Times New Roman" w:cs="Times New Roman"/>
                <w:sz w:val="21"/>
                <w:szCs w:val="21"/>
              </w:rPr>
              <w:t>27+980~K28+611</w:t>
            </w:r>
          </w:p>
        </w:tc>
        <w:tc>
          <w:tcPr>
            <w:tcW w:w="763" w:type="pct"/>
            <w:vAlign w:val="center"/>
          </w:tcPr>
          <w:p w14:paraId="19EADFB7">
            <w:pPr>
              <w:jc w:val="center"/>
              <w:rPr>
                <w:rFonts w:ascii="Times New Roman" w:hAnsi="Times New Roman" w:cs="Times New Roman"/>
                <w:sz w:val="21"/>
                <w:szCs w:val="21"/>
              </w:rPr>
            </w:pPr>
            <w:r>
              <w:rPr>
                <w:rFonts w:hint="eastAsia" w:ascii="Times New Roman" w:hAnsi="Times New Roman" w:cs="Times New Roman"/>
                <w:sz w:val="21"/>
                <w:szCs w:val="21"/>
              </w:rPr>
              <w:t>0</w:t>
            </w:r>
          </w:p>
        </w:tc>
        <w:tc>
          <w:tcPr>
            <w:tcW w:w="714" w:type="pct"/>
            <w:vAlign w:val="center"/>
          </w:tcPr>
          <w:p w14:paraId="62951EFC">
            <w:pPr>
              <w:jc w:val="center"/>
              <w:rPr>
                <w:rFonts w:ascii="Times New Roman" w:hAnsi="Times New Roman" w:cs="Times New Roman"/>
                <w:sz w:val="21"/>
                <w:szCs w:val="21"/>
              </w:rPr>
            </w:pPr>
            <w:r>
              <w:rPr>
                <w:rFonts w:ascii="CIDFont+F2" w:hAnsi="CIDFont+F2"/>
                <w:sz w:val="21"/>
                <w:szCs w:val="21"/>
              </w:rPr>
              <w:t>8.473</w:t>
            </w:r>
          </w:p>
        </w:tc>
        <w:tc>
          <w:tcPr>
            <w:tcW w:w="714" w:type="pct"/>
          </w:tcPr>
          <w:p w14:paraId="0DD28989">
            <w:pPr>
              <w:jc w:val="center"/>
              <w:rPr>
                <w:rFonts w:hint="eastAsia" w:ascii="CIDFont+F2" w:hAnsi="CIDFont+F2"/>
                <w:sz w:val="21"/>
                <w:szCs w:val="21"/>
              </w:rPr>
            </w:pPr>
            <w:r>
              <w:rPr>
                <w:rFonts w:hint="eastAsia" w:ascii="CIDFont+F2" w:hAnsi="CIDFont+F2"/>
                <w:sz w:val="21"/>
                <w:szCs w:val="21"/>
              </w:rPr>
              <w:t>0</w:t>
            </w:r>
          </w:p>
        </w:tc>
        <w:tc>
          <w:tcPr>
            <w:tcW w:w="714" w:type="pct"/>
          </w:tcPr>
          <w:p w14:paraId="60F2F408">
            <w:pPr>
              <w:jc w:val="center"/>
              <w:rPr>
                <w:rFonts w:hint="eastAsia" w:ascii="CIDFont+F2" w:hAnsi="CIDFont+F2"/>
                <w:sz w:val="21"/>
                <w:szCs w:val="21"/>
              </w:rPr>
            </w:pPr>
            <w:r>
              <w:rPr>
                <w:rFonts w:hint="eastAsia" w:ascii="CIDFont+F2" w:hAnsi="CIDFont+F2"/>
                <w:sz w:val="21"/>
                <w:szCs w:val="21"/>
              </w:rPr>
              <w:t>0</w:t>
            </w:r>
          </w:p>
        </w:tc>
        <w:tc>
          <w:tcPr>
            <w:tcW w:w="714" w:type="pct"/>
          </w:tcPr>
          <w:p w14:paraId="6388B7A3">
            <w:pPr>
              <w:jc w:val="center"/>
              <w:rPr>
                <w:rFonts w:hint="eastAsia" w:ascii="CIDFont+F2" w:hAnsi="CIDFont+F2"/>
                <w:sz w:val="21"/>
                <w:szCs w:val="21"/>
              </w:rPr>
            </w:pPr>
            <w:r>
              <w:rPr>
                <w:rFonts w:hint="eastAsia" w:ascii="CIDFont+F2" w:hAnsi="CIDFont+F2"/>
                <w:sz w:val="21"/>
                <w:szCs w:val="21"/>
              </w:rPr>
              <w:t>9</w:t>
            </w:r>
            <w:r>
              <w:rPr>
                <w:rFonts w:ascii="CIDFont+F2" w:hAnsi="CIDFont+F2"/>
                <w:sz w:val="21"/>
                <w:szCs w:val="21"/>
              </w:rPr>
              <w:t>.827</w:t>
            </w:r>
          </w:p>
        </w:tc>
        <w:tc>
          <w:tcPr>
            <w:tcW w:w="714" w:type="pct"/>
          </w:tcPr>
          <w:p w14:paraId="0EF9D52A">
            <w:pPr>
              <w:jc w:val="center"/>
              <w:rPr>
                <w:rFonts w:hint="eastAsia" w:ascii="CIDFont+F2" w:hAnsi="CIDFont+F2"/>
                <w:sz w:val="21"/>
                <w:szCs w:val="21"/>
              </w:rPr>
            </w:pPr>
            <w:r>
              <w:rPr>
                <w:rFonts w:hint="eastAsia" w:ascii="CIDFont+F2" w:hAnsi="CIDFont+F2"/>
                <w:sz w:val="21"/>
                <w:szCs w:val="21"/>
              </w:rPr>
              <w:t>0</w:t>
            </w:r>
          </w:p>
        </w:tc>
      </w:tr>
      <w:tr w14:paraId="00551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68" w:type="pct"/>
            <w:vAlign w:val="center"/>
          </w:tcPr>
          <w:p w14:paraId="62C7B9FC">
            <w:pPr>
              <w:jc w:val="center"/>
              <w:rPr>
                <w:rFonts w:ascii="Times New Roman" w:hAnsi="Times New Roman" w:cs="Times New Roman"/>
                <w:sz w:val="21"/>
                <w:szCs w:val="21"/>
              </w:rPr>
            </w:pPr>
            <w:r>
              <w:rPr>
                <w:rFonts w:hint="eastAsia" w:ascii="Times New Roman" w:hAnsi="Times New Roman" w:cs="Times New Roman"/>
                <w:sz w:val="21"/>
                <w:szCs w:val="21"/>
              </w:rPr>
              <w:t xml:space="preserve">合计 </w:t>
            </w:r>
          </w:p>
        </w:tc>
        <w:tc>
          <w:tcPr>
            <w:tcW w:w="763" w:type="pct"/>
            <w:vAlign w:val="center"/>
          </w:tcPr>
          <w:p w14:paraId="2336D995">
            <w:pPr>
              <w:jc w:val="center"/>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1.65</w:t>
            </w:r>
          </w:p>
        </w:tc>
        <w:tc>
          <w:tcPr>
            <w:tcW w:w="714" w:type="pct"/>
            <w:vAlign w:val="center"/>
          </w:tcPr>
          <w:p w14:paraId="0A45E53A">
            <w:pPr>
              <w:jc w:val="center"/>
              <w:rPr>
                <w:rFonts w:hint="eastAsia" w:ascii="CIDFont+F2" w:hAnsi="CIDFont+F2"/>
                <w:sz w:val="21"/>
                <w:szCs w:val="21"/>
              </w:rPr>
            </w:pPr>
            <w:r>
              <w:rPr>
                <w:rFonts w:hint="eastAsia" w:ascii="CIDFont+F2" w:hAnsi="CIDFont+F2"/>
                <w:sz w:val="21"/>
                <w:szCs w:val="21"/>
              </w:rPr>
              <w:t>8</w:t>
            </w:r>
            <w:r>
              <w:rPr>
                <w:rFonts w:ascii="CIDFont+F2" w:hAnsi="CIDFont+F2"/>
                <w:sz w:val="21"/>
                <w:szCs w:val="21"/>
              </w:rPr>
              <w:t>6.61</w:t>
            </w:r>
          </w:p>
        </w:tc>
        <w:tc>
          <w:tcPr>
            <w:tcW w:w="714" w:type="pct"/>
          </w:tcPr>
          <w:p w14:paraId="3677891C">
            <w:pPr>
              <w:jc w:val="center"/>
              <w:rPr>
                <w:rFonts w:hint="eastAsia" w:ascii="CIDFont+F2" w:hAnsi="CIDFont+F2"/>
                <w:sz w:val="21"/>
                <w:szCs w:val="21"/>
              </w:rPr>
            </w:pPr>
            <w:r>
              <w:rPr>
                <w:rFonts w:hint="eastAsia" w:ascii="CIDFont+F2" w:hAnsi="CIDFont+F2"/>
                <w:sz w:val="21"/>
                <w:szCs w:val="21"/>
              </w:rPr>
              <w:t>0</w:t>
            </w:r>
          </w:p>
        </w:tc>
        <w:tc>
          <w:tcPr>
            <w:tcW w:w="714" w:type="pct"/>
          </w:tcPr>
          <w:p w14:paraId="22D3C300">
            <w:pPr>
              <w:jc w:val="center"/>
              <w:rPr>
                <w:rFonts w:hint="eastAsia" w:ascii="CIDFont+F2" w:hAnsi="CIDFont+F2"/>
                <w:sz w:val="21"/>
                <w:szCs w:val="21"/>
              </w:rPr>
            </w:pPr>
            <w:r>
              <w:rPr>
                <w:rFonts w:hint="eastAsia" w:ascii="CIDFont+F2" w:hAnsi="CIDFont+F2"/>
                <w:sz w:val="21"/>
                <w:szCs w:val="21"/>
              </w:rPr>
              <w:t>0</w:t>
            </w:r>
          </w:p>
        </w:tc>
        <w:tc>
          <w:tcPr>
            <w:tcW w:w="714" w:type="pct"/>
          </w:tcPr>
          <w:p w14:paraId="30ECA9F2">
            <w:pPr>
              <w:jc w:val="center"/>
              <w:rPr>
                <w:rFonts w:hint="eastAsia" w:ascii="CIDFont+F2" w:hAnsi="CIDFont+F2"/>
                <w:sz w:val="21"/>
                <w:szCs w:val="21"/>
              </w:rPr>
            </w:pPr>
            <w:r>
              <w:rPr>
                <w:rFonts w:hint="eastAsia" w:ascii="CIDFont+F2" w:hAnsi="CIDFont+F2"/>
                <w:sz w:val="21"/>
                <w:szCs w:val="21"/>
              </w:rPr>
              <w:t>1</w:t>
            </w:r>
            <w:r>
              <w:rPr>
                <w:rFonts w:ascii="CIDFont+F2" w:hAnsi="CIDFont+F2"/>
                <w:sz w:val="21"/>
                <w:szCs w:val="21"/>
              </w:rPr>
              <w:t>00.47</w:t>
            </w:r>
          </w:p>
        </w:tc>
        <w:tc>
          <w:tcPr>
            <w:tcW w:w="714" w:type="pct"/>
          </w:tcPr>
          <w:p w14:paraId="024085AE">
            <w:pPr>
              <w:jc w:val="center"/>
              <w:rPr>
                <w:rFonts w:hint="eastAsia" w:ascii="CIDFont+F2" w:hAnsi="CIDFont+F2"/>
                <w:sz w:val="21"/>
                <w:szCs w:val="21"/>
              </w:rPr>
            </w:pPr>
            <w:r>
              <w:rPr>
                <w:rFonts w:hint="eastAsia" w:ascii="CIDFont+F2" w:hAnsi="CIDFont+F2"/>
                <w:sz w:val="21"/>
                <w:szCs w:val="21"/>
              </w:rPr>
              <w:t>5</w:t>
            </w:r>
            <w:r>
              <w:rPr>
                <w:rFonts w:ascii="CIDFont+F2" w:hAnsi="CIDFont+F2"/>
                <w:sz w:val="21"/>
                <w:szCs w:val="21"/>
              </w:rPr>
              <w:t>1.65</w:t>
            </w:r>
          </w:p>
        </w:tc>
      </w:tr>
    </w:tbl>
    <w:p w14:paraId="5ABCD525">
      <w:pPr>
        <w:spacing w:line="360" w:lineRule="auto"/>
        <w:ind w:firstLine="482" w:firstLineChars="200"/>
        <w:rPr>
          <w:rFonts w:ascii="Times New Roman" w:hAnsi="Times New Roman" w:cs="Times New Roman"/>
        </w:rPr>
      </w:pPr>
      <w:r>
        <w:rPr>
          <w:rFonts w:hint="eastAsia" w:ascii="Times New Roman" w:hAnsi="Times New Roman" w:cs="Times New Roman"/>
          <w:b/>
        </w:rPr>
        <w:t xml:space="preserve"> </w:t>
      </w:r>
      <w:r>
        <w:rPr>
          <w:rFonts w:ascii="Times New Roman" w:hAnsi="Times New Roman" w:cs="Times New Roman"/>
        </w:rPr>
        <w:t>本工程总挖方51.65</w:t>
      </w:r>
      <w:r>
        <w:rPr>
          <w:rFonts w:hint="eastAsia" w:ascii="Times New Roman" w:hAnsi="Times New Roman" w:cs="Times New Roman"/>
        </w:rPr>
        <w:t>k</w:t>
      </w:r>
      <w:r>
        <w:rPr>
          <w:rFonts w:ascii="Times New Roman" w:hAnsi="Times New Roman" w:cs="Times New Roman"/>
        </w:rPr>
        <w:t>m³，本工程总填方86.61km³。</w:t>
      </w:r>
    </w:p>
    <w:p w14:paraId="1949E047">
      <w:pPr>
        <w:spacing w:line="360" w:lineRule="auto"/>
        <w:ind w:firstLine="480" w:firstLineChars="200"/>
        <w:rPr>
          <w:rFonts w:ascii="Times New Roman" w:hAnsi="Times New Roman" w:cs="Times New Roman"/>
        </w:rPr>
      </w:pPr>
      <w:r>
        <w:rPr>
          <w:rFonts w:ascii="Times New Roman" w:hAnsi="Times New Roman" w:cs="Times New Roman"/>
        </w:rPr>
        <w:t>（2）借方量</w:t>
      </w:r>
    </w:p>
    <w:p w14:paraId="422DC654">
      <w:pPr>
        <w:spacing w:line="360" w:lineRule="auto"/>
        <w:ind w:firstLine="480" w:firstLineChars="200"/>
        <w:rPr>
          <w:rFonts w:ascii="Times New Roman" w:hAnsi="Times New Roman" w:cs="Times New Roman"/>
        </w:rPr>
      </w:pPr>
      <w:r>
        <w:rPr>
          <w:rFonts w:ascii="Times New Roman" w:hAnsi="Times New Roman" w:cs="Times New Roman"/>
        </w:rPr>
        <w:t>本工程总借方100.47km³。</w:t>
      </w:r>
    </w:p>
    <w:p w14:paraId="711E69BE">
      <w:pPr>
        <w:spacing w:line="360" w:lineRule="auto"/>
        <w:ind w:firstLine="480" w:firstLineChars="200"/>
        <w:rPr>
          <w:rFonts w:ascii="Times New Roman" w:hAnsi="Times New Roman" w:cs="Times New Roman"/>
        </w:rPr>
      </w:pPr>
      <w:r>
        <w:rPr>
          <w:rFonts w:ascii="Times New Roman" w:hAnsi="Times New Roman" w:cs="Times New Roman"/>
        </w:rPr>
        <w:t>（3）弃方量</w:t>
      </w:r>
    </w:p>
    <w:p w14:paraId="36CB8713">
      <w:pPr>
        <w:spacing w:line="360" w:lineRule="auto"/>
        <w:ind w:firstLine="480" w:firstLineChars="200"/>
        <w:rPr>
          <w:rFonts w:ascii="Times New Roman" w:hAnsi="Times New Roman" w:cs="Times New Roman"/>
        </w:rPr>
      </w:pPr>
      <w:r>
        <w:rPr>
          <w:rFonts w:ascii="Times New Roman" w:hAnsi="Times New Roman" w:cs="Times New Roman"/>
        </w:rPr>
        <w:t>本工程总弃方51.65km³，弃方全部</w:t>
      </w:r>
      <w:r>
        <w:rPr>
          <w:rFonts w:hint="eastAsia" w:ascii="Times New Roman" w:hAnsi="Times New Roman" w:cs="Times New Roman"/>
        </w:rPr>
        <w:t>拉运</w:t>
      </w:r>
      <w:r>
        <w:rPr>
          <w:rFonts w:ascii="Times New Roman" w:hAnsi="Times New Roman" w:cs="Times New Roman"/>
        </w:rPr>
        <w:t>至相应弃土场。</w:t>
      </w:r>
    </w:p>
    <w:p w14:paraId="3909B0DB">
      <w:pPr>
        <w:pStyle w:val="4"/>
        <w:adjustRightInd w:val="0"/>
        <w:snapToGrid w:val="0"/>
        <w:spacing w:before="156" w:after="156" w:line="240" w:lineRule="auto"/>
        <w:rPr>
          <w:rFonts w:ascii="Times New Roman" w:hAnsi="Times New Roman" w:cs="Times New Roman"/>
          <w:sz w:val="30"/>
        </w:rPr>
      </w:pPr>
      <w:bookmarkStart w:id="344" w:name="_Toc34989554"/>
      <w:bookmarkStart w:id="345" w:name="_Toc97464615"/>
      <w:bookmarkStart w:id="346" w:name="_Toc98414192"/>
      <w:bookmarkStart w:id="347" w:name="_Toc57826718"/>
      <w:bookmarkStart w:id="348" w:name="_Toc98413510"/>
      <w:r>
        <w:rPr>
          <w:rFonts w:ascii="Times New Roman" w:hAnsi="Times New Roman" w:cs="Times New Roman"/>
          <w:sz w:val="30"/>
        </w:rPr>
        <w:t>3.1.10施工方式</w:t>
      </w:r>
      <w:bookmarkEnd w:id="344"/>
      <w:bookmarkEnd w:id="345"/>
      <w:bookmarkEnd w:id="346"/>
      <w:bookmarkEnd w:id="347"/>
      <w:bookmarkEnd w:id="348"/>
    </w:p>
    <w:p w14:paraId="43D289F0">
      <w:pPr>
        <w:spacing w:line="360" w:lineRule="auto"/>
        <w:ind w:firstLine="480" w:firstLineChars="200"/>
        <w:jc w:val="both"/>
        <w:rPr>
          <w:rFonts w:ascii="Times New Roman" w:hAnsi="Times New Roman" w:cs="Times New Roman"/>
        </w:rPr>
      </w:pPr>
      <w:r>
        <w:rPr>
          <w:rFonts w:ascii="Times New Roman" w:hAnsi="Times New Roman" w:cs="Times New Roman"/>
        </w:rPr>
        <w:t>公路工程主要包括路基工程、路面工程，各部分工程施工工艺如下：</w:t>
      </w:r>
    </w:p>
    <w:p w14:paraId="7F02A7DB">
      <w:pPr>
        <w:spacing w:line="360" w:lineRule="auto"/>
        <w:ind w:firstLine="480" w:firstLineChars="200"/>
        <w:jc w:val="both"/>
        <w:rPr>
          <w:rFonts w:ascii="Times New Roman" w:hAnsi="Times New Roman" w:cs="Times New Roman"/>
        </w:rPr>
      </w:pPr>
      <w:r>
        <w:rPr>
          <w:rFonts w:hint="eastAsia"/>
        </w:rPr>
        <w:t>⑴</w:t>
      </w:r>
      <w:r>
        <w:rPr>
          <w:rFonts w:ascii="Times New Roman" w:hAnsi="Times New Roman" w:cs="Times New Roman"/>
        </w:rPr>
        <w:t>路基工程</w:t>
      </w:r>
    </w:p>
    <w:p w14:paraId="23EE7D70">
      <w:pPr>
        <w:spacing w:line="360" w:lineRule="auto"/>
        <w:ind w:firstLine="480" w:firstLineChars="200"/>
        <w:jc w:val="both"/>
        <w:rPr>
          <w:rFonts w:ascii="Times New Roman" w:hAnsi="Times New Roman" w:cs="Times New Roman"/>
        </w:rPr>
      </w:pPr>
      <w:r>
        <w:rPr>
          <w:rFonts w:ascii="Times New Roman" w:hAnsi="Times New Roman" w:cs="Times New Roman"/>
        </w:rPr>
        <w:t>路基填筑首先需进行清淤、清表、过湿土壤翻松晾晒及填前碾压等基底处理后，然后根据不同的填料，不同的碾压机械选择填料的适宜厚度，确定达到规定压实度的碾压遍数；用推土机推平填料，用压路机静压后用平地机平整，再振动碾压成型；填筑时，留出横向坡度，以防路基积水；根据设计断面，分层填筑，分层压实，路堤填土宽度、压实宽度不小于设计宽度，最后削坡。</w:t>
      </w:r>
    </w:p>
    <w:p w14:paraId="0F4EF55A">
      <w:pPr>
        <w:spacing w:line="360" w:lineRule="auto"/>
        <w:ind w:firstLine="480" w:firstLineChars="200"/>
        <w:jc w:val="both"/>
        <w:rPr>
          <w:rFonts w:ascii="Times New Roman" w:hAnsi="Times New Roman" w:cs="Times New Roman"/>
        </w:rPr>
      </w:pPr>
      <w:r>
        <w:rPr>
          <w:rFonts w:ascii="Times New Roman" w:hAnsi="Times New Roman" w:cs="Times New Roman"/>
        </w:rPr>
        <w:t>路基压实以机械压实为主，一般采用水平分层填筑施工，即按照横断面全宽分成水平层次逐层向上填筑。如原地面不平，应由最低处分层填起，每填一层，经过压实并符合压实度规定要求后，再填上一层。填筑过程中，每层完成后应形成倾斜的横坡以便排水。</w:t>
      </w:r>
    </w:p>
    <w:p w14:paraId="632731FE">
      <w:pPr>
        <w:spacing w:line="360" w:lineRule="auto"/>
        <w:rPr>
          <w:rFonts w:ascii="Times New Roman" w:hAnsi="Times New Roman" w:cs="Times New Roman"/>
          <w:color w:val="00B0F0"/>
        </w:rPr>
      </w:pPr>
      <w:r>
        <w:rPr>
          <w:rFonts w:ascii="Times New Roman" w:hAnsi="Times New Roman" w:cs="Times New Roman"/>
          <w:color w:val="00B0F0"/>
        </w:rPr>
        <w:drawing>
          <wp:inline distT="0" distB="0" distL="0" distR="0">
            <wp:extent cx="5280660" cy="842010"/>
            <wp:effectExtent l="0" t="0" r="0" b="0"/>
            <wp:docPr id="3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80660" cy="842010"/>
                    </a:xfrm>
                    <a:prstGeom prst="rect">
                      <a:avLst/>
                    </a:prstGeom>
                    <a:noFill/>
                    <a:ln>
                      <a:noFill/>
                    </a:ln>
                  </pic:spPr>
                </pic:pic>
              </a:graphicData>
            </a:graphic>
          </wp:inline>
        </w:drawing>
      </w:r>
    </w:p>
    <w:p w14:paraId="71B5D53B">
      <w:pPr>
        <w:pStyle w:val="2296"/>
        <w:rPr>
          <w:rFonts w:ascii="Times New Roman" w:hAnsi="Times New Roman" w:cs="Times New Roman"/>
        </w:rPr>
      </w:pPr>
      <w:r>
        <w:rPr>
          <w:rFonts w:ascii="Times New Roman" w:hAnsi="Times New Roman" w:cs="Times New Roman"/>
        </w:rPr>
        <w:t>图3.1-5路基填筑施工工艺</w:t>
      </w:r>
    </w:p>
    <w:p w14:paraId="67C23137">
      <w:pPr>
        <w:spacing w:line="360" w:lineRule="auto"/>
        <w:ind w:firstLine="480" w:firstLineChars="200"/>
        <w:jc w:val="both"/>
        <w:rPr>
          <w:rFonts w:ascii="Times New Roman" w:hAnsi="Times New Roman" w:cs="Times New Roman"/>
        </w:rPr>
      </w:pPr>
      <w:r>
        <w:rPr>
          <w:rFonts w:hint="eastAsia"/>
        </w:rPr>
        <w:t>⑵</w:t>
      </w:r>
      <w:r>
        <w:rPr>
          <w:rFonts w:ascii="Times New Roman" w:hAnsi="Times New Roman" w:cs="Times New Roman"/>
        </w:rPr>
        <w:t>路面工程</w:t>
      </w:r>
    </w:p>
    <w:p w14:paraId="1FE703B1">
      <w:pPr>
        <w:spacing w:line="360" w:lineRule="auto"/>
        <w:ind w:firstLine="480" w:firstLineChars="200"/>
        <w:jc w:val="both"/>
        <w:rPr>
          <w:rFonts w:ascii="Times New Roman" w:hAnsi="Times New Roman" w:cs="Times New Roman"/>
        </w:rPr>
      </w:pPr>
      <w:r>
        <w:rPr>
          <w:rFonts w:ascii="Times New Roman" w:hAnsi="Times New Roman" w:cs="Times New Roman"/>
        </w:rPr>
        <w:t>路面工程应在路基和构造物工程完成后立即开工。本项目采用沥青混凝土路面，基层（水稳层）和面层均采用集中拌合、汽车运输，然后摊铺碾压，摊铺工作一旦开始不得中断，路面全宽一次摊铺完成。</w:t>
      </w:r>
    </w:p>
    <w:p w14:paraId="7C8568AD">
      <w:pPr>
        <w:tabs>
          <w:tab w:val="left" w:pos="3795"/>
        </w:tabs>
        <w:jc w:val="center"/>
        <w:rPr>
          <w:rFonts w:ascii="Times New Roman" w:hAnsi="Times New Roman" w:cs="Times New Roman"/>
        </w:rPr>
      </w:pPr>
      <w:r>
        <w:rPr>
          <w:rFonts w:ascii="Times New Roman" w:hAnsi="Times New Roman" w:cs="Times New Roman"/>
        </w:rPr>
        <w:drawing>
          <wp:inline distT="0" distB="0" distL="0" distR="0">
            <wp:extent cx="5480050" cy="932815"/>
            <wp:effectExtent l="0" t="0" r="6350" b="635"/>
            <wp:docPr id="1"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80050" cy="932815"/>
                    </a:xfrm>
                    <a:prstGeom prst="rect">
                      <a:avLst/>
                    </a:prstGeom>
                    <a:noFill/>
                    <a:ln>
                      <a:noFill/>
                    </a:ln>
                  </pic:spPr>
                </pic:pic>
              </a:graphicData>
            </a:graphic>
          </wp:inline>
        </w:drawing>
      </w:r>
    </w:p>
    <w:p w14:paraId="250DAAB6">
      <w:pPr>
        <w:pStyle w:val="2296"/>
        <w:adjustRightInd w:val="0"/>
        <w:snapToGrid w:val="0"/>
        <w:spacing w:line="360" w:lineRule="auto"/>
        <w:contextualSpacing w:val="0"/>
        <w:rPr>
          <w:rFonts w:ascii="Times New Roman" w:hAnsi="Times New Roman" w:cs="Times New Roman"/>
        </w:rPr>
      </w:pPr>
      <w:r>
        <w:rPr>
          <w:rFonts w:ascii="Times New Roman" w:hAnsi="Times New Roman" w:cs="Times New Roman"/>
        </w:rPr>
        <w:t>图3.1-6路面施工工艺</w:t>
      </w:r>
    </w:p>
    <w:p w14:paraId="185AD752">
      <w:pPr>
        <w:adjustRightInd w:val="0"/>
        <w:snapToGrid w:val="0"/>
        <w:spacing w:before="156" w:beforeLines="50" w:after="156" w:afterLines="50" w:line="360" w:lineRule="auto"/>
        <w:ind w:firstLine="480" w:firstLineChars="200"/>
        <w:rPr>
          <w:rFonts w:ascii="Times New Roman" w:hAnsi="Times New Roman" w:cs="Times New Roman"/>
        </w:rPr>
      </w:pPr>
    </w:p>
    <w:p w14:paraId="7003180A">
      <w:pPr>
        <w:adjustRightInd w:val="0"/>
        <w:snapToGrid w:val="0"/>
        <w:spacing w:before="156" w:beforeLines="50" w:after="156" w:afterLines="50" w:line="360" w:lineRule="auto"/>
        <w:ind w:firstLine="480" w:firstLineChars="200"/>
        <w:rPr>
          <w:rFonts w:ascii="Times New Roman" w:hAnsi="Times New Roman" w:cs="Times New Roman"/>
        </w:rPr>
      </w:pPr>
      <w:r>
        <w:rPr>
          <w:rFonts w:ascii="Times New Roman" w:hAnsi="Times New Roman" w:cs="Times New Roman"/>
        </w:rPr>
        <w:t>道路施工工艺及产污环节见图3.1-7。</w:t>
      </w:r>
    </w:p>
    <w:p w14:paraId="41BE1AC3">
      <w:pPr>
        <w:rPr>
          <w:rFonts w:ascii="Times New Roman" w:hAnsi="Times New Roman" w:cs="Times New Roman"/>
        </w:rPr>
      </w:pPr>
      <w:r>
        <w:rPr>
          <w:rFonts w:ascii="Times New Roman" w:hAnsi="Times New Roman" w:cs="Times New Roman"/>
        </w:rPr>
        <mc:AlternateContent>
          <mc:Choice Requires="wpg">
            <w:drawing>
              <wp:inline distT="0" distB="0" distL="0" distR="0">
                <wp:extent cx="5203825" cy="676275"/>
                <wp:effectExtent l="0" t="0" r="15875" b="9525"/>
                <wp:docPr id="20" name="组合 2"/>
                <wp:cNvGraphicFramePr/>
                <a:graphic xmlns:a="http://schemas.openxmlformats.org/drawingml/2006/main">
                  <a:graphicData uri="http://schemas.microsoft.com/office/word/2010/wordprocessingGroup">
                    <wpg:wgp>
                      <wpg:cNvGrpSpPr/>
                      <wpg:grpSpPr>
                        <a:xfrm>
                          <a:off x="0" y="0"/>
                          <a:ext cx="5203825" cy="676275"/>
                          <a:chOff x="0" y="0"/>
                          <a:chExt cx="8195" cy="1159"/>
                        </a:xfrm>
                      </wpg:grpSpPr>
                      <wps:wsp>
                        <wps:cNvPr id="21" name="Freeform 10"/>
                        <wps:cNvSpPr/>
                        <wps:spPr bwMode="auto">
                          <a:xfrm>
                            <a:off x="6" y="6"/>
                            <a:ext cx="1127" cy="578"/>
                          </a:xfrm>
                          <a:custGeom>
                            <a:avLst/>
                            <a:gdLst>
                              <a:gd name="T0" fmla="*/ 0 w 1127"/>
                              <a:gd name="T1" fmla="*/ 577 h 578"/>
                              <a:gd name="T2" fmla="*/ 1126 w 1127"/>
                              <a:gd name="T3" fmla="*/ 577 h 578"/>
                              <a:gd name="T4" fmla="*/ 1126 w 1127"/>
                              <a:gd name="T5" fmla="*/ 0 h 578"/>
                              <a:gd name="T6" fmla="*/ 0 w 1127"/>
                              <a:gd name="T7" fmla="*/ 0 h 578"/>
                              <a:gd name="T8" fmla="*/ 0 w 1127"/>
                              <a:gd name="T9" fmla="*/ 577 h 5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7" h="578">
                                <a:moveTo>
                                  <a:pt x="0" y="577"/>
                                </a:moveTo>
                                <a:lnTo>
                                  <a:pt x="1126" y="577"/>
                                </a:lnTo>
                                <a:lnTo>
                                  <a:pt x="1126" y="0"/>
                                </a:lnTo>
                                <a:lnTo>
                                  <a:pt x="0" y="0"/>
                                </a:lnTo>
                                <a:lnTo>
                                  <a:pt x="0" y="577"/>
                                </a:lnTo>
                                <a:close/>
                              </a:path>
                            </a:pathLst>
                          </a:custGeom>
                          <a:noFill/>
                          <a:ln w="8836">
                            <a:solidFill>
                              <a:srgbClr val="000000"/>
                            </a:solidFill>
                            <a:round/>
                          </a:ln>
                        </wps:spPr>
                        <wps:bodyPr rot="0" vert="horz" wrap="square" lIns="91440" tIns="45720" rIns="91440" bIns="45720" anchor="t" anchorCtr="0" upright="1">
                          <a:noAutofit/>
                        </wps:bodyPr>
                      </wps:wsp>
                      <wps:wsp>
                        <wps:cNvPr id="22" name="Freeform 11"/>
                        <wps:cNvSpPr/>
                        <wps:spPr bwMode="auto">
                          <a:xfrm>
                            <a:off x="1133" y="295"/>
                            <a:ext cx="470" cy="20"/>
                          </a:xfrm>
                          <a:custGeom>
                            <a:avLst/>
                            <a:gdLst>
                              <a:gd name="T0" fmla="*/ 0 w 470"/>
                              <a:gd name="T1" fmla="*/ 0 h 20"/>
                              <a:gd name="T2" fmla="*/ 469 w 470"/>
                              <a:gd name="T3" fmla="*/ 0 h 20"/>
                              <a:gd name="T4" fmla="*/ 0 60000 65536"/>
                              <a:gd name="T5" fmla="*/ 0 60000 65536"/>
                            </a:gdLst>
                            <a:ahLst/>
                            <a:cxnLst>
                              <a:cxn ang="T4">
                                <a:pos x="T0" y="T1"/>
                              </a:cxn>
                              <a:cxn ang="T5">
                                <a:pos x="T2" y="T3"/>
                              </a:cxn>
                            </a:cxnLst>
                            <a:rect l="0" t="0" r="r" b="b"/>
                            <a:pathLst>
                              <a:path w="470" h="20">
                                <a:moveTo>
                                  <a:pt x="0" y="0"/>
                                </a:moveTo>
                                <a:lnTo>
                                  <a:pt x="469" y="0"/>
                                </a:lnTo>
                              </a:path>
                            </a:pathLst>
                          </a:custGeom>
                          <a:noFill/>
                          <a:ln w="2525">
                            <a:solidFill>
                              <a:srgbClr val="000000"/>
                            </a:solidFill>
                            <a:round/>
                          </a:ln>
                        </wps:spPr>
                        <wps:bodyPr rot="0" vert="horz" wrap="square" lIns="91440" tIns="45720" rIns="91440" bIns="45720" anchor="t" anchorCtr="0" upright="1">
                          <a:noAutofit/>
                        </wps:bodyPr>
                      </wps:wsp>
                      <wps:wsp>
                        <wps:cNvPr id="27" name="Freeform 12"/>
                        <wps:cNvSpPr/>
                        <wps:spPr bwMode="auto">
                          <a:xfrm>
                            <a:off x="1699" y="6"/>
                            <a:ext cx="1129" cy="578"/>
                          </a:xfrm>
                          <a:custGeom>
                            <a:avLst/>
                            <a:gdLst>
                              <a:gd name="T0" fmla="*/ 0 w 1129"/>
                              <a:gd name="T1" fmla="*/ 577 h 578"/>
                              <a:gd name="T2" fmla="*/ 1128 w 1129"/>
                              <a:gd name="T3" fmla="*/ 577 h 578"/>
                              <a:gd name="T4" fmla="*/ 1128 w 1129"/>
                              <a:gd name="T5" fmla="*/ 0 h 578"/>
                              <a:gd name="T6" fmla="*/ 0 w 1129"/>
                              <a:gd name="T7" fmla="*/ 0 h 578"/>
                              <a:gd name="T8" fmla="*/ 0 w 1129"/>
                              <a:gd name="T9" fmla="*/ 577 h 5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9" h="578">
                                <a:moveTo>
                                  <a:pt x="0" y="577"/>
                                </a:moveTo>
                                <a:lnTo>
                                  <a:pt x="1128" y="577"/>
                                </a:lnTo>
                                <a:lnTo>
                                  <a:pt x="1128" y="0"/>
                                </a:lnTo>
                                <a:lnTo>
                                  <a:pt x="0" y="0"/>
                                </a:lnTo>
                                <a:lnTo>
                                  <a:pt x="0" y="577"/>
                                </a:lnTo>
                                <a:close/>
                              </a:path>
                            </a:pathLst>
                          </a:custGeom>
                          <a:noFill/>
                          <a:ln w="8836">
                            <a:solidFill>
                              <a:srgbClr val="000000"/>
                            </a:solidFill>
                            <a:round/>
                          </a:ln>
                        </wps:spPr>
                        <wps:bodyPr rot="0" vert="horz" wrap="square" lIns="91440" tIns="45720" rIns="91440" bIns="45720" anchor="t" anchorCtr="0" upright="1">
                          <a:noAutofit/>
                        </wps:bodyPr>
                      </wps:wsp>
                      <wps:wsp>
                        <wps:cNvPr id="28" name="Freeform 13"/>
                        <wps:cNvSpPr/>
                        <wps:spPr bwMode="auto">
                          <a:xfrm>
                            <a:off x="1589" y="238"/>
                            <a:ext cx="110" cy="114"/>
                          </a:xfrm>
                          <a:custGeom>
                            <a:avLst/>
                            <a:gdLst>
                              <a:gd name="T0" fmla="*/ 0 w 110"/>
                              <a:gd name="T1" fmla="*/ 0 h 114"/>
                              <a:gd name="T2" fmla="*/ 0 w 110"/>
                              <a:gd name="T3" fmla="*/ 113 h 114"/>
                              <a:gd name="T4" fmla="*/ 109 w 110"/>
                              <a:gd name="T5" fmla="*/ 56 h 114"/>
                              <a:gd name="T6" fmla="*/ 0 w 110"/>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4">
                                <a:moveTo>
                                  <a:pt x="0" y="0"/>
                                </a:moveTo>
                                <a:lnTo>
                                  <a:pt x="0" y="113"/>
                                </a:lnTo>
                                <a:lnTo>
                                  <a:pt x="109" y="56"/>
                                </a:lnTo>
                                <a:lnTo>
                                  <a:pt x="0" y="0"/>
                                </a:lnTo>
                                <a:close/>
                              </a:path>
                            </a:pathLst>
                          </a:custGeom>
                          <a:solidFill>
                            <a:srgbClr val="000000"/>
                          </a:solidFill>
                          <a:ln>
                            <a:noFill/>
                          </a:ln>
                        </wps:spPr>
                        <wps:bodyPr rot="0" vert="horz" wrap="square" lIns="91440" tIns="45720" rIns="91440" bIns="45720" anchor="t" anchorCtr="0" upright="1">
                          <a:noAutofit/>
                        </wps:bodyPr>
                      </wps:wsp>
                      <wps:wsp>
                        <wps:cNvPr id="29" name="Freeform 14"/>
                        <wps:cNvSpPr/>
                        <wps:spPr bwMode="auto">
                          <a:xfrm>
                            <a:off x="2827" y="295"/>
                            <a:ext cx="468" cy="20"/>
                          </a:xfrm>
                          <a:custGeom>
                            <a:avLst/>
                            <a:gdLst>
                              <a:gd name="T0" fmla="*/ 0 w 468"/>
                              <a:gd name="T1" fmla="*/ 0 h 20"/>
                              <a:gd name="T2" fmla="*/ 467 w 468"/>
                              <a:gd name="T3" fmla="*/ 0 h 20"/>
                              <a:gd name="T4" fmla="*/ 0 60000 65536"/>
                              <a:gd name="T5" fmla="*/ 0 60000 65536"/>
                            </a:gdLst>
                            <a:ahLst/>
                            <a:cxnLst>
                              <a:cxn ang="T4">
                                <a:pos x="T0" y="T1"/>
                              </a:cxn>
                              <a:cxn ang="T5">
                                <a:pos x="T2" y="T3"/>
                              </a:cxn>
                            </a:cxnLst>
                            <a:rect l="0" t="0" r="r" b="b"/>
                            <a:pathLst>
                              <a:path w="468" h="20">
                                <a:moveTo>
                                  <a:pt x="0" y="0"/>
                                </a:moveTo>
                                <a:lnTo>
                                  <a:pt x="467" y="0"/>
                                </a:lnTo>
                              </a:path>
                            </a:pathLst>
                          </a:custGeom>
                          <a:noFill/>
                          <a:ln w="2525">
                            <a:solidFill>
                              <a:srgbClr val="000000"/>
                            </a:solidFill>
                            <a:round/>
                          </a:ln>
                        </wps:spPr>
                        <wps:bodyPr rot="0" vert="horz" wrap="square" lIns="91440" tIns="45720" rIns="91440" bIns="45720" anchor="t" anchorCtr="0" upright="1">
                          <a:noAutofit/>
                        </wps:bodyPr>
                      </wps:wsp>
                      <wps:wsp>
                        <wps:cNvPr id="33" name="Freeform 15"/>
                        <wps:cNvSpPr/>
                        <wps:spPr bwMode="auto">
                          <a:xfrm>
                            <a:off x="3390" y="9"/>
                            <a:ext cx="1129" cy="575"/>
                          </a:xfrm>
                          <a:custGeom>
                            <a:avLst/>
                            <a:gdLst>
                              <a:gd name="T0" fmla="*/ 0 w 1129"/>
                              <a:gd name="T1" fmla="*/ 574 h 575"/>
                              <a:gd name="T2" fmla="*/ 1128 w 1129"/>
                              <a:gd name="T3" fmla="*/ 574 h 575"/>
                              <a:gd name="T4" fmla="*/ 1128 w 1129"/>
                              <a:gd name="T5" fmla="*/ 0 h 575"/>
                              <a:gd name="T6" fmla="*/ 0 w 1129"/>
                              <a:gd name="T7" fmla="*/ 0 h 575"/>
                              <a:gd name="T8" fmla="*/ 0 w 1129"/>
                              <a:gd name="T9" fmla="*/ 574 h 5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9" h="575">
                                <a:moveTo>
                                  <a:pt x="0" y="574"/>
                                </a:moveTo>
                                <a:lnTo>
                                  <a:pt x="1128" y="574"/>
                                </a:lnTo>
                                <a:lnTo>
                                  <a:pt x="1128" y="0"/>
                                </a:lnTo>
                                <a:lnTo>
                                  <a:pt x="0" y="0"/>
                                </a:lnTo>
                                <a:lnTo>
                                  <a:pt x="0" y="574"/>
                                </a:lnTo>
                                <a:close/>
                              </a:path>
                            </a:pathLst>
                          </a:custGeom>
                          <a:noFill/>
                          <a:ln w="8836">
                            <a:solidFill>
                              <a:srgbClr val="000000"/>
                            </a:solidFill>
                            <a:round/>
                          </a:ln>
                        </wps:spPr>
                        <wps:bodyPr rot="0" vert="horz" wrap="square" lIns="91440" tIns="45720" rIns="91440" bIns="45720" anchor="t" anchorCtr="0" upright="1">
                          <a:noAutofit/>
                        </wps:bodyPr>
                      </wps:wsp>
                      <wps:wsp>
                        <wps:cNvPr id="42" name="Freeform 16"/>
                        <wps:cNvSpPr/>
                        <wps:spPr bwMode="auto">
                          <a:xfrm>
                            <a:off x="3281" y="238"/>
                            <a:ext cx="110" cy="114"/>
                          </a:xfrm>
                          <a:custGeom>
                            <a:avLst/>
                            <a:gdLst>
                              <a:gd name="T0" fmla="*/ 0 w 110"/>
                              <a:gd name="T1" fmla="*/ 0 h 114"/>
                              <a:gd name="T2" fmla="*/ 0 w 110"/>
                              <a:gd name="T3" fmla="*/ 113 h 114"/>
                              <a:gd name="T4" fmla="*/ 109 w 110"/>
                              <a:gd name="T5" fmla="*/ 56 h 114"/>
                              <a:gd name="T6" fmla="*/ 0 w 110"/>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4">
                                <a:moveTo>
                                  <a:pt x="0" y="0"/>
                                </a:moveTo>
                                <a:lnTo>
                                  <a:pt x="0" y="113"/>
                                </a:lnTo>
                                <a:lnTo>
                                  <a:pt x="109" y="56"/>
                                </a:lnTo>
                                <a:lnTo>
                                  <a:pt x="0" y="0"/>
                                </a:lnTo>
                                <a:close/>
                              </a:path>
                            </a:pathLst>
                          </a:custGeom>
                          <a:solidFill>
                            <a:srgbClr val="000000"/>
                          </a:solidFill>
                          <a:ln>
                            <a:noFill/>
                          </a:ln>
                        </wps:spPr>
                        <wps:bodyPr rot="0" vert="horz" wrap="square" lIns="91440" tIns="45720" rIns="91440" bIns="45720" anchor="t" anchorCtr="0" upright="1">
                          <a:noAutofit/>
                        </wps:bodyPr>
                      </wps:wsp>
                      <wps:wsp>
                        <wps:cNvPr id="46" name="Freeform 17"/>
                        <wps:cNvSpPr/>
                        <wps:spPr bwMode="auto">
                          <a:xfrm>
                            <a:off x="4519" y="295"/>
                            <a:ext cx="468" cy="20"/>
                          </a:xfrm>
                          <a:custGeom>
                            <a:avLst/>
                            <a:gdLst>
                              <a:gd name="T0" fmla="*/ 0 w 468"/>
                              <a:gd name="T1" fmla="*/ 0 h 20"/>
                              <a:gd name="T2" fmla="*/ 467 w 468"/>
                              <a:gd name="T3" fmla="*/ 0 h 20"/>
                              <a:gd name="T4" fmla="*/ 0 60000 65536"/>
                              <a:gd name="T5" fmla="*/ 0 60000 65536"/>
                            </a:gdLst>
                            <a:ahLst/>
                            <a:cxnLst>
                              <a:cxn ang="T4">
                                <a:pos x="T0" y="T1"/>
                              </a:cxn>
                              <a:cxn ang="T5">
                                <a:pos x="T2" y="T3"/>
                              </a:cxn>
                            </a:cxnLst>
                            <a:rect l="0" t="0" r="r" b="b"/>
                            <a:pathLst>
                              <a:path w="468" h="20">
                                <a:moveTo>
                                  <a:pt x="0" y="0"/>
                                </a:moveTo>
                                <a:lnTo>
                                  <a:pt x="467" y="0"/>
                                </a:lnTo>
                              </a:path>
                            </a:pathLst>
                          </a:custGeom>
                          <a:noFill/>
                          <a:ln w="2525">
                            <a:solidFill>
                              <a:srgbClr val="000000"/>
                            </a:solidFill>
                            <a:round/>
                          </a:ln>
                        </wps:spPr>
                        <wps:bodyPr rot="0" vert="horz" wrap="square" lIns="91440" tIns="45720" rIns="91440" bIns="45720" anchor="t" anchorCtr="0" upright="1">
                          <a:noAutofit/>
                        </wps:bodyPr>
                      </wps:wsp>
                      <wps:wsp>
                        <wps:cNvPr id="47" name="Freeform 18"/>
                        <wps:cNvSpPr/>
                        <wps:spPr bwMode="auto">
                          <a:xfrm>
                            <a:off x="5084" y="9"/>
                            <a:ext cx="1129" cy="575"/>
                          </a:xfrm>
                          <a:custGeom>
                            <a:avLst/>
                            <a:gdLst>
                              <a:gd name="T0" fmla="*/ 0 w 1129"/>
                              <a:gd name="T1" fmla="*/ 574 h 575"/>
                              <a:gd name="T2" fmla="*/ 1128 w 1129"/>
                              <a:gd name="T3" fmla="*/ 574 h 575"/>
                              <a:gd name="T4" fmla="*/ 1128 w 1129"/>
                              <a:gd name="T5" fmla="*/ 0 h 575"/>
                              <a:gd name="T6" fmla="*/ 0 w 1129"/>
                              <a:gd name="T7" fmla="*/ 0 h 575"/>
                              <a:gd name="T8" fmla="*/ 0 w 1129"/>
                              <a:gd name="T9" fmla="*/ 574 h 5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9" h="575">
                                <a:moveTo>
                                  <a:pt x="0" y="574"/>
                                </a:moveTo>
                                <a:lnTo>
                                  <a:pt x="1128" y="574"/>
                                </a:lnTo>
                                <a:lnTo>
                                  <a:pt x="1128" y="0"/>
                                </a:lnTo>
                                <a:lnTo>
                                  <a:pt x="0" y="0"/>
                                </a:lnTo>
                                <a:lnTo>
                                  <a:pt x="0" y="574"/>
                                </a:lnTo>
                                <a:close/>
                              </a:path>
                            </a:pathLst>
                          </a:custGeom>
                          <a:noFill/>
                          <a:ln w="8836">
                            <a:solidFill>
                              <a:srgbClr val="000000"/>
                            </a:solidFill>
                            <a:round/>
                          </a:ln>
                        </wps:spPr>
                        <wps:bodyPr rot="0" vert="horz" wrap="square" lIns="91440" tIns="45720" rIns="91440" bIns="45720" anchor="t" anchorCtr="0" upright="1">
                          <a:noAutofit/>
                        </wps:bodyPr>
                      </wps:wsp>
                      <wps:wsp>
                        <wps:cNvPr id="48" name="Freeform 19"/>
                        <wps:cNvSpPr/>
                        <wps:spPr bwMode="auto">
                          <a:xfrm>
                            <a:off x="4975" y="238"/>
                            <a:ext cx="110" cy="114"/>
                          </a:xfrm>
                          <a:custGeom>
                            <a:avLst/>
                            <a:gdLst>
                              <a:gd name="T0" fmla="*/ 0 w 110"/>
                              <a:gd name="T1" fmla="*/ 0 h 114"/>
                              <a:gd name="T2" fmla="*/ 0 w 110"/>
                              <a:gd name="T3" fmla="*/ 113 h 114"/>
                              <a:gd name="T4" fmla="*/ 109 w 110"/>
                              <a:gd name="T5" fmla="*/ 56 h 114"/>
                              <a:gd name="T6" fmla="*/ 0 w 110"/>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4">
                                <a:moveTo>
                                  <a:pt x="0" y="0"/>
                                </a:moveTo>
                                <a:lnTo>
                                  <a:pt x="0" y="113"/>
                                </a:lnTo>
                                <a:lnTo>
                                  <a:pt x="109" y="56"/>
                                </a:lnTo>
                                <a:lnTo>
                                  <a:pt x="0" y="0"/>
                                </a:lnTo>
                                <a:close/>
                              </a:path>
                            </a:pathLst>
                          </a:custGeom>
                          <a:solidFill>
                            <a:srgbClr val="000000"/>
                          </a:solidFill>
                          <a:ln>
                            <a:noFill/>
                          </a:ln>
                        </wps:spPr>
                        <wps:bodyPr rot="0" vert="horz" wrap="square" lIns="91440" tIns="45720" rIns="91440" bIns="45720" anchor="t" anchorCtr="0" upright="1">
                          <a:noAutofit/>
                        </wps:bodyPr>
                      </wps:wsp>
                      <wps:wsp>
                        <wps:cNvPr id="49" name="Freeform 20"/>
                        <wps:cNvSpPr/>
                        <wps:spPr bwMode="auto">
                          <a:xfrm>
                            <a:off x="6213" y="295"/>
                            <a:ext cx="468" cy="20"/>
                          </a:xfrm>
                          <a:custGeom>
                            <a:avLst/>
                            <a:gdLst>
                              <a:gd name="T0" fmla="*/ 0 w 468"/>
                              <a:gd name="T1" fmla="*/ 0 h 20"/>
                              <a:gd name="T2" fmla="*/ 467 w 468"/>
                              <a:gd name="T3" fmla="*/ 0 h 20"/>
                              <a:gd name="T4" fmla="*/ 0 60000 65536"/>
                              <a:gd name="T5" fmla="*/ 0 60000 65536"/>
                            </a:gdLst>
                            <a:ahLst/>
                            <a:cxnLst>
                              <a:cxn ang="T4">
                                <a:pos x="T0" y="T1"/>
                              </a:cxn>
                              <a:cxn ang="T5">
                                <a:pos x="T2" y="T3"/>
                              </a:cxn>
                            </a:cxnLst>
                            <a:rect l="0" t="0" r="r" b="b"/>
                            <a:pathLst>
                              <a:path w="468" h="20">
                                <a:moveTo>
                                  <a:pt x="0" y="0"/>
                                </a:moveTo>
                                <a:lnTo>
                                  <a:pt x="467" y="0"/>
                                </a:lnTo>
                              </a:path>
                            </a:pathLst>
                          </a:custGeom>
                          <a:noFill/>
                          <a:ln w="2525">
                            <a:solidFill>
                              <a:srgbClr val="000000"/>
                            </a:solidFill>
                            <a:round/>
                          </a:ln>
                        </wps:spPr>
                        <wps:bodyPr rot="0" vert="horz" wrap="square" lIns="91440" tIns="45720" rIns="91440" bIns="45720" anchor="t" anchorCtr="0" upright="1">
                          <a:noAutofit/>
                        </wps:bodyPr>
                      </wps:wsp>
                      <wps:wsp>
                        <wps:cNvPr id="50" name="Freeform 21"/>
                        <wps:cNvSpPr/>
                        <wps:spPr bwMode="auto">
                          <a:xfrm>
                            <a:off x="6776" y="9"/>
                            <a:ext cx="1411" cy="575"/>
                          </a:xfrm>
                          <a:custGeom>
                            <a:avLst/>
                            <a:gdLst>
                              <a:gd name="T0" fmla="*/ 0 w 1411"/>
                              <a:gd name="T1" fmla="*/ 574 h 575"/>
                              <a:gd name="T2" fmla="*/ 1410 w 1411"/>
                              <a:gd name="T3" fmla="*/ 574 h 575"/>
                              <a:gd name="T4" fmla="*/ 1410 w 1411"/>
                              <a:gd name="T5" fmla="*/ 0 h 575"/>
                              <a:gd name="T6" fmla="*/ 0 w 1411"/>
                              <a:gd name="T7" fmla="*/ 0 h 575"/>
                              <a:gd name="T8" fmla="*/ 0 w 1411"/>
                              <a:gd name="T9" fmla="*/ 574 h 5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11" h="575">
                                <a:moveTo>
                                  <a:pt x="0" y="574"/>
                                </a:moveTo>
                                <a:lnTo>
                                  <a:pt x="1410" y="574"/>
                                </a:lnTo>
                                <a:lnTo>
                                  <a:pt x="1410" y="0"/>
                                </a:lnTo>
                                <a:lnTo>
                                  <a:pt x="0" y="0"/>
                                </a:lnTo>
                                <a:lnTo>
                                  <a:pt x="0" y="574"/>
                                </a:lnTo>
                                <a:close/>
                              </a:path>
                            </a:pathLst>
                          </a:custGeom>
                          <a:noFill/>
                          <a:ln w="8837">
                            <a:solidFill>
                              <a:srgbClr val="000000"/>
                            </a:solidFill>
                            <a:round/>
                          </a:ln>
                        </wps:spPr>
                        <wps:bodyPr rot="0" vert="horz" wrap="square" lIns="91440" tIns="45720" rIns="91440" bIns="45720" anchor="t" anchorCtr="0" upright="1">
                          <a:noAutofit/>
                        </wps:bodyPr>
                      </wps:wsp>
                      <wps:wsp>
                        <wps:cNvPr id="51" name="Freeform 22"/>
                        <wps:cNvSpPr/>
                        <wps:spPr bwMode="auto">
                          <a:xfrm>
                            <a:off x="6666" y="238"/>
                            <a:ext cx="110" cy="114"/>
                          </a:xfrm>
                          <a:custGeom>
                            <a:avLst/>
                            <a:gdLst>
                              <a:gd name="T0" fmla="*/ 0 w 110"/>
                              <a:gd name="T1" fmla="*/ 0 h 114"/>
                              <a:gd name="T2" fmla="*/ 0 w 110"/>
                              <a:gd name="T3" fmla="*/ 113 h 114"/>
                              <a:gd name="T4" fmla="*/ 109 w 110"/>
                              <a:gd name="T5" fmla="*/ 56 h 114"/>
                              <a:gd name="T6" fmla="*/ 0 w 110"/>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4">
                                <a:moveTo>
                                  <a:pt x="0" y="0"/>
                                </a:moveTo>
                                <a:lnTo>
                                  <a:pt x="0" y="113"/>
                                </a:lnTo>
                                <a:lnTo>
                                  <a:pt x="109" y="56"/>
                                </a:lnTo>
                                <a:lnTo>
                                  <a:pt x="0" y="0"/>
                                </a:lnTo>
                                <a:close/>
                              </a:path>
                            </a:pathLst>
                          </a:custGeom>
                          <a:solidFill>
                            <a:srgbClr val="000000"/>
                          </a:solidFill>
                          <a:ln>
                            <a:noFill/>
                          </a:ln>
                        </wps:spPr>
                        <wps:bodyPr rot="0" vert="horz" wrap="square" lIns="91440" tIns="45720" rIns="91440" bIns="45720" anchor="t" anchorCtr="0" upright="1">
                          <a:noAutofit/>
                        </wps:bodyPr>
                      </wps:wsp>
                      <wps:wsp>
                        <wps:cNvPr id="52" name="Freeform 23"/>
                        <wps:cNvSpPr/>
                        <wps:spPr bwMode="auto">
                          <a:xfrm>
                            <a:off x="2262" y="584"/>
                            <a:ext cx="20" cy="476"/>
                          </a:xfrm>
                          <a:custGeom>
                            <a:avLst/>
                            <a:gdLst>
                              <a:gd name="T0" fmla="*/ 0 w 20"/>
                              <a:gd name="T1" fmla="*/ 0 h 476"/>
                              <a:gd name="T2" fmla="*/ 0 w 20"/>
                              <a:gd name="T3" fmla="*/ 475 h 476"/>
                              <a:gd name="T4" fmla="*/ 0 60000 65536"/>
                              <a:gd name="T5" fmla="*/ 0 60000 65536"/>
                            </a:gdLst>
                            <a:ahLst/>
                            <a:cxnLst>
                              <a:cxn ang="T4">
                                <a:pos x="T0" y="T1"/>
                              </a:cxn>
                              <a:cxn ang="T5">
                                <a:pos x="T2" y="T3"/>
                              </a:cxn>
                            </a:cxnLst>
                            <a:rect l="0" t="0" r="r" b="b"/>
                            <a:pathLst>
                              <a:path w="20" h="476">
                                <a:moveTo>
                                  <a:pt x="0" y="0"/>
                                </a:moveTo>
                                <a:lnTo>
                                  <a:pt x="0" y="475"/>
                                </a:lnTo>
                              </a:path>
                            </a:pathLst>
                          </a:custGeom>
                          <a:noFill/>
                          <a:ln w="2519">
                            <a:solidFill>
                              <a:srgbClr val="000000"/>
                            </a:solidFill>
                            <a:round/>
                          </a:ln>
                        </wps:spPr>
                        <wps:bodyPr rot="0" vert="horz" wrap="square" lIns="91440" tIns="45720" rIns="91440" bIns="45720" anchor="t" anchorCtr="0" upright="1">
                          <a:noAutofit/>
                        </wps:bodyPr>
                      </wps:wsp>
                      <wps:wsp>
                        <wps:cNvPr id="53" name="Freeform 24"/>
                        <wps:cNvSpPr/>
                        <wps:spPr bwMode="auto">
                          <a:xfrm>
                            <a:off x="2208" y="1045"/>
                            <a:ext cx="110" cy="114"/>
                          </a:xfrm>
                          <a:custGeom>
                            <a:avLst/>
                            <a:gdLst>
                              <a:gd name="T0" fmla="*/ 109 w 110"/>
                              <a:gd name="T1" fmla="*/ 0 h 114"/>
                              <a:gd name="T2" fmla="*/ 0 w 110"/>
                              <a:gd name="T3" fmla="*/ 0 h 114"/>
                              <a:gd name="T4" fmla="*/ 53 w 110"/>
                              <a:gd name="T5" fmla="*/ 113 h 114"/>
                              <a:gd name="T6" fmla="*/ 109 w 110"/>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4">
                                <a:moveTo>
                                  <a:pt x="109" y="0"/>
                                </a:moveTo>
                                <a:lnTo>
                                  <a:pt x="0" y="0"/>
                                </a:lnTo>
                                <a:lnTo>
                                  <a:pt x="53" y="113"/>
                                </a:lnTo>
                                <a:lnTo>
                                  <a:pt x="109" y="0"/>
                                </a:lnTo>
                                <a:close/>
                              </a:path>
                            </a:pathLst>
                          </a:custGeom>
                          <a:solidFill>
                            <a:srgbClr val="000000"/>
                          </a:solidFill>
                          <a:ln>
                            <a:noFill/>
                          </a:ln>
                        </wps:spPr>
                        <wps:bodyPr rot="0" vert="horz" wrap="square" lIns="91440" tIns="45720" rIns="91440" bIns="45720" anchor="t" anchorCtr="0" upright="1">
                          <a:noAutofit/>
                        </wps:bodyPr>
                      </wps:wsp>
                      <wps:wsp>
                        <wps:cNvPr id="54" name="Freeform 25"/>
                        <wps:cNvSpPr/>
                        <wps:spPr bwMode="auto">
                          <a:xfrm>
                            <a:off x="3955" y="584"/>
                            <a:ext cx="20" cy="476"/>
                          </a:xfrm>
                          <a:custGeom>
                            <a:avLst/>
                            <a:gdLst>
                              <a:gd name="T0" fmla="*/ 0 w 20"/>
                              <a:gd name="T1" fmla="*/ 0 h 476"/>
                              <a:gd name="T2" fmla="*/ 0 w 20"/>
                              <a:gd name="T3" fmla="*/ 475 h 476"/>
                              <a:gd name="T4" fmla="*/ 0 60000 65536"/>
                              <a:gd name="T5" fmla="*/ 0 60000 65536"/>
                            </a:gdLst>
                            <a:ahLst/>
                            <a:cxnLst>
                              <a:cxn ang="T4">
                                <a:pos x="T0" y="T1"/>
                              </a:cxn>
                              <a:cxn ang="T5">
                                <a:pos x="T2" y="T3"/>
                              </a:cxn>
                            </a:cxnLst>
                            <a:rect l="0" t="0" r="r" b="b"/>
                            <a:pathLst>
                              <a:path w="20" h="476">
                                <a:moveTo>
                                  <a:pt x="0" y="0"/>
                                </a:moveTo>
                                <a:lnTo>
                                  <a:pt x="0" y="475"/>
                                </a:lnTo>
                              </a:path>
                            </a:pathLst>
                          </a:custGeom>
                          <a:noFill/>
                          <a:ln w="2519">
                            <a:solidFill>
                              <a:srgbClr val="000000"/>
                            </a:solidFill>
                            <a:round/>
                          </a:ln>
                        </wps:spPr>
                        <wps:bodyPr rot="0" vert="horz" wrap="square" lIns="91440" tIns="45720" rIns="91440" bIns="45720" anchor="t" anchorCtr="0" upright="1">
                          <a:noAutofit/>
                        </wps:bodyPr>
                      </wps:wsp>
                      <wps:wsp>
                        <wps:cNvPr id="55" name="Freeform 26"/>
                        <wps:cNvSpPr/>
                        <wps:spPr bwMode="auto">
                          <a:xfrm>
                            <a:off x="3900" y="1045"/>
                            <a:ext cx="110" cy="114"/>
                          </a:xfrm>
                          <a:custGeom>
                            <a:avLst/>
                            <a:gdLst>
                              <a:gd name="T0" fmla="*/ 109 w 110"/>
                              <a:gd name="T1" fmla="*/ 0 h 114"/>
                              <a:gd name="T2" fmla="*/ 0 w 110"/>
                              <a:gd name="T3" fmla="*/ 0 h 114"/>
                              <a:gd name="T4" fmla="*/ 55 w 110"/>
                              <a:gd name="T5" fmla="*/ 113 h 114"/>
                              <a:gd name="T6" fmla="*/ 109 w 110"/>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4">
                                <a:moveTo>
                                  <a:pt x="109" y="0"/>
                                </a:moveTo>
                                <a:lnTo>
                                  <a:pt x="0" y="0"/>
                                </a:lnTo>
                                <a:lnTo>
                                  <a:pt x="55" y="113"/>
                                </a:lnTo>
                                <a:lnTo>
                                  <a:pt x="109" y="0"/>
                                </a:lnTo>
                                <a:close/>
                              </a:path>
                            </a:pathLst>
                          </a:custGeom>
                          <a:solidFill>
                            <a:srgbClr val="000000"/>
                          </a:solidFill>
                          <a:ln>
                            <a:noFill/>
                          </a:ln>
                        </wps:spPr>
                        <wps:bodyPr rot="0" vert="horz" wrap="square" lIns="91440" tIns="45720" rIns="91440" bIns="45720" anchor="t" anchorCtr="0" upright="1">
                          <a:noAutofit/>
                        </wps:bodyPr>
                      </wps:wsp>
                      <wps:wsp>
                        <wps:cNvPr id="56" name="Freeform 27"/>
                        <wps:cNvSpPr/>
                        <wps:spPr bwMode="auto">
                          <a:xfrm>
                            <a:off x="5647" y="584"/>
                            <a:ext cx="20" cy="476"/>
                          </a:xfrm>
                          <a:custGeom>
                            <a:avLst/>
                            <a:gdLst>
                              <a:gd name="T0" fmla="*/ 0 w 20"/>
                              <a:gd name="T1" fmla="*/ 0 h 476"/>
                              <a:gd name="T2" fmla="*/ 0 w 20"/>
                              <a:gd name="T3" fmla="*/ 475 h 476"/>
                              <a:gd name="T4" fmla="*/ 0 60000 65536"/>
                              <a:gd name="T5" fmla="*/ 0 60000 65536"/>
                            </a:gdLst>
                            <a:ahLst/>
                            <a:cxnLst>
                              <a:cxn ang="T4">
                                <a:pos x="T0" y="T1"/>
                              </a:cxn>
                              <a:cxn ang="T5">
                                <a:pos x="T2" y="T3"/>
                              </a:cxn>
                            </a:cxnLst>
                            <a:rect l="0" t="0" r="r" b="b"/>
                            <a:pathLst>
                              <a:path w="20" h="476">
                                <a:moveTo>
                                  <a:pt x="0" y="0"/>
                                </a:moveTo>
                                <a:lnTo>
                                  <a:pt x="0" y="475"/>
                                </a:lnTo>
                              </a:path>
                            </a:pathLst>
                          </a:custGeom>
                          <a:noFill/>
                          <a:ln w="2519">
                            <a:solidFill>
                              <a:srgbClr val="000000"/>
                            </a:solidFill>
                            <a:round/>
                          </a:ln>
                        </wps:spPr>
                        <wps:bodyPr rot="0" vert="horz" wrap="square" lIns="91440" tIns="45720" rIns="91440" bIns="45720" anchor="t" anchorCtr="0" upright="1">
                          <a:noAutofit/>
                        </wps:bodyPr>
                      </wps:wsp>
                      <wps:wsp>
                        <wps:cNvPr id="62" name="Freeform 28"/>
                        <wps:cNvSpPr/>
                        <wps:spPr bwMode="auto">
                          <a:xfrm>
                            <a:off x="5594" y="1045"/>
                            <a:ext cx="109" cy="114"/>
                          </a:xfrm>
                          <a:custGeom>
                            <a:avLst/>
                            <a:gdLst>
                              <a:gd name="T0" fmla="*/ 108 w 109"/>
                              <a:gd name="T1" fmla="*/ 0 h 114"/>
                              <a:gd name="T2" fmla="*/ 0 w 109"/>
                              <a:gd name="T3" fmla="*/ 0 h 114"/>
                              <a:gd name="T4" fmla="*/ 53 w 109"/>
                              <a:gd name="T5" fmla="*/ 113 h 114"/>
                              <a:gd name="T6" fmla="*/ 108 w 109"/>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14">
                                <a:moveTo>
                                  <a:pt x="108" y="0"/>
                                </a:moveTo>
                                <a:lnTo>
                                  <a:pt x="0" y="0"/>
                                </a:lnTo>
                                <a:lnTo>
                                  <a:pt x="53" y="113"/>
                                </a:lnTo>
                                <a:lnTo>
                                  <a:pt x="108" y="0"/>
                                </a:lnTo>
                                <a:close/>
                              </a:path>
                            </a:pathLst>
                          </a:custGeom>
                          <a:solidFill>
                            <a:srgbClr val="000000"/>
                          </a:solidFill>
                          <a:ln>
                            <a:noFill/>
                          </a:ln>
                        </wps:spPr>
                        <wps:bodyPr rot="0" vert="horz" wrap="square" lIns="91440" tIns="45720" rIns="91440" bIns="45720" anchor="t" anchorCtr="0" upright="1">
                          <a:noAutofit/>
                        </wps:bodyPr>
                      </wps:wsp>
                      <wps:wsp>
                        <wps:cNvPr id="63" name="Freeform 29"/>
                        <wps:cNvSpPr/>
                        <wps:spPr bwMode="auto">
                          <a:xfrm>
                            <a:off x="7341" y="584"/>
                            <a:ext cx="20" cy="476"/>
                          </a:xfrm>
                          <a:custGeom>
                            <a:avLst/>
                            <a:gdLst>
                              <a:gd name="T0" fmla="*/ 0 w 20"/>
                              <a:gd name="T1" fmla="*/ 0 h 476"/>
                              <a:gd name="T2" fmla="*/ 0 w 20"/>
                              <a:gd name="T3" fmla="*/ 475 h 476"/>
                              <a:gd name="T4" fmla="*/ 0 60000 65536"/>
                              <a:gd name="T5" fmla="*/ 0 60000 65536"/>
                            </a:gdLst>
                            <a:ahLst/>
                            <a:cxnLst>
                              <a:cxn ang="T4">
                                <a:pos x="T0" y="T1"/>
                              </a:cxn>
                              <a:cxn ang="T5">
                                <a:pos x="T2" y="T3"/>
                              </a:cxn>
                            </a:cxnLst>
                            <a:rect l="0" t="0" r="r" b="b"/>
                            <a:pathLst>
                              <a:path w="20" h="476">
                                <a:moveTo>
                                  <a:pt x="0" y="0"/>
                                </a:moveTo>
                                <a:lnTo>
                                  <a:pt x="0" y="475"/>
                                </a:lnTo>
                              </a:path>
                            </a:pathLst>
                          </a:custGeom>
                          <a:noFill/>
                          <a:ln w="2519">
                            <a:solidFill>
                              <a:srgbClr val="000000"/>
                            </a:solidFill>
                            <a:round/>
                          </a:ln>
                        </wps:spPr>
                        <wps:bodyPr rot="0" vert="horz" wrap="square" lIns="91440" tIns="45720" rIns="91440" bIns="45720" anchor="t" anchorCtr="0" upright="1">
                          <a:noAutofit/>
                        </wps:bodyPr>
                      </wps:wsp>
                      <wps:wsp>
                        <wps:cNvPr id="64" name="Freeform 30"/>
                        <wps:cNvSpPr/>
                        <wps:spPr bwMode="auto">
                          <a:xfrm>
                            <a:off x="7285" y="1045"/>
                            <a:ext cx="110" cy="114"/>
                          </a:xfrm>
                          <a:custGeom>
                            <a:avLst/>
                            <a:gdLst>
                              <a:gd name="T0" fmla="*/ 109 w 110"/>
                              <a:gd name="T1" fmla="*/ 0 h 114"/>
                              <a:gd name="T2" fmla="*/ 0 w 110"/>
                              <a:gd name="T3" fmla="*/ 0 h 114"/>
                              <a:gd name="T4" fmla="*/ 55 w 110"/>
                              <a:gd name="T5" fmla="*/ 113 h 114"/>
                              <a:gd name="T6" fmla="*/ 109 w 110"/>
                              <a:gd name="T7" fmla="*/ 0 h 11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14">
                                <a:moveTo>
                                  <a:pt x="109" y="0"/>
                                </a:moveTo>
                                <a:lnTo>
                                  <a:pt x="0" y="0"/>
                                </a:lnTo>
                                <a:lnTo>
                                  <a:pt x="55" y="113"/>
                                </a:lnTo>
                                <a:lnTo>
                                  <a:pt x="109" y="0"/>
                                </a:lnTo>
                                <a:close/>
                              </a:path>
                            </a:pathLst>
                          </a:custGeom>
                          <a:solidFill>
                            <a:srgbClr val="000000"/>
                          </a:solidFill>
                          <a:ln>
                            <a:noFill/>
                          </a:ln>
                        </wps:spPr>
                        <wps:bodyPr rot="0" vert="horz" wrap="square" lIns="91440" tIns="45720" rIns="91440" bIns="45720" anchor="t" anchorCtr="0" upright="1">
                          <a:noAutofit/>
                        </wps:bodyPr>
                      </wps:wsp>
                      <wps:wsp>
                        <wps:cNvPr id="65" name="Text Box 31"/>
                        <wps:cNvSpPr txBox="1">
                          <a:spLocks noChangeArrowheads="1"/>
                        </wps:cNvSpPr>
                        <wps:spPr bwMode="auto">
                          <a:xfrm>
                            <a:off x="7" y="7"/>
                            <a:ext cx="1127" cy="578"/>
                          </a:xfrm>
                          <a:prstGeom prst="rect">
                            <a:avLst/>
                          </a:prstGeom>
                          <a:noFill/>
                          <a:ln>
                            <a:noFill/>
                          </a:ln>
                        </wps:spPr>
                        <wps:txbx>
                          <w:txbxContent>
                            <w:p w14:paraId="16104D44">
                              <w:pPr>
                                <w:pStyle w:val="6"/>
                                <w:kinsoku w:val="0"/>
                                <w:overflowPunct w:val="0"/>
                                <w:spacing w:before="81"/>
                                <w:ind w:left="324"/>
                              </w:pPr>
                              <w:r>
                                <w:rPr>
                                  <w:rFonts w:hint="eastAsia"/>
                                  <w:spacing w:val="-4"/>
                                  <w:w w:val="101"/>
                                </w:rPr>
                                <w:t>划线</w:t>
                              </w:r>
                            </w:p>
                          </w:txbxContent>
                        </wps:txbx>
                        <wps:bodyPr rot="0" vert="horz" wrap="square" lIns="0" tIns="0" rIns="0" bIns="0" anchor="t" anchorCtr="0" upright="1">
                          <a:noAutofit/>
                        </wps:bodyPr>
                      </wps:wsp>
                      <wps:wsp>
                        <wps:cNvPr id="66" name="Text Box 32"/>
                        <wps:cNvSpPr txBox="1">
                          <a:spLocks noChangeArrowheads="1"/>
                        </wps:cNvSpPr>
                        <wps:spPr bwMode="auto">
                          <a:xfrm>
                            <a:off x="1699" y="7"/>
                            <a:ext cx="1129" cy="578"/>
                          </a:xfrm>
                          <a:prstGeom prst="rect">
                            <a:avLst/>
                          </a:prstGeom>
                          <a:noFill/>
                          <a:ln>
                            <a:noFill/>
                          </a:ln>
                        </wps:spPr>
                        <wps:txbx>
                          <w:txbxContent>
                            <w:p w14:paraId="276079B2">
                              <w:pPr>
                                <w:pStyle w:val="6"/>
                                <w:kinsoku w:val="0"/>
                                <w:overflowPunct w:val="0"/>
                                <w:spacing w:before="81"/>
                                <w:ind w:left="324"/>
                              </w:pPr>
                              <w:r>
                                <w:rPr>
                                  <w:rFonts w:hint="eastAsia"/>
                                  <w:spacing w:val="-4"/>
                                  <w:w w:val="101"/>
                                </w:rPr>
                                <w:t>清表</w:t>
                              </w:r>
                            </w:p>
                          </w:txbxContent>
                        </wps:txbx>
                        <wps:bodyPr rot="0" vert="horz" wrap="square" lIns="0" tIns="0" rIns="0" bIns="0" anchor="t" anchorCtr="0" upright="1">
                          <a:noAutofit/>
                        </wps:bodyPr>
                      </wps:wsp>
                      <wps:wsp>
                        <wps:cNvPr id="67" name="Text Box 33"/>
                        <wps:cNvSpPr txBox="1">
                          <a:spLocks noChangeArrowheads="1"/>
                        </wps:cNvSpPr>
                        <wps:spPr bwMode="auto">
                          <a:xfrm>
                            <a:off x="3391" y="9"/>
                            <a:ext cx="1129" cy="575"/>
                          </a:xfrm>
                          <a:prstGeom prst="rect">
                            <a:avLst/>
                          </a:prstGeom>
                          <a:noFill/>
                          <a:ln>
                            <a:noFill/>
                          </a:ln>
                        </wps:spPr>
                        <wps:txbx>
                          <w:txbxContent>
                            <w:p w14:paraId="3D35466C">
                              <w:pPr>
                                <w:pStyle w:val="6"/>
                                <w:kinsoku w:val="0"/>
                                <w:overflowPunct w:val="0"/>
                                <w:spacing w:before="79"/>
                                <w:ind w:left="87"/>
                              </w:pPr>
                              <w:r>
                                <w:rPr>
                                  <w:rFonts w:hint="eastAsia"/>
                                  <w:spacing w:val="-4"/>
                                  <w:w w:val="101"/>
                                </w:rPr>
                                <w:t>路基填筑</w:t>
                              </w:r>
                            </w:p>
                          </w:txbxContent>
                        </wps:txbx>
                        <wps:bodyPr rot="0" vert="horz" wrap="square" lIns="0" tIns="0" rIns="0" bIns="0" anchor="t" anchorCtr="0" upright="1">
                          <a:noAutofit/>
                        </wps:bodyPr>
                      </wps:wsp>
                      <wps:wsp>
                        <wps:cNvPr id="68" name="Text Box 34"/>
                        <wps:cNvSpPr txBox="1">
                          <a:spLocks noChangeArrowheads="1"/>
                        </wps:cNvSpPr>
                        <wps:spPr bwMode="auto">
                          <a:xfrm>
                            <a:off x="5085" y="9"/>
                            <a:ext cx="1129" cy="575"/>
                          </a:xfrm>
                          <a:prstGeom prst="rect">
                            <a:avLst/>
                          </a:prstGeom>
                          <a:noFill/>
                          <a:ln>
                            <a:noFill/>
                          </a:ln>
                        </wps:spPr>
                        <wps:txbx>
                          <w:txbxContent>
                            <w:p w14:paraId="5F1E0079">
                              <w:pPr>
                                <w:pStyle w:val="6"/>
                                <w:kinsoku w:val="0"/>
                                <w:overflowPunct w:val="0"/>
                                <w:spacing w:before="79"/>
                                <w:ind w:left="85"/>
                              </w:pPr>
                              <w:r>
                                <w:rPr>
                                  <w:rFonts w:hint="eastAsia"/>
                                  <w:spacing w:val="-4"/>
                                  <w:w w:val="101"/>
                                </w:rPr>
                                <w:t>修筑边坡</w:t>
                              </w:r>
                            </w:p>
                          </w:txbxContent>
                        </wps:txbx>
                        <wps:bodyPr rot="0" vert="horz" wrap="square" lIns="0" tIns="0" rIns="0" bIns="0" anchor="t" anchorCtr="0" upright="1">
                          <a:noAutofit/>
                        </wps:bodyPr>
                      </wps:wsp>
                      <wps:wsp>
                        <wps:cNvPr id="69" name="Text Box 35"/>
                        <wps:cNvSpPr txBox="1">
                          <a:spLocks noChangeArrowheads="1"/>
                        </wps:cNvSpPr>
                        <wps:spPr bwMode="auto">
                          <a:xfrm>
                            <a:off x="6777" y="9"/>
                            <a:ext cx="1411" cy="575"/>
                          </a:xfrm>
                          <a:prstGeom prst="rect">
                            <a:avLst/>
                          </a:prstGeom>
                          <a:noFill/>
                          <a:ln>
                            <a:noFill/>
                          </a:ln>
                        </wps:spPr>
                        <wps:txbx>
                          <w:txbxContent>
                            <w:p w14:paraId="65253CCB">
                              <w:pPr>
                                <w:pStyle w:val="6"/>
                                <w:kinsoku w:val="0"/>
                                <w:overflowPunct w:val="0"/>
                                <w:spacing w:before="79"/>
                                <w:ind w:left="226"/>
                              </w:pPr>
                              <w:r>
                                <w:rPr>
                                  <w:rFonts w:hint="eastAsia"/>
                                  <w:spacing w:val="-4"/>
                                  <w:w w:val="101"/>
                                </w:rPr>
                                <w:t>路面铺设</w:t>
                              </w:r>
                            </w:p>
                          </w:txbxContent>
                        </wps:txbx>
                        <wps:bodyPr rot="0" vert="horz" wrap="square" lIns="0" tIns="0" rIns="0" bIns="0" anchor="t" anchorCtr="0" upright="1">
                          <a:noAutofit/>
                        </wps:bodyPr>
                      </wps:wsp>
                    </wpg:wgp>
                  </a:graphicData>
                </a:graphic>
              </wp:inline>
            </w:drawing>
          </mc:Choice>
          <mc:Fallback>
            <w:pict>
              <v:group id="组合 2" o:spid="_x0000_s1026" o:spt="203" style="height:53.25pt;width:409.75pt;" coordsize="8195,1159" o:gfxdata="UEsDBAoAAAAAAIdO4kAAAAAAAAAAAAAAAAAEAAAAZHJzL1BLAwQUAAAACACHTuJAygX1TtYAAAAF&#10;AQAADwAAAGRycy9kb3ducmV2LnhtbE2PQUvDQBCF74L/YRnBm91dJaXGbIoU9VQEW0G8TbPTJDQ7&#10;G7LbpP33rl7q5cHwHu99UyxPrhMjDaH1bEDPFAjiytuWawOf29e7BYgQkS12nsnAmQIsy+urAnPr&#10;J/6gcRNrkUo45GigibHPpQxVQw7DzPfEydv7wWFM51BLO+CUyl0n75WaS4ctp4UGe1o1VB02R2fg&#10;bcLp+UG/jOvDfnX+3mbvX2tNxtzeaPUEItIpXsLwi5/QoUxMO39kG0RnID0S/zR5C/2YgdilkJpn&#10;IMtC/qcvfwBQSwMEFAAAAAgAh07iQIrM6YdKCwAAZn4AAA4AAABkcnMvZTJvRG9jLnhtbO1d3W7j&#10;uhG+L9B3EHxZoGtLluQfbPbgdLe7KHB6usBJH0CR5R/UllRJibO97kUv+z59noO+Rr8hRZkiJUWR&#10;nTTZcC/WTjQZkaPhN8OPQ/H9D/eHvXUXZfkuia9G9rvJyIriMFnt4s3V6K/Xn38/H1l5EcSrYJ/E&#10;0dXoW5SPfvjw29+8P6bLyEm2yX4VZRaUxPnymF6NtkWRLsfjPNxGhyB/l6RRjIvrJDsEBX7MNuNV&#10;Fhyh/bAfO5OJPz4m2SrNkjDKc/z2E784KjVmfRQm6/UujD4l4e0higuuNYv2QYEu5dtdmo8+sNau&#10;11FY/GW9zqPC2l+N0NOC/Y+b4PsN/T/+8D5YbrIg3e7CsglBnyYofToEuxg3rVR9CorAus12mqrD&#10;LsySPFkX78LkMOYdYRZBL+yJYpsvWXKbsr5slsdNWhkdD0qx+mC14c93XzNrt7oaOTBJHBzwxP/7&#10;n3/++u9/WQ4Z55hulpD5kqW/pF+z8hcb/hP1936dHegTPbHumVm/VWaN7gsrxC89ZzKdO97ICnHN&#10;n/nOzON2D7d4ONqfhds/ln84txflX9m2t6C/GYs7jqlhVTuOKXwxPxkoP89Av2yDNGJ2z6nzwkC2&#10;MNDnLIrIwS2bORDdHWKVgfJlDltZN8c/JyuYM7gtEuYbiq38kUX24KYQtrJtZ8YN5c3mtR4Hy/A2&#10;L75ECbN3cPdTXnDnXeEbc71V+fyu8STXhz38+Hdja2IdLaa0FBYy6Ewl481m1tYqbwgfrhQ5khCU&#10;+C26ppJYqy5XEurQhQdetWvS3CoYThJp7h6MKMk0dg44J4k0q1lIMq09gxfImvwJ/lm+503LZ3uy&#10;py1bHTIdkrLpuyVl63dLyo9Ak8TQ2ghXCrbCu8L7uHQvfLMCihHX6C/5W5rkNHbJ2+DH13bprZCj&#10;q5K4XRNHx0h82iru1MTRZhJniIEm6tqnNXE+qK5nrdrdmjh8gLQLbGHa+V3KXmeIIGrsyFjsuKFb&#10;wApBQcYSX60jYiobw1sAH4YwXTgkd9F1wkSKE9zBn8pWnq7vY1mOhglr4ElUCIjPlCmsBBkeoQPi&#10;svjkYvxJ9ZHRbxjukzxCj6Gculx9YX0nk0ngFCefd/s9M88+JovM5xgL1P882e9WdJH9kG1uPu4z&#10;6y6g4Mz+lQapiSEIxit+5z1cC8jPAZaCU768SVbfALZZwkM7Eht82SbZP0bWEWH9apT//TbIopG1&#10;/1OMsLCwXRdmKNgPrjejqJfJV27kK0EcQtXVqBjB9enrx4LnDrdptttscSfu23HyI0B+vSNEZu3j&#10;rSp/QGTibX36EIXBxWP4KUSxcTkwRNn2FOiCEeIgELPnKeKUO4PhKJ7DgPzZiOgmO8KjohSpZPeQ&#10;8LIGrFuL36wtQrn+AgGqQU0dIZvUdCKjfL96eFIAHMOgJ4TWUYiPy3YE9WqY1QSgNAArpB6CWex5&#10;ArJg4XbEEo+6Da/wAJi3CDmOPoMQw/GQMBrEeHrEQKKkIkaZ+A9Kam1/wX1Az2vxewKMy+a1LHLL&#10;A1TOsFozNgyhKvVD7JzzvFbTJeNGqy4ZOjp01YGjMSFtyGu1Jg3LazU1Jq+t0FJKVE1eC06kM6+F&#10;31wmr+WJt55m1hNWGk8NEeWU35q89m3ktfACNUqxCeTQvNab8yjlTBnJEixFXmvTZJ7ClG27l0ps&#10;SecDiW15NzmQyTGKkziaFjk+IVUHW9KgpxafJpQhN7RHjk6e36xID09ag9To1NAcPMkq9GochNx/&#10;OUR1Cl6KfumfvfNZfV/+Y/Fg9l5jS+pBCE8PzthBf9TJlSb64+y5ARsTgH16msMnB3ySAzcth5VA&#10;evFZMhkTPjA9lj+i6eKy+OxC/MdwFDWKIe/HRBD9ECwrdoO1zhASfB2nhTPH01SBm+HqQOB25kSP&#10;E+2gERI+kOXChARUPoDbDxESMyIkdDUycBPJrauRUbsT/WTk1gT7Q9rLIyToeZ5PSHBvMYTEq6Ew&#10;iXBUEYNxjwMRYzpd8MhTzoFPiZ4DbOKEhFhcOJvCxHxFm2rXCQmXLWmVZOqJ6JSTvQ4SQcYNb9ai&#10;S4aODl114CBCQmuVnvHp3VNTvgY19ZSPLbRpVpKzvdaeXSrTk9NMWza9BqA1Sdn63ZLyI9Ak+4My&#10;+ksJR99EE6uLsjg6RqmjyLf0lbPvYaENfsMICU4Wn4hpOU2EP5U55+l6PZ2seIaTqBAQn2V6enlC&#10;QrRN3OgxSWyVilKebBbanm+hzcXgUqMUm7EMjVLOHHGC8lpDSFAJEia8J5rAEBLBsrsiwxASDfUV&#10;IulvA31DSLzBCgkXOa0K3KwMZyBwu56NFMQQEqepjIzcZ+S+hpB4oKbKVEiw+q8nr5BwMcNVEYPx&#10;ggMRw5vMOalvCAmarbYBhyEkePW2UmImGwxLKackWYPamqQhJK7LxStBpoCUInaEDUIwMher/DWE&#10;hKn8/Zo9e+WvC39WoxTz7YFRyl2ADjaERHN0MoSEISSUHR8gE0yFBLHQpkKC9rc27eZsrpBwkTAo&#10;wM2rAQYCt+9QWmgIiWbk1rLk/otxhpAwhMSL2OTlIdaoiHHOJi9/NuNlgyoh4dJ21UtXSJDSjqKq&#10;1rV/eZnedm1WEdugS54St+qSZ8MduupMZj9CoqFJQyokGtQgTlSFs609MxUSNKk3W5Fpiy7bikyO&#10;dJEKCQw5llY8WCEhBMXym6hrEJ9yZUYfGf2G51ZIzFiZzJACYLMVueEtJc15rQe/U6PUORsLffwz&#10;hEQLXW4ICUNIGEKiLPKrAbshJKLW10u1ALde2uacs9fOcXxeieph3ZNl/qIEGzwHm164mH/gAqbi&#10;Zxdg6xspEIaqtJm2WpQ3k1fH5KkFzSt0JfKswp15zWrkWYXGM8j3q88rlAW+V0xI0PMECUoWJhbw&#10;VHfVlPKdrjYlhjBy6RL8Kqzy+LfOOFSbQy2pIULPvV4m1euf6mF4qKneWZu8nAlfnbUnbrknQUDG&#10;pbfn2m0bYlXYaNjJqsJGw7ZaGTcIfBq0yKjhTR/endu6z1ferNHaLZWLaGhQfbeGgk4yjMmERCfe&#10;XYqU6A+Nph62Vg8Ld2BTJzHd7sZeISVwWXxyFPfg0+BY+u7jVZU9Zu4+BLZNvvfofA8IpKI3Q92B&#10;C1DThccrB0y+x81a28ugAWV/UHtxC1Am33ubbxmk8a0ixlmbnxYTzi2/uXzPM/mePDtXks3+0Gjy&#10;vafL93gwN/me9PbYV/2OWLxZR0Pvc3ZAeT7tkMCUwOR7Jt8r3/0P5O6eYxp+7xW9VZr4ezXfO2sH&#10;lLfAnJNIBJ3fI6bigq/fsyfs3a7Q2lFz1MLMafyermUQv6erkRcEevJ7Ld0y/F65lYd9lOcVvP4X&#10;8NGo6Cgvh5c/P79Xv6UgCQ2/B1hji04v5UwAv2F15pydQbOpi8URk+99/wXmht97m/yer68ITNk6&#10;zsAVgZkzL0kEPd+jtcGL5nstLzj+/6znGn6vVn1j+D14OyZ+2YMHSPFKmrYXLl90PdfwexTnvp8z&#10;oHw80JKIoqqZPyT31lTdHmQV9/i9yFTz9Kck/FtuxcnHLU54i37MsuS4jYIVzsviWykk4OcnWfU6&#10;4JDTgoxblF+w337AYZrxAw4t+oJhgrPXWCotjpECrSREattMe+47Le5v7kEDUGceeWoYHISfGFZ5&#10;Cr5wFhhfXtspYVRIr3qIWpr/PB5SnRakO0nJA+mnBQkPME4izuB9ktNOfYxe1UnUMuDncRK8wZlP&#10;ONX9ifSy5Zb9icZJCOWe/N1Y9I521UnUys/ncRK8VYsnMsZJRFh/MQQURqnqJGqB2fM4CXY685xE&#10;dRK2S7J5p7NBEnbUNo4fZzs0yqPS6Xxz+Wf2vqPT8fAf/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5DQAAW0NvbnRlbnRfVHlwZXNdLnhtbFBL&#10;AQIUAAoAAAAAAIdO4kAAAAAAAAAAAAAAAAAGAAAAAAAAAAAAEAAAAJsMAABfcmVscy9QSwECFAAU&#10;AAAACACHTuJAihRmPNEAAACUAQAACwAAAAAAAAABACAAAAC/DAAAX3JlbHMvLnJlbHNQSwECFAAK&#10;AAAAAACHTuJAAAAAAAAAAAAAAAAABAAAAAAAAAAAABAAAAAAAAAAZHJzL1BLAQIUABQAAAAIAIdO&#10;4kDKBfVO1gAAAAUBAAAPAAAAAAAAAAEAIAAAACIAAABkcnMvZG93bnJldi54bWxQSwECFAAUAAAA&#10;CACHTuJAiszph0oLAABmfgAADgAAAAAAAAABACAAAAAlAQAAZHJzL2Uyb0RvYy54bWxQSwUGAAAA&#10;AAYABgBZAQAA4Q4AAAAA&#10;">
                <o:lock v:ext="edit" aspectratio="f"/>
                <v:shape id="Freeform 10" o:spid="_x0000_s1026" o:spt="100" style="position:absolute;left:6;top:6;height:578;width:1127;" filled="f" stroked="t" coordsize="1127,578" o:gfxdata="UEsDBAoAAAAAAIdO4kAAAAAAAAAAAAAAAAAEAAAAZHJzL1BLAwQUAAAACACHTuJAmKauq7cAAADb&#10;AAAADwAAAGRycy9kb3ducmV2LnhtbEWPSwvCMBCE74L/IazgTdN6EKlGQVEUvPi8L83aFJtNaeLz&#10;1xtB8DjMzDfMZPa0lbhT40vHCtJ+AoI4d7rkQsHpuOqNQPiArLFyTApe5GE2bbcmmGn34D3dD6EQ&#10;EcI+QwUmhDqT0ueGLPq+q4mjd3GNxRBlU0jd4CPCbSUHSTKUFkuOCwZrWhjKr4ebVVDu3n5LZ8zX&#10;Zr7c7D1erqOjVKrbSZMxiEDP8A//2hutYJDC90v8AXL6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pq6rtwAAANsAAAAP&#10;AAAAAAAAAAEAIAAAACIAAABkcnMvZG93bnJldi54bWxQSwECFAAUAAAACACHTuJAMy8FnjsAAAA5&#10;AAAAEAAAAAAAAAABACAAAAAGAQAAZHJzL3NoYXBleG1sLnhtbFBLBQYAAAAABgAGAFsBAACwAwAA&#10;AAA=&#10;" path="m0,577l1126,577,1126,0,0,0,0,577xe">
                  <v:path o:connectlocs="0,577;1126,577;1126,0;0,0;0,577" o:connectangles="0,0,0,0,0"/>
                  <v:fill on="f" focussize="0,0"/>
                  <v:stroke weight="0.695748031496063pt" color="#000000" joinstyle="round"/>
                  <v:imagedata o:title=""/>
                  <o:lock v:ext="edit" aspectratio="f"/>
                </v:shape>
                <v:shape id="Freeform 11" o:spid="_x0000_s1026" o:spt="100" style="position:absolute;left:1133;top:295;height:20;width:470;" filled="f" stroked="t" coordsize="470,20" o:gfxdata="UEsDBAoAAAAAAIdO4kAAAAAAAAAAAAAAAAAEAAAAZHJzL1BLAwQUAAAACACHTuJAcrz+ML4AAADb&#10;AAAADwAAAGRycy9kb3ducmV2LnhtbEWPwW7CMBBE75X4B2uReis2aYMgjeGAhNSqcID2A1bxNk6I&#10;11FsCP37ulIljqOZeaMpNzfXiSsNofGsYT5TIIgrbxquNXx97p6WIEJENth5Jg0/FGCznjyUWBg/&#10;8pGup1iLBOFQoAYbY19IGSpLDsPM98TJ+/aDw5jkUEsz4JjgrpOZUgvpsOG0YLGnraXqfLo4DS/7&#10;5+rd5men9uMhX320fcvbXOvH6Vy9goh0i/fwf/vNaMgy+PuSf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z+ML4A&#10;AADbAAAADwAAAAAAAAABACAAAAAiAAAAZHJzL2Rvd25yZXYueG1sUEsBAhQAFAAAAAgAh07iQDMv&#10;BZ47AAAAOQAAABAAAAAAAAAAAQAgAAAADQEAAGRycy9zaGFwZXhtbC54bWxQSwUGAAAAAAYABgBb&#10;AQAAtwMAAAAA&#10;" path="m0,0l469,0e">
                  <v:path o:connectlocs="0,0;469,0" o:connectangles="0,0"/>
                  <v:fill on="f" focussize="0,0"/>
                  <v:stroke weight="0.198818897637795pt" color="#000000" joinstyle="round"/>
                  <v:imagedata o:title=""/>
                  <o:lock v:ext="edit" aspectratio="f"/>
                </v:shape>
                <v:shape id="Freeform 12" o:spid="_x0000_s1026" o:spt="100" style="position:absolute;left:1699;top:6;height:578;width:1129;" filled="f" stroked="t" coordsize="1129,578" o:gfxdata="UEsDBAoAAAAAAIdO4kAAAAAAAAAAAAAAAAAEAAAAZHJzL1BLAwQUAAAACACHTuJA0+Yfzb0AAADb&#10;AAAADwAAAGRycy9kb3ducmV2LnhtbEWPQWvCQBSE7wX/w/KE3upGD1pSV0FBkN6SprHHx+4zCWbf&#10;huxqor++KxR6HGbmG2a9HW0rbtT7xrGC+SwBQaydabhSUHwd3t5B+IBssHVMCu7kYbuZvKwxNW7g&#10;jG55qESEsE9RQR1Cl0rpdU0W/cx1xNE7u95iiLKvpOlxiHDbykWSLKXFhuNCjR3ta9KX/GoVVD7b&#10;ncfP7+Wh07r4OT3K8rQrlXqdzpMPEIHG8B/+ax+NgsUKnl/iD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5h/NvQAA&#10;ANsAAAAPAAAAAAAAAAEAIAAAACIAAABkcnMvZG93bnJldi54bWxQSwECFAAUAAAACACHTuJAMy8F&#10;njsAAAA5AAAAEAAAAAAAAAABACAAAAAMAQAAZHJzL3NoYXBleG1sLnhtbFBLBQYAAAAABgAGAFsB&#10;AAC2AwAAAAA=&#10;" path="m0,577l1128,577,1128,0,0,0,0,577xe">
                  <v:path o:connectlocs="0,577;1128,577;1128,0;0,0;0,577" o:connectangles="0,0,0,0,0"/>
                  <v:fill on="f" focussize="0,0"/>
                  <v:stroke weight="0.695748031496063pt" color="#000000" joinstyle="round"/>
                  <v:imagedata o:title=""/>
                  <o:lock v:ext="edit" aspectratio="f"/>
                </v:shape>
                <v:shape id="Freeform 13" o:spid="_x0000_s1026" o:spt="100" style="position:absolute;left:1589;top:238;height:114;width:110;" fillcolor="#000000" filled="t" stroked="f" coordsize="110,114" o:gfxdata="UEsDBAoAAAAAAIdO4kAAAAAAAAAAAAAAAAAEAAAAZHJzL1BLAwQUAAAACACHTuJAaJJRqbgAAADb&#10;AAAADwAAAGRycy9kb3ducmV2LnhtbEVPS4vCMBC+C/6HMII3TfWwSDXKsovoevJR9jw0s23ZZlKa&#10;aKu/3jkIHj++92rTu1rdqA2VZwOzaQKKOPe24sJAdtlOFqBCRLZYeyYDdwqwWQ8HK0yt7/hEt3Ms&#10;lIRwSNFAGWOTah3ykhyGqW+IhfvzrcMosC20bbGTcFfreZJ8aIcVS0OJDX2VlP+fr056f+jhvn8/&#10;w6HDXQx9dtRZ3xkzHs2SJahIfXyLX+69NTCXsfJFfoBeP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JRqbgAAADbAAAA&#10;DwAAAAAAAAABACAAAAAiAAAAZHJzL2Rvd25yZXYueG1sUEsBAhQAFAAAAAgAh07iQDMvBZ47AAAA&#10;OQAAABAAAAAAAAAAAQAgAAAABwEAAGRycy9zaGFwZXhtbC54bWxQSwUGAAAAAAYABgBbAQAAsQMA&#10;AAAA&#10;" path="m0,0l0,113,109,56,0,0xe">
                  <v:path o:connectlocs="0,0;0,113;109,56;0,0" o:connectangles="0,0,0,0"/>
                  <v:fill on="t" focussize="0,0"/>
                  <v:stroke on="f"/>
                  <v:imagedata o:title=""/>
                  <o:lock v:ext="edit" aspectratio="f"/>
                </v:shape>
                <v:shape id="Freeform 14" o:spid="_x0000_s1026" o:spt="100" style="position:absolute;left:2827;top:295;height:20;width:468;" filled="f" stroked="t" coordsize="468,20" o:gfxdata="UEsDBAoAAAAAAIdO4kAAAAAAAAAAAAAAAAAEAAAAZHJzL1BLAwQUAAAACACHTuJATLpS674AAADb&#10;AAAADwAAAGRycy9kb3ducmV2LnhtbEWPMW/CMBSEd6T+B+shdSMOGVqaxjBEKqoaFqBLt5f44UTE&#10;z1FsCO2vx5UqdTzd3Xe6YnOzvbjS6DvHCpZJCoK4cbpjo+Dz+LZYgfABWWPvmBR8k4fN+mFWYK7d&#10;xHu6HoIREcI+RwVtCEMupW9asugTNxBH7+RGiyHK0Ug94hThtpdZmj5Jix3HhRYHKltqzoeLVWCm&#10;qjvt6vBTrp7dx3b/VVfGVEo9zpfpK4hAt/Af/mu/awXZC/x+iT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pS674A&#10;AADbAAAADwAAAAAAAAABACAAAAAiAAAAZHJzL2Rvd25yZXYueG1sUEsBAhQAFAAAAAgAh07iQDMv&#10;BZ47AAAAOQAAABAAAAAAAAAAAQAgAAAADQEAAGRycy9zaGFwZXhtbC54bWxQSwUGAAAAAAYABgBb&#10;AQAAtwMAAAAA&#10;" path="m0,0l467,0e">
                  <v:path o:connectlocs="0,0;467,0" o:connectangles="0,0"/>
                  <v:fill on="f" focussize="0,0"/>
                  <v:stroke weight="0.198818897637795pt" color="#000000" joinstyle="round"/>
                  <v:imagedata o:title=""/>
                  <o:lock v:ext="edit" aspectratio="f"/>
                </v:shape>
                <v:shape id="Freeform 15" o:spid="_x0000_s1026" o:spt="100" style="position:absolute;left:3390;top:9;height:575;width:1129;" filled="f" stroked="t" coordsize="1129,575" o:gfxdata="UEsDBAoAAAAAAIdO4kAAAAAAAAAAAAAAAAAEAAAAZHJzL1BLAwQUAAAACACHTuJA2V3AursAAADb&#10;AAAADwAAAGRycy9kb3ducmV2LnhtbEWPQavCMBCE74L/IazgRTStgkg1CiqKJ0GfHt5tada22mxK&#10;E63+eyMIHoeZ+YaZLZ6mFA+qXWFZQTyIQBCnVhecKTj9bfoTEM4jaywtk4IXOVjM260ZJto2fKDH&#10;0WciQNglqCD3vkqkdGlOBt3AVsTBu9jaoA+yzqSusQlwU8phFI2lwYLDQo4VrXJKb8e7UUDX/Xri&#10;m2K7THubw3n/H5969qxUtxNHUxCenv4X/rZ3WsFoBJ8v4Qf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3AursAAADb&#10;AAAADwAAAAAAAAABACAAAAAiAAAAZHJzL2Rvd25yZXYueG1sUEsBAhQAFAAAAAgAh07iQDMvBZ47&#10;AAAAOQAAABAAAAAAAAAAAQAgAAAACgEAAGRycy9zaGFwZXhtbC54bWxQSwUGAAAAAAYABgBbAQAA&#10;tAMAAAAA&#10;" path="m0,574l1128,574,1128,0,0,0,0,574xe">
                  <v:path o:connectlocs="0,574;1128,574;1128,0;0,0;0,574" o:connectangles="0,0,0,0,0"/>
                  <v:fill on="f" focussize="0,0"/>
                  <v:stroke weight="0.695748031496063pt" color="#000000" joinstyle="round"/>
                  <v:imagedata o:title=""/>
                  <o:lock v:ext="edit" aspectratio="f"/>
                </v:shape>
                <v:shape id="Freeform 16" o:spid="_x0000_s1026" o:spt="100" style="position:absolute;left:3281;top:238;height:114;width:110;" fillcolor="#000000" filled="t" stroked="f" coordsize="110,114" o:gfxdata="UEsDBAoAAAAAAIdO4kAAAAAAAAAAAAAAAAAEAAAAZHJzL1BLAwQUAAAACACHTuJA1KWD47oAAADb&#10;AAAADwAAAGRycy9kb3ducmV2LnhtbEWPzYrCMBSF94LvEK7gTtOKDEM1FlFEndWMU2Z9aa5tsbkp&#10;TbTVpzcDgsvD+fk4y7Q3tbhR6yrLCuJpBII4t7riQkH2u5t8gnAeWWNtmRTcyUG6Gg6WmGjb8Q/d&#10;Tr4QYYRdggpK75tESpeXZNBNbUMcvLNtDfog20LqFrswbmo5i6IPabDiQCixoU1J+eV0NYF7pIfZ&#10;/q3dV4d77/rsW2Z9p9R4FEcLEJ56/w6/2getYD6D/y/h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pYPjugAAANsA&#10;AAAPAAAAAAAAAAEAIAAAACIAAABkcnMvZG93bnJldi54bWxQSwECFAAUAAAACACHTuJAMy8FnjsA&#10;AAA5AAAAEAAAAAAAAAABACAAAAAJAQAAZHJzL3NoYXBleG1sLnhtbFBLBQYAAAAABgAGAFsBAACz&#10;AwAAAAA=&#10;" path="m0,0l0,113,109,56,0,0xe">
                  <v:path o:connectlocs="0,0;0,113;109,56;0,0" o:connectangles="0,0,0,0"/>
                  <v:fill on="t" focussize="0,0"/>
                  <v:stroke on="f"/>
                  <v:imagedata o:title=""/>
                  <o:lock v:ext="edit" aspectratio="f"/>
                </v:shape>
                <v:shape id="Freeform 17" o:spid="_x0000_s1026" o:spt="100" style="position:absolute;left:4519;top:295;height:20;width:468;" filled="f" stroked="t" coordsize="468,20" o:gfxdata="UEsDBAoAAAAAAIdO4kAAAAAAAAAAAAAAAAAEAAAAZHJzL1BLAwQUAAAACACHTuJA4PojOb0AAADb&#10;AAAADwAAAGRycy9kb3ducmV2LnhtbEWPT4vCMBTE74LfITxhb5oqiyvV6EFQxO7FPxdvz+aZFpuX&#10;0kSrfvqNIOxxmJnfMLPFw1biTo0vHSsYDhIQxLnTJRsFx8OqPwHhA7LGyjEpeJKHxbzbmWGqXcs7&#10;uu+DERHCPkUFRQh1KqXPC7LoB64mjt7FNRZDlI2RusE2wm0lR0kylhZLjgsF1rQsKL/ub1aBabPy&#10;8nsOr+Xkx23Xu9M5MyZT6qs3TKYgAj3Cf/jT3mgF32N4f4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M5vQAA&#10;ANsAAAAPAAAAAAAAAAEAIAAAACIAAABkcnMvZG93bnJldi54bWxQSwECFAAUAAAACACHTuJAMy8F&#10;njsAAAA5AAAAEAAAAAAAAAABACAAAAAMAQAAZHJzL3NoYXBleG1sLnhtbFBLBQYAAAAABgAGAFsB&#10;AAC2AwAAAAA=&#10;" path="m0,0l467,0e">
                  <v:path o:connectlocs="0,0;467,0" o:connectangles="0,0"/>
                  <v:fill on="f" focussize="0,0"/>
                  <v:stroke weight="0.198818897637795pt" color="#000000" joinstyle="round"/>
                  <v:imagedata o:title=""/>
                  <o:lock v:ext="edit" aspectratio="f"/>
                </v:shape>
                <v:shape id="Freeform 18" o:spid="_x0000_s1026" o:spt="100" style="position:absolute;left:5084;top:9;height:575;width:1129;" filled="f" stroked="t" coordsize="1129,575" o:gfxdata="UEsDBAoAAAAAAIdO4kAAAAAAAAAAAAAAAAAEAAAAZHJzL1BLAwQUAAAACACHTuJA/mC1xL8AAADb&#10;AAAADwAAAGRycy9kb3ducmV2LnhtbEWPQWvCQBSE70L/w/IKvYhuUopKmo1QxdKTYEwOvT2yzyQ2&#10;+zZktyb9991CweMwM98w6XYynbjR4FrLCuJlBIK4srrlWkFxPiw2IJxH1thZJgU/5GCbPcxSTLQd&#10;+US33NciQNglqKDxvk+kdFVDBt3S9sTBu9jBoA9yqKUecAxw08nnKFpJgy2HhQZ72jVUfeXfRgFd&#10;j/uNH9v3t2p+OJXHz7iY21Kpp8c4egXhafL38H/7Qyt4WcPfl/AD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gtcS/&#10;AAAA2wAAAA8AAAAAAAAAAQAgAAAAIgAAAGRycy9kb3ducmV2LnhtbFBLAQIUABQAAAAIAIdO4kAz&#10;LwWeOwAAADkAAAAQAAAAAAAAAAEAIAAAAA4BAABkcnMvc2hhcGV4bWwueG1sUEsFBgAAAAAGAAYA&#10;WwEAALgDAAAAAA==&#10;" path="m0,574l1128,574,1128,0,0,0,0,574xe">
                  <v:path o:connectlocs="0,574;1128,574;1128,0;0,0;0,574" o:connectangles="0,0,0,0,0"/>
                  <v:fill on="f" focussize="0,0"/>
                  <v:stroke weight="0.695748031496063pt" color="#000000" joinstyle="round"/>
                  <v:imagedata o:title=""/>
                  <o:lock v:ext="edit" aspectratio="f"/>
                </v:shape>
                <v:shape id="Freeform 19" o:spid="_x0000_s1026" o:spt="100" style="position:absolute;left:4975;top:238;height:114;width:110;" fillcolor="#000000" filled="t" stroked="f" coordsize="110,114" o:gfxdata="UEsDBAoAAAAAAIdO4kAAAAAAAAAAAAAAAAAEAAAAZHJzL1BLAwQUAAAACACHTuJAtU20CbgAAADb&#10;AAAADwAAAGRycy9kb3ducmV2LnhtbEVPS2vCQBC+C/6HZYTedKMUkegmiCJ9nKoNPQ/ZMQlmZ0N2&#10;a9L++s5B6PHje+/y0bXqTn1oPBtYLhJQxKW3DVcGis/TfAMqRGSLrWcy8EMB8mw62WFq/cBnul9i&#10;pSSEQ4oG6hi7VOtQ1uQwLHxHLNzV9w6jwL7StsdBwl2rV0my1g4bloYaOzrUVN4u30563+jXHb/2&#10;4X3AlxjG4kMX42DM02yZbEFFGuO/+OF+tQaeZax8kR+gs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U20CbgAAADbAAAA&#10;DwAAAAAAAAABACAAAAAiAAAAZHJzL2Rvd25yZXYueG1sUEsBAhQAFAAAAAgAh07iQDMvBZ47AAAA&#10;OQAAABAAAAAAAAAAAQAgAAAABwEAAGRycy9zaGFwZXhtbC54bWxQSwUGAAAAAAYABgBbAQAAsQMA&#10;AAAA&#10;" path="m0,0l0,113,109,56,0,0xe">
                  <v:path o:connectlocs="0,0;0,113;109,56;0,0" o:connectangles="0,0,0,0"/>
                  <v:fill on="t" focussize="0,0"/>
                  <v:stroke on="f"/>
                  <v:imagedata o:title=""/>
                  <o:lock v:ext="edit" aspectratio="f"/>
                </v:shape>
                <v:shape id="Freeform 20" o:spid="_x0000_s1026" o:spt="100" style="position:absolute;left:6213;top:295;height:20;width:468;" filled="f" stroked="t" coordsize="468,20" o:gfxdata="UEsDBAoAAAAAAIdO4kAAAAAAAAAAAAAAAAAEAAAAZHJzL1BLAwQUAAAACACHTuJAkWW3S70AAADb&#10;AAAADwAAAGRycy9kb3ducmV2LnhtbEWPT4vCMBTE74LfITxhb5q6LP6pRg/CyrL1orsXb8/mmRab&#10;l9JEq356Iwgeh5n5DTNfXm0lLtT40rGC4SABQZw7XbJR8P/33Z+A8AFZY+WYFNzIw3LR7cwx1a7l&#10;LV12wYgIYZ+igiKEOpXS5wVZ9ANXE0fv6BqLIcrGSN1gG+G2kp9JMpIWS44LBda0Kig/7c5WgWmz&#10;8rg5hPtqMna/6+3+kBmTKfXRGyYzEIGu4R1+tX+0gq8p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bdLvQAA&#10;ANsAAAAPAAAAAAAAAAEAIAAAACIAAABkcnMvZG93bnJldi54bWxQSwECFAAUAAAACACHTuJAMy8F&#10;njsAAAA5AAAAEAAAAAAAAAABACAAAAAMAQAAZHJzL3NoYXBleG1sLnhtbFBLBQYAAAAABgAGAFsB&#10;AAC2AwAAAAA=&#10;" path="m0,0l467,0e">
                  <v:path o:connectlocs="0,0;467,0" o:connectangles="0,0"/>
                  <v:fill on="f" focussize="0,0"/>
                  <v:stroke weight="0.198818897637795pt" color="#000000" joinstyle="round"/>
                  <v:imagedata o:title=""/>
                  <o:lock v:ext="edit" aspectratio="f"/>
                </v:shape>
                <v:shape id="Freeform 21" o:spid="_x0000_s1026" o:spt="100" style="position:absolute;left:6776;top:9;height:575;width:1411;" filled="f" stroked="t" coordsize="1411,575" o:gfxdata="UEsDBAoAAAAAAIdO4kAAAAAAAAAAAAAAAAAEAAAAZHJzL1BLAwQUAAAACACHTuJAwQtP9LkAAADb&#10;AAAADwAAAGRycy9kb3ducmV2LnhtbEVPz2vCMBS+C/sfwhvspkkH6qxGD4LgRZg68fponk235qVr&#10;Yq3/vTkIHj++34tV72rRURsqzxqykQJBXHhTcanh57gZfoEIEdlg7Zk03CnAavk2WGBu/I331B1i&#10;KVIIhxw12BibXMpQWHIYRr4hTtzFtw5jgm0pTYu3FO5q+anURDqsODVYbGhtqfg7XJ2G9Xnqv6nv&#10;/rPmN9rxbrdRs9NJ64/3TM1BROrjS/x0b42GcVqfvqQf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LT/S5AAAA2wAA&#10;AA8AAAAAAAAAAQAgAAAAIgAAAGRycy9kb3ducmV2LnhtbFBLAQIUABQAAAAIAIdO4kAzLwWeOwAA&#10;ADkAAAAQAAAAAAAAAAEAIAAAAAgBAABkcnMvc2hhcGV4bWwueG1sUEsFBgAAAAAGAAYAWwEAALID&#10;AAAAAA==&#10;" path="m0,574l1410,574,1410,0,0,0,0,574xe">
                  <v:path o:connectlocs="0,574;1410,574;1410,0;0,0;0,574" o:connectangles="0,0,0,0,0"/>
                  <v:fill on="f" focussize="0,0"/>
                  <v:stroke weight="0.695826771653543pt" color="#000000" joinstyle="round"/>
                  <v:imagedata o:title=""/>
                  <o:lock v:ext="edit" aspectratio="f"/>
                </v:shape>
                <v:shape id="Freeform 22" o:spid="_x0000_s1026" o:spt="100" style="position:absolute;left:6666;top:238;height:114;width:110;" fillcolor="#000000" filled="t" stroked="f" coordsize="110,114" o:gfxdata="UEsDBAoAAAAAAIdO4kAAAAAAAAAAAAAAAAAEAAAAZHJzL1BLAwQUAAAACACHTuJAoa6LSbsAAADb&#10;AAAADwAAAGRycy9kb3ducmV2LnhtbEWPzWqDQBSF94W+w3AL2dXRQEKxjlJaSpusUiNdX5xblTp3&#10;xJlEk6fPBAJZHs7Px8mK2fTiSKPrLCtIohgEcW11x42Cav/5/ALCeWSNvWVScCIHRf74kGGq7cQ/&#10;dCx9I8IIuxQVtN4PqZSubsmgi+xAHLw/Oxr0QY6N1CNOYdz0chnHa2mw40BocaD3lur/8mACd0Nn&#10;8/H75rYTfnk3VztZzZNSi6ckfgXhafb38K39rRWsErh+CT9A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6LSbsAAADb&#10;AAAADwAAAAAAAAABACAAAAAiAAAAZHJzL2Rvd25yZXYueG1sUEsBAhQAFAAAAAgAh07iQDMvBZ47&#10;AAAAOQAAABAAAAAAAAAAAQAgAAAACgEAAGRycy9zaGFwZXhtbC54bWxQSwUGAAAAAAYABgBbAQAA&#10;tAMAAAAA&#10;" path="m0,0l0,113,109,56,0,0xe">
                  <v:path o:connectlocs="0,0;0,113;109,56;0,0" o:connectangles="0,0,0,0"/>
                  <v:fill on="t" focussize="0,0"/>
                  <v:stroke on="f"/>
                  <v:imagedata o:title=""/>
                  <o:lock v:ext="edit" aspectratio="f"/>
                </v:shape>
                <v:shape id="Freeform 23" o:spid="_x0000_s1026" o:spt="100" style="position:absolute;left:2262;top:584;height:476;width:20;" filled="f" stroked="t" coordsize="20,476" o:gfxdata="UEsDBAoAAAAAAIdO4kAAAAAAAAAAAAAAAAAEAAAAZHJzL1BLAwQUAAAACACHTuJAUGMiuL0AAADb&#10;AAAADwAAAGRycy9kb3ducmV2LnhtbEWPS4vCQBCE74L/YWhhbzqJENFsJh4WRFcPiw/Ya5PpTUIy&#10;PSEzPn+9Iyx4LKrqKypb3kwrLtS72rKCeBKBIC6srrlUcDquxnMQziNrbC2Tgjs5WObDQYaptlfe&#10;0+XgSxEg7FJUUHnfpVK6oiKDbmI74uD92d6gD7Ivpe7xGuCmldMomkmDNYeFCjv6qqhoDmej4Djf&#10;/izWjTRJsvt+NJuYtu3vWamPURx9gvB08+/wf3ujFSRTeH0JP0D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yK4vQAA&#10;ANsAAAAPAAAAAAAAAAEAIAAAACIAAABkcnMvZG93bnJldi54bWxQSwECFAAUAAAACACHTuJAMy8F&#10;njsAAAA5AAAAEAAAAAAAAAABACAAAAAMAQAAZHJzL3NoYXBleG1sLnhtbFBLBQYAAAAABgAGAFsB&#10;AAC2AwAAAAA=&#10;" path="m0,0l0,475e">
                  <v:path o:connectlocs="0,0;0,475" o:connectangles="0,0"/>
                  <v:fill on="f" focussize="0,0"/>
                  <v:stroke weight="0.198346456692913pt" color="#000000" joinstyle="round"/>
                  <v:imagedata o:title=""/>
                  <o:lock v:ext="edit" aspectratio="f"/>
                </v:shape>
                <v:shape id="Freeform 24" o:spid="_x0000_s1026" o:spt="100" style="position:absolute;left:2208;top:1045;height:114;width:110;" fillcolor="#000000" filled="t" stroked="f" coordsize="110,114" o:gfxdata="UEsDBAoAAAAAAIdO4kAAAAAAAAAAAAAAAAAEAAAAZHJzL1BLAwQUAAAACACHTuJAPjCwpboAAADb&#10;AAAADwAAAGRycy9kb3ducmV2LnhtbEWPzYrCMBSF94LvEK4wO02dQZFqFFEGHVdjLa4vzbUtNjel&#10;ibbO0xthwOXh/HycxaozlbhT40rLCsajCARxZnXJuYL09D2cgXAeWWNlmRQ8yMFq2e8tMNa25SPd&#10;E5+LMMIuRgWF93UspcsKMuhGtiYO3sU2Bn2QTS51g20YN5X8jKKpNFhyIBRY06ag7JrcTOD+0J/Z&#10;ntfu0OLOuy79lWnXKvUxGEdzEJ46/w7/t/daweQLXl/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LClugAAANsA&#10;AAAPAAAAAAAAAAEAIAAAACIAAABkcnMvZG93bnJldi54bWxQSwECFAAUAAAACACHTuJAMy8FnjsA&#10;AAA5AAAAEAAAAAAAAAABACAAAAAJAQAAZHJzL3NoYXBleG1sLnhtbFBLBQYAAAAABgAGAFsBAACz&#10;AwAAAAA=&#10;" path="m109,0l0,0,53,113,109,0xe">
                  <v:path o:connectlocs="109,0;0,0;53,113;109,0" o:connectangles="0,0,0,0"/>
                  <v:fill on="t" focussize="0,0"/>
                  <v:stroke on="f"/>
                  <v:imagedata o:title=""/>
                  <o:lock v:ext="edit" aspectratio="f"/>
                </v:shape>
                <v:shape id="Freeform 25" o:spid="_x0000_s1026" o:spt="100" style="position:absolute;left:3955;top:584;height:476;width:20;" filled="f" stroked="t" coordsize="20,476" o:gfxdata="UEsDBAoAAAAAAIdO4kAAAAAAAAAAAAAAAAAEAAAAZHJzL1BLAwQUAAAACACHTuJAsMYfV78AAADb&#10;AAAADwAAAGRycy9kb3ducmV2LnhtbEWPzWrDMBCE74G8g9hCb4nsUBfXjZJDINR1DyVOodfF2trG&#10;1spYivPz9FWhkOMwM98w6+3F9GKi0bWWFcTLCARxZXXLtYKv436RgnAeWWNvmRRcycF2M5+tMdP2&#10;zAeaSl+LAGGXoYLG+yGT0lUNGXRLOxAH78eOBn2QYy31iOcAN71cRdGzNNhyWGhwoF1DVVeejIJj&#10;Wny+vHXSJMnH+63LYyr675NSjw9x9ArC08Xfw//tXCtInuDvS/gB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GH1e/&#10;AAAA2wAAAA8AAAAAAAAAAQAgAAAAIgAAAGRycy9kb3ducmV2LnhtbFBLAQIUABQAAAAIAIdO4kAz&#10;LwWeOwAAADkAAAAQAAAAAAAAAAEAIAAAAA4BAABkcnMvc2hhcGV4bWwueG1sUEsFBgAAAAAGAAYA&#10;WwEAALgDAAAAAA==&#10;" path="m0,0l0,475e">
                  <v:path o:connectlocs="0,0;0,475" o:connectangles="0,0"/>
                  <v:fill on="f" focussize="0,0"/>
                  <v:stroke weight="0.198346456692913pt" color="#000000" joinstyle="round"/>
                  <v:imagedata o:title=""/>
                  <o:lock v:ext="edit" aspectratio="f"/>
                </v:shape>
                <v:shape id="Freeform 26" o:spid="_x0000_s1026" o:spt="100" style="position:absolute;left:3900;top:1045;height:114;width:110;" fillcolor="#000000" filled="t" stroked="f" coordsize="110,114" o:gfxdata="UEsDBAoAAAAAAIdO4kAAAAAAAAAAAAAAAAAEAAAAZHJzL1BLAwQUAAAACACHTuJA3pWNSrkAAADb&#10;AAAADwAAAGRycy9kb3ducmV2LnhtbEWPS4vCMBSF9wP+h3AFd2OqoEg1iijiY+WjuL4017bY3JQm&#10;2jq/fiIILg/n8XFmi9aU4km1KywrGPQjEMSp1QVnCpLL5ncCwnlkjaVlUvAiB4t552eGsbYNn+h5&#10;9pkII+xiVJB7X8VSujQng65vK+Lg3Wxt0AdZZ1LX2IRxU8phFI2lwYIDIceKVjml9/PDBO6e/sz6&#10;unSHBrfetclRJm2jVK87iKYgPLX+G/60d1rBaATvL+EH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6VjUq5AAAA2wAA&#10;AA8AAAAAAAAAAQAgAAAAIgAAAGRycy9kb3ducmV2LnhtbFBLAQIUABQAAAAIAIdO4kAzLwWeOwAA&#10;ADkAAAAQAAAAAAAAAAEAIAAAAAgBAABkcnMvc2hhcGV4bWwueG1sUEsFBgAAAAAGAAYAWwEAALID&#10;AAAAAA==&#10;" path="m109,0l0,0,55,113,109,0xe">
                  <v:path o:connectlocs="109,0;0,0;55,113;109,0" o:connectangles="0,0,0,0"/>
                  <v:fill on="t" focussize="0,0"/>
                  <v:stroke on="f"/>
                  <v:imagedata o:title=""/>
                  <o:lock v:ext="edit" aspectratio="f"/>
                </v:shape>
                <v:shape id="Freeform 27" o:spid="_x0000_s1026" o:spt="100" style="position:absolute;left:5647;top:584;height:476;width:20;" filled="f" stroked="t" coordsize="20,476" o:gfxdata="UEsDBAoAAAAAAIdO4kAAAAAAAAAAAAAAAAAEAAAAZHJzL1BLAwQUAAAACACHTuJAL1gku74AAADb&#10;AAAADwAAAGRycy9kb3ducmV2LnhtbEWPQWuDQBSE74X8h+UFcmtWC0pqXXMolKb2EJIUen24ryq6&#10;b8XdaNJf3y0Echxm5hsm315MLyYaXWtZQbyOQBBXVrdcK/g6vT1uQDiPrLG3TAqu5GBbLB5yzLSd&#10;+UDT0dciQNhlqKDxfsikdFVDBt3aDsTB+7GjQR/kWEs94hzgppdPUZRKgy2HhQYHem2o6o5no+C0&#10;KffP7500SfL58dvtYir777NSq2UcvYDwdPH38K290wqSFP6/hB8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gku74A&#10;AADbAAAADwAAAAAAAAABACAAAAAiAAAAZHJzL2Rvd25yZXYueG1sUEsBAhQAFAAAAAgAh07iQDMv&#10;BZ47AAAAOQAAABAAAAAAAAAAAQAgAAAADQEAAGRycy9zaGFwZXhtbC54bWxQSwUGAAAAAAYABgBb&#10;AQAAtwMAAAAA&#10;" path="m0,0l0,475e">
                  <v:path o:connectlocs="0,0;0,475" o:connectangles="0,0"/>
                  <v:fill on="f" focussize="0,0"/>
                  <v:stroke weight="0.198346456692913pt" color="#000000" joinstyle="round"/>
                  <v:imagedata o:title=""/>
                  <o:lock v:ext="edit" aspectratio="f"/>
                </v:shape>
                <v:shape id="Freeform 28" o:spid="_x0000_s1026" o:spt="100" style="position:absolute;left:5594;top:1045;height:114;width:109;" fillcolor="#000000" filled="t" stroked="f" coordsize="109,114" o:gfxdata="UEsDBAoAAAAAAIdO4kAAAAAAAAAAAAAAAAAEAAAAZHJzL1BLAwQUAAAACACHTuJASB7Teb0AAADb&#10;AAAADwAAAGRycy9kb3ducmV2LnhtbEWPT4vCMBTE78J+h/AEL6KJZSlLNXoQFj25WmXF26N5tsXm&#10;pTTxz377jSB4HGbmN8xs8bCNuFHna8caJmMFgrhwpuZSw2H/PfoC4QOywcYxafgjD4v5R2+GmXF3&#10;3tEtD6WIEPYZaqhCaDMpfVGRRT92LXH0zq6zGKLsSmk6vEe4bWSiVCot1hwXKmxpWVFxya9Wg9/m&#10;9Y8/2FWz+dykanv8dadhovWgP1FTEIEe4R1+tddGQ5rA80v8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tN5vQAA&#10;ANsAAAAPAAAAAAAAAAEAIAAAACIAAABkcnMvZG93bnJldi54bWxQSwECFAAUAAAACACHTuJAMy8F&#10;njsAAAA5AAAAEAAAAAAAAAABACAAAAAMAQAAZHJzL3NoYXBleG1sLnhtbFBLBQYAAAAABgAGAFsB&#10;AAC2AwAAAAA=&#10;" path="m108,0l0,0,53,113,108,0xe">
                  <v:path o:connectlocs="108,0;0,0;53,113;108,0" o:connectangles="0,0,0,0"/>
                  <v:fill on="t" focussize="0,0"/>
                  <v:stroke on="f"/>
                  <v:imagedata o:title=""/>
                  <o:lock v:ext="edit" aspectratio="f"/>
                </v:shape>
                <v:shape id="Freeform 29" o:spid="_x0000_s1026" o:spt="100" style="position:absolute;left:7341;top:584;height:476;width:20;" filled="f" stroked="t" coordsize="20,476" o:gfxdata="UEsDBAoAAAAAAIdO4kAAAAAAAAAAAAAAAAAEAAAAZHJzL1BLAwQUAAAACACHTuJA8UNNnr8AAADb&#10;AAAADwAAAGRycy9kb3ducmV2LnhtbEWPQWvCQBSE74L/YXlCb2aTFsWm2eQgSK09lGqh10f2NQnJ&#10;vg3ZjbH+erdQ8DjMzDdMVlxMJ840uMaygiSKQRCXVjdcKfg67ZYbEM4ja+wsk4JfclDk81mGqbYT&#10;f9L56CsRIOxSVFB736dSurImgy6yPXHwfuxg0Ac5VFIPOAW46eRjHK+lwYbDQo09bWsq2+NoFJw2&#10;h4/n11aa1er97druEzp036NSD4skfgHh6eLv4f/2XitYP8Hfl/A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DTZ6/&#10;AAAA2wAAAA8AAAAAAAAAAQAgAAAAIgAAAGRycy9kb3ducmV2LnhtbFBLAQIUABQAAAAIAIdO4kAz&#10;LwWeOwAAADkAAAAQAAAAAAAAAAEAIAAAAA4BAABkcnMvc2hhcGV4bWwueG1sUEsFBgAAAAAGAAYA&#10;WwEAALgDAAAAAA==&#10;" path="m0,0l0,475e">
                  <v:path o:connectlocs="0,0;0,475" o:connectangles="0,0"/>
                  <v:fill on="f" focussize="0,0"/>
                  <v:stroke weight="0.198346456692913pt" color="#000000" joinstyle="round"/>
                  <v:imagedata o:title=""/>
                  <o:lock v:ext="edit" aspectratio="f"/>
                </v:shape>
                <v:shape id="Freeform 30" o:spid="_x0000_s1026" o:spt="100" style="position:absolute;left:7285;top:1045;height:114;width:110;" fillcolor="#000000" filled="t" stroked="f" coordsize="110,114" o:gfxdata="UEsDBAoAAAAAAIdO4kAAAAAAAAAAAAAAAAAEAAAAZHJzL1BLAwQUAAAACACHTuJAf7XibLsAAADb&#10;AAAADwAAAGRycy9kb3ducmV2LnhtbEWPzWqDQBSF94W8w3AD3TWjJUgwjhISStOumlS6vjg3KnHu&#10;iDNV26fvFAJZHs7Px8mK2XRipMG1lhXEqwgEcWV1y7WC8vPlaQPCeWSNnWVS8EMOinzxkGGq7cQn&#10;Gs++FmGEXYoKGu/7VEpXNWTQrWxPHLyLHQz6IIda6gGnMG46+RxFiTTYciA02NO+oep6/jaB+0a/&#10;5vC1c+8Tvno3lx+ynCelHpdxtAXhafb38K191AqSNfx/CT9A5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XibLsAAADb&#10;AAAADwAAAAAAAAABACAAAAAiAAAAZHJzL2Rvd25yZXYueG1sUEsBAhQAFAAAAAgAh07iQDMvBZ47&#10;AAAAOQAAABAAAAAAAAAAAQAgAAAACgEAAGRycy9zaGFwZXhtbC54bWxQSwUGAAAAAAYABgBbAQAA&#10;tAMAAAAA&#10;" path="m109,0l0,0,55,113,109,0xe">
                  <v:path o:connectlocs="109,0;0,0;55,113;109,0" o:connectangles="0,0,0,0"/>
                  <v:fill on="t" focussize="0,0"/>
                  <v:stroke on="f"/>
                  <v:imagedata o:title=""/>
                  <o:lock v:ext="edit" aspectratio="f"/>
                </v:shape>
                <v:shape id="Text Box 31" o:spid="_x0000_s1026" o:spt="202" type="#_x0000_t202" style="position:absolute;left:7;top:7;height:578;width:1127;"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104D44">
                        <w:pPr>
                          <w:pStyle w:val="6"/>
                          <w:kinsoku w:val="0"/>
                          <w:overflowPunct w:val="0"/>
                          <w:spacing w:before="81"/>
                          <w:ind w:left="324"/>
                        </w:pPr>
                        <w:r>
                          <w:rPr>
                            <w:rFonts w:hint="eastAsia"/>
                            <w:spacing w:val="-4"/>
                            <w:w w:val="101"/>
                          </w:rPr>
                          <w:t>划线</w:t>
                        </w:r>
                      </w:p>
                    </w:txbxContent>
                  </v:textbox>
                </v:shape>
                <v:shape id="Text Box 32" o:spid="_x0000_s1026" o:spt="202" type="#_x0000_t202" style="position:absolute;left:1699;top:7;height:578;width:1129;"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76079B2">
                        <w:pPr>
                          <w:pStyle w:val="6"/>
                          <w:kinsoku w:val="0"/>
                          <w:overflowPunct w:val="0"/>
                          <w:spacing w:before="81"/>
                          <w:ind w:left="324"/>
                        </w:pPr>
                        <w:r>
                          <w:rPr>
                            <w:rFonts w:hint="eastAsia"/>
                            <w:spacing w:val="-4"/>
                            <w:w w:val="101"/>
                          </w:rPr>
                          <w:t>清表</w:t>
                        </w:r>
                      </w:p>
                    </w:txbxContent>
                  </v:textbox>
                </v:shape>
                <v:shape id="Text Box 33" o:spid="_x0000_s1026" o:spt="202" type="#_x0000_t202" style="position:absolute;left:3391;top:9;height:575;width:1129;"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D35466C">
                        <w:pPr>
                          <w:pStyle w:val="6"/>
                          <w:kinsoku w:val="0"/>
                          <w:overflowPunct w:val="0"/>
                          <w:spacing w:before="79"/>
                          <w:ind w:left="87"/>
                        </w:pPr>
                        <w:r>
                          <w:rPr>
                            <w:rFonts w:hint="eastAsia"/>
                            <w:spacing w:val="-4"/>
                            <w:w w:val="101"/>
                          </w:rPr>
                          <w:t>路基填筑</w:t>
                        </w:r>
                      </w:p>
                    </w:txbxContent>
                  </v:textbox>
                </v:shape>
                <v:shape id="Text Box 34" o:spid="_x0000_s1026" o:spt="202" type="#_x0000_t202" style="position:absolute;left:5085;top:9;height:575;width:1129;"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F1E0079">
                        <w:pPr>
                          <w:pStyle w:val="6"/>
                          <w:kinsoku w:val="0"/>
                          <w:overflowPunct w:val="0"/>
                          <w:spacing w:before="79"/>
                          <w:ind w:left="85"/>
                        </w:pPr>
                        <w:r>
                          <w:rPr>
                            <w:rFonts w:hint="eastAsia"/>
                            <w:spacing w:val="-4"/>
                            <w:w w:val="101"/>
                          </w:rPr>
                          <w:t>修筑边坡</w:t>
                        </w:r>
                      </w:p>
                    </w:txbxContent>
                  </v:textbox>
                </v:shape>
                <v:shape id="Text Box 35" o:spid="_x0000_s1026" o:spt="202" type="#_x0000_t202" style="position:absolute;left:6777;top:9;height:575;width:1411;" filled="f" stroked="f" coordsize="21600,21600" o:gfxdata="UEsDBAoAAAAAAIdO4kAAAAAAAAAAAAAAAAAEAAAAZHJzL1BLAwQUAAAACACHTuJAwzYrWL4AAADb&#10;AAAADwAAAGRycy9kb3ducmV2LnhtbEWPzWrDMBCE74W8g9hAbo2UHkziRg4htBAIlDruocettbZF&#10;rJVrKT99+ypQ6HGYmW+Y9ebmenGhMVjPGhZzBYK49sZyq+Gjen1cgggR2WDvmTT8UIBNMXlYY278&#10;lUu6HGMrEoRDjhq6GIdcylB35DDM/UCcvMaPDmOSYyvNiNcEd718UiqTDi2nhQ4H2nVUn45np2H7&#10;yeWL/X77ei+b0lbVSvEhO2k9my7UM4hIt/gf/mvvjYZsBf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YrW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253CCB">
                        <w:pPr>
                          <w:pStyle w:val="6"/>
                          <w:kinsoku w:val="0"/>
                          <w:overflowPunct w:val="0"/>
                          <w:spacing w:before="79"/>
                          <w:ind w:left="226"/>
                        </w:pPr>
                        <w:r>
                          <w:rPr>
                            <w:rFonts w:hint="eastAsia"/>
                            <w:spacing w:val="-4"/>
                            <w:w w:val="101"/>
                          </w:rPr>
                          <w:t>路面铺设</w:t>
                        </w:r>
                      </w:p>
                    </w:txbxContent>
                  </v:textbox>
                </v:shape>
                <w10:wrap type="none"/>
                <w10:anchorlock/>
              </v:group>
            </w:pict>
          </mc:Fallback>
        </mc:AlternateContent>
      </w:r>
    </w:p>
    <w:p w14:paraId="351590AB">
      <w:pPr>
        <w:ind w:firstLine="1920" w:firstLineChars="800"/>
        <w:jc w:val="both"/>
        <w:rPr>
          <w:rFonts w:ascii="Times New Roman" w:hAnsi="Times New Roman" w:cs="Times New Roman"/>
        </w:rPr>
      </w:pPr>
      <w:r>
        <w:rPr>
          <w:rFonts w:ascii="Times New Roman" w:hAnsi="Times New Roman" w:cs="Times New Roman"/>
        </w:rPr>
        <w:t>固体废物、车辆运行废气、机械设备噪声、生产废水沥青烟</w:t>
      </w:r>
    </w:p>
    <w:p w14:paraId="175BC432">
      <w:pPr>
        <w:pStyle w:val="2296"/>
        <w:rPr>
          <w:rFonts w:ascii="Times New Roman" w:hAnsi="Times New Roman" w:cs="Times New Roman"/>
        </w:rPr>
      </w:pPr>
      <w:r>
        <w:rPr>
          <w:rFonts w:ascii="Times New Roman" w:hAnsi="Times New Roman" w:cs="Times New Roman"/>
        </w:rPr>
        <w:t>图3.1-7道路施工工艺及产污环节</w:t>
      </w:r>
    </w:p>
    <w:p w14:paraId="36825DFF">
      <w:pPr>
        <w:pStyle w:val="2296"/>
        <w:spacing w:line="360" w:lineRule="auto"/>
        <w:ind w:firstLine="480" w:firstLineChars="200"/>
        <w:contextualSpacing w:val="0"/>
        <w:jc w:val="both"/>
        <w:rPr>
          <w:rFonts w:ascii="Times New Roman" w:hAnsi="Times New Roman" w:eastAsia="宋体" w:cs="Times New Roman"/>
          <w:snapToGrid w:val="0"/>
        </w:rPr>
      </w:pPr>
      <w:r>
        <w:rPr>
          <w:rFonts w:ascii="Times New Roman" w:hAnsi="Times New Roman" w:eastAsia="宋体" w:cs="Times New Roman"/>
          <w:snapToGrid w:val="0"/>
        </w:rPr>
        <w:t>(3)桥涵工程</w:t>
      </w:r>
    </w:p>
    <w:p w14:paraId="425CE371">
      <w:pPr>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rPr>
        <w:t>桥梁的施工顺序为：桥墩桥台基础施工、桥墩桥台施工、桥梁上部结构施工、桥面铺装。</w:t>
      </w:r>
    </w:p>
    <w:p w14:paraId="008E3DCC">
      <w:pPr>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rPr>
        <w:t>本项目的桥梁构造物的设计采用标准跨径，预制安装施工。对于预制梁板集中预制，箱型连续梁桥采用现场浇筑法施工。桥梁均桩基础，对于干地桥墩、桥台基础采用钻孔灌注桩，施工时先搭建施工平台，再进行桥梁基础施工，钻孔前挖好泥浆池，钻孔过程通过泥浆循环固壁保证成孔质量，并将钻孔中的土石带入泥浆池沉淀，沉淀后泥浆循环利用。</w:t>
      </w:r>
    </w:p>
    <w:p w14:paraId="6BE5631E">
      <w:pPr>
        <w:spacing w:line="360" w:lineRule="auto"/>
        <w:ind w:firstLine="480" w:firstLineChars="200"/>
        <w:jc w:val="both"/>
        <w:rPr>
          <w:rFonts w:ascii="Times New Roman" w:hAnsi="Times New Roman" w:cs="Times New Roman"/>
          <w:snapToGrid w:val="0"/>
        </w:rPr>
      </w:pPr>
      <w:r>
        <w:rPr>
          <w:rFonts w:ascii="Times New Roman" w:hAnsi="Times New Roman" w:cs="Times New Roman"/>
          <w:snapToGrid w:val="0"/>
        </w:rPr>
        <w:t>箱梁等混凝土构件在项目预制场内预制。桥梁施工工艺见图3.1-8。</w:t>
      </w:r>
    </w:p>
    <w:p w14:paraId="5A1875F3">
      <w:pPr>
        <w:spacing w:line="360" w:lineRule="auto"/>
        <w:jc w:val="center"/>
        <w:rPr>
          <w:rFonts w:ascii="Times New Roman" w:hAnsi="Times New Roman" w:cs="Times New Roman"/>
          <w:snapToGrid w:val="0"/>
        </w:rPr>
      </w:pPr>
      <w:r>
        <w:rPr>
          <w:rFonts w:ascii="Times New Roman" w:hAnsi="Times New Roman" w:cs="Times New Roman"/>
        </w:rPr>
        <w:drawing>
          <wp:inline distT="0" distB="0" distL="0" distR="0">
            <wp:extent cx="4131945" cy="1056640"/>
            <wp:effectExtent l="0" t="0" r="1905" b="0"/>
            <wp:docPr id="3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79034" cy="1068879"/>
                    </a:xfrm>
                    <a:prstGeom prst="rect">
                      <a:avLst/>
                    </a:prstGeom>
                    <a:noFill/>
                    <a:ln>
                      <a:noFill/>
                    </a:ln>
                  </pic:spPr>
                </pic:pic>
              </a:graphicData>
            </a:graphic>
          </wp:inline>
        </w:drawing>
      </w:r>
    </w:p>
    <w:p w14:paraId="7771E0FD">
      <w:pPr>
        <w:pStyle w:val="2296"/>
        <w:ind w:firstLine="480"/>
        <w:jc w:val="both"/>
        <w:rPr>
          <w:rFonts w:ascii="Times New Roman" w:hAnsi="Times New Roman" w:cs="Times New Roman"/>
        </w:rPr>
      </w:pPr>
    </w:p>
    <w:p w14:paraId="66D13176">
      <w:pPr>
        <w:pStyle w:val="2296"/>
        <w:ind w:firstLine="480"/>
        <w:jc w:val="both"/>
        <w:rPr>
          <w:rFonts w:ascii="Times New Roman" w:hAnsi="Times New Roman" w:cs="Times New Roman"/>
        </w:rPr>
      </w:pP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19685</wp:posOffset>
            </wp:positionH>
            <wp:positionV relativeFrom="paragraph">
              <wp:posOffset>132080</wp:posOffset>
            </wp:positionV>
            <wp:extent cx="5222875" cy="844550"/>
            <wp:effectExtent l="0" t="0" r="0" b="0"/>
            <wp:wrapNone/>
            <wp:docPr id="9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22875" cy="844550"/>
                    </a:xfrm>
                    <a:prstGeom prst="rect">
                      <a:avLst/>
                    </a:prstGeom>
                    <a:noFill/>
                    <a:ln>
                      <a:noFill/>
                    </a:ln>
                  </pic:spPr>
                </pic:pic>
              </a:graphicData>
            </a:graphic>
          </wp:anchor>
        </w:drawing>
      </w:r>
    </w:p>
    <w:p w14:paraId="026356E9">
      <w:pPr>
        <w:pStyle w:val="2296"/>
        <w:ind w:firstLine="480"/>
        <w:rPr>
          <w:rFonts w:ascii="Times New Roman" w:hAnsi="Times New Roman" w:cs="Times New Roman"/>
        </w:rPr>
      </w:pPr>
    </w:p>
    <w:p w14:paraId="3809D05B">
      <w:pPr>
        <w:pStyle w:val="2296"/>
        <w:ind w:firstLine="480"/>
        <w:rPr>
          <w:rFonts w:ascii="Times New Roman" w:hAnsi="Times New Roman" w:cs="Times New Roman"/>
        </w:rPr>
      </w:pPr>
    </w:p>
    <w:p w14:paraId="6B8B173D">
      <w:pPr>
        <w:pStyle w:val="2296"/>
        <w:ind w:firstLine="480"/>
        <w:rPr>
          <w:rFonts w:ascii="Times New Roman" w:hAnsi="Times New Roman" w:cs="Times New Roman"/>
        </w:rPr>
      </w:pPr>
    </w:p>
    <w:p w14:paraId="52076A62">
      <w:pPr>
        <w:pStyle w:val="2296"/>
        <w:ind w:firstLine="480"/>
        <w:rPr>
          <w:rFonts w:ascii="Times New Roman" w:hAnsi="Times New Roman" w:cs="Times New Roman"/>
        </w:rPr>
      </w:pPr>
    </w:p>
    <w:p w14:paraId="018908BF">
      <w:pPr>
        <w:pStyle w:val="2296"/>
        <w:ind w:firstLine="480"/>
        <w:rPr>
          <w:rFonts w:ascii="Times New Roman" w:hAnsi="Times New Roman" w:cs="Times New Roman"/>
        </w:rPr>
      </w:pPr>
    </w:p>
    <w:p w14:paraId="01214462">
      <w:pPr>
        <w:pStyle w:val="2296"/>
        <w:ind w:firstLine="480"/>
        <w:rPr>
          <w:rFonts w:ascii="Times New Roman" w:hAnsi="Times New Roman" w:cs="Times New Roman"/>
        </w:rPr>
      </w:pPr>
    </w:p>
    <w:p w14:paraId="74491188">
      <w:pPr>
        <w:pStyle w:val="2296"/>
        <w:ind w:firstLine="480"/>
        <w:rPr>
          <w:rFonts w:ascii="Times New Roman" w:hAnsi="Times New Roman" w:cs="Times New Roman"/>
        </w:rPr>
      </w:pPr>
    </w:p>
    <w:p w14:paraId="32328102">
      <w:pPr>
        <w:pStyle w:val="2296"/>
        <w:ind w:firstLine="480"/>
        <w:rPr>
          <w:rFonts w:ascii="Times New Roman" w:hAnsi="Times New Roman" w:cs="Times New Roman"/>
        </w:rPr>
      </w:pPr>
    </w:p>
    <w:p w14:paraId="568BF8ED">
      <w:pPr>
        <w:pStyle w:val="2296"/>
        <w:ind w:firstLine="480"/>
        <w:rPr>
          <w:rFonts w:ascii="Times New Roman" w:hAnsi="Times New Roman" w:cs="Times New Roman"/>
        </w:rPr>
      </w:pPr>
    </w:p>
    <w:p w14:paraId="52D975B6">
      <w:pPr>
        <w:pStyle w:val="2296"/>
        <w:ind w:firstLine="480"/>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margin">
              <wp:posOffset>288925</wp:posOffset>
            </wp:positionH>
            <wp:positionV relativeFrom="paragraph">
              <wp:posOffset>193675</wp:posOffset>
            </wp:positionV>
            <wp:extent cx="4717415" cy="4494530"/>
            <wp:effectExtent l="0" t="0" r="6985" b="1270"/>
            <wp:wrapNone/>
            <wp:docPr id="90"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717415" cy="4494530"/>
                    </a:xfrm>
                    <a:prstGeom prst="rect">
                      <a:avLst/>
                    </a:prstGeom>
                    <a:noFill/>
                    <a:ln>
                      <a:noFill/>
                    </a:ln>
                  </pic:spPr>
                </pic:pic>
              </a:graphicData>
            </a:graphic>
          </wp:anchor>
        </w:drawing>
      </w:r>
    </w:p>
    <w:p w14:paraId="7B85AA3E">
      <w:pPr>
        <w:pStyle w:val="2296"/>
        <w:ind w:firstLine="480"/>
        <w:rPr>
          <w:rFonts w:ascii="Times New Roman" w:hAnsi="Times New Roman" w:cs="Times New Roman"/>
        </w:rPr>
      </w:pPr>
    </w:p>
    <w:p w14:paraId="51E118A3">
      <w:pPr>
        <w:pStyle w:val="2296"/>
        <w:ind w:firstLine="480"/>
        <w:rPr>
          <w:rFonts w:ascii="Times New Roman" w:hAnsi="Times New Roman" w:cs="Times New Roman"/>
        </w:rPr>
      </w:pPr>
    </w:p>
    <w:p w14:paraId="437B18D4">
      <w:pPr>
        <w:pStyle w:val="2296"/>
        <w:ind w:firstLine="480"/>
        <w:rPr>
          <w:rFonts w:ascii="Times New Roman" w:hAnsi="Times New Roman" w:cs="Times New Roman"/>
        </w:rPr>
      </w:pPr>
    </w:p>
    <w:p w14:paraId="64746145">
      <w:pPr>
        <w:pStyle w:val="2296"/>
        <w:ind w:firstLine="480"/>
        <w:rPr>
          <w:rFonts w:ascii="Times New Roman" w:hAnsi="Times New Roman" w:cs="Times New Roman"/>
        </w:rPr>
      </w:pPr>
    </w:p>
    <w:p w14:paraId="5FC46F41">
      <w:pPr>
        <w:pStyle w:val="2296"/>
        <w:ind w:firstLine="480"/>
        <w:rPr>
          <w:rFonts w:ascii="Times New Roman" w:hAnsi="Times New Roman" w:cs="Times New Roman"/>
        </w:rPr>
      </w:pPr>
      <w:r>
        <w:rPr>
          <w:rFonts w:ascii="Times New Roman" w:hAnsi="Times New Roman" w:cs="Times New Roman"/>
        </w:rPr>
        <w:t>图3.1-8基础桥梁施工工艺图</w:t>
      </w:r>
    </w:p>
    <w:p w14:paraId="0DECECA1">
      <w:pPr>
        <w:pStyle w:val="2296"/>
        <w:ind w:firstLine="480"/>
        <w:rPr>
          <w:rFonts w:ascii="Times New Roman" w:hAnsi="Times New Roman" w:cs="Times New Roman"/>
        </w:rPr>
      </w:pPr>
    </w:p>
    <w:p w14:paraId="553E9210">
      <w:pPr>
        <w:rPr>
          <w:rFonts w:ascii="Times New Roman" w:hAnsi="Times New Roman" w:cs="Times New Roman"/>
          <w:sz w:val="30"/>
        </w:rPr>
      </w:pPr>
      <w:bookmarkStart w:id="349" w:name="_Toc98414193"/>
      <w:bookmarkStart w:id="350" w:name="_Toc57826719"/>
      <w:bookmarkStart w:id="351" w:name="_Toc34989555"/>
      <w:bookmarkStart w:id="352" w:name="_Toc98413511"/>
      <w:bookmarkStart w:id="353" w:name="_Toc97464616"/>
    </w:p>
    <w:p w14:paraId="5C7644C8">
      <w:pPr>
        <w:rPr>
          <w:rFonts w:ascii="Times New Roman" w:hAnsi="Times New Roman" w:cs="Times New Roman"/>
          <w:sz w:val="30"/>
        </w:rPr>
      </w:pPr>
    </w:p>
    <w:p w14:paraId="403985BF">
      <w:pPr>
        <w:rPr>
          <w:rFonts w:ascii="Times New Roman" w:hAnsi="Times New Roman" w:cs="Times New Roman"/>
          <w:sz w:val="30"/>
        </w:rPr>
      </w:pPr>
    </w:p>
    <w:p w14:paraId="79CCC919">
      <w:pPr>
        <w:rPr>
          <w:rFonts w:ascii="Times New Roman" w:hAnsi="Times New Roman" w:cs="Times New Roman"/>
          <w:sz w:val="30"/>
        </w:rPr>
      </w:pPr>
    </w:p>
    <w:p w14:paraId="404BC6AF">
      <w:pPr>
        <w:rPr>
          <w:rFonts w:ascii="Times New Roman" w:hAnsi="Times New Roman" w:cs="Times New Roman"/>
          <w:sz w:val="30"/>
        </w:rPr>
      </w:pPr>
    </w:p>
    <w:p w14:paraId="3611F221">
      <w:pPr>
        <w:rPr>
          <w:rFonts w:ascii="Times New Roman" w:hAnsi="Times New Roman" w:cs="Times New Roman"/>
          <w:sz w:val="30"/>
        </w:rPr>
      </w:pPr>
    </w:p>
    <w:p w14:paraId="6982AB8F">
      <w:pPr>
        <w:rPr>
          <w:rFonts w:ascii="Times New Roman" w:hAnsi="Times New Roman" w:cs="Times New Roman"/>
          <w:sz w:val="30"/>
        </w:rPr>
      </w:pPr>
    </w:p>
    <w:p w14:paraId="54FC8967">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3.1.11施工组织、时序、建设周期</w:t>
      </w:r>
      <w:bookmarkEnd w:id="349"/>
      <w:bookmarkEnd w:id="350"/>
      <w:bookmarkEnd w:id="351"/>
      <w:bookmarkEnd w:id="352"/>
      <w:bookmarkEnd w:id="353"/>
    </w:p>
    <w:p w14:paraId="7730294E">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3.1.11.1施工组织</w:t>
      </w:r>
    </w:p>
    <w:p w14:paraId="0DAD7CF7">
      <w:pPr>
        <w:spacing w:line="360" w:lineRule="auto"/>
        <w:ind w:firstLine="480" w:firstLineChars="200"/>
        <w:rPr>
          <w:rFonts w:ascii="Times New Roman" w:hAnsi="Times New Roman" w:cs="Times New Roman"/>
        </w:rPr>
      </w:pPr>
      <w:r>
        <w:rPr>
          <w:rFonts w:ascii="Times New Roman" w:hAnsi="Times New Roman" w:cs="Times New Roman"/>
        </w:rPr>
        <w:t>施工组织按</w:t>
      </w:r>
      <w:r>
        <w:rPr>
          <w:rFonts w:hint="eastAsia" w:ascii="Times New Roman" w:hAnsi="Times New Roman" w:cs="Times New Roman"/>
        </w:rPr>
        <w:t>“</w:t>
      </w:r>
      <w:r>
        <w:rPr>
          <w:rFonts w:ascii="Times New Roman" w:hAnsi="Times New Roman" w:cs="Times New Roman"/>
        </w:rPr>
        <w:t>先难后易、先重点后一般</w:t>
      </w:r>
      <w:r>
        <w:rPr>
          <w:rFonts w:hint="eastAsia" w:ascii="Times New Roman" w:hAnsi="Times New Roman" w:cs="Times New Roman"/>
        </w:rPr>
        <w:t>”</w:t>
      </w:r>
      <w:r>
        <w:rPr>
          <w:rFonts w:ascii="Times New Roman" w:hAnsi="Times New Roman" w:cs="Times New Roman"/>
        </w:rPr>
        <w:t>的原则，先开工建设工期较长、扰动强度较大的工程；项目首先建设的是临时设施、桥梁工程，其次是一般路基路面工程、桥涵工程和交叉工程；最后完成路面铺筑、环保工程。</w:t>
      </w:r>
    </w:p>
    <w:p w14:paraId="539FCB4C">
      <w:pPr>
        <w:spacing w:line="360" w:lineRule="auto"/>
        <w:ind w:firstLine="480" w:firstLineChars="200"/>
        <w:rPr>
          <w:rFonts w:ascii="Times New Roman" w:hAnsi="Times New Roman" w:cs="Times New Roman"/>
        </w:rPr>
      </w:pPr>
      <w:r>
        <w:rPr>
          <w:rFonts w:ascii="Times New Roman" w:hAnsi="Times New Roman" w:cs="Times New Roman"/>
        </w:rPr>
        <w:t>建设过程中必须认真贯彻公路建设四项制度，即</w:t>
      </w:r>
      <w:r>
        <w:rPr>
          <w:rFonts w:hint="eastAsia" w:ascii="Times New Roman" w:hAnsi="Times New Roman" w:cs="Times New Roman"/>
        </w:rPr>
        <w:t>“</w:t>
      </w:r>
      <w:r>
        <w:rPr>
          <w:rFonts w:ascii="Times New Roman" w:hAnsi="Times New Roman" w:cs="Times New Roman"/>
        </w:rPr>
        <w:t>项目法人责任制、招标投标制、工程监理和合同管理制</w:t>
      </w:r>
      <w:r>
        <w:rPr>
          <w:rFonts w:hint="eastAsia" w:ascii="Times New Roman" w:hAnsi="Times New Roman" w:cs="Times New Roman"/>
        </w:rPr>
        <w:t>”</w:t>
      </w:r>
      <w:r>
        <w:rPr>
          <w:rFonts w:ascii="Times New Roman" w:hAnsi="Times New Roman" w:cs="Times New Roman"/>
        </w:rPr>
        <w:t>。项目实施前，应通过招、投标，选择资质等级高、信誉好、施工技术力量强的施工单位承担施工任务，工程实施中，监理单位应对每道工序认真检测，做好质量、工期、投资三大控制。项目法人对工程负责，处理好施工单位与监理单位的关系，保证工程顺利实施。</w:t>
      </w:r>
    </w:p>
    <w:p w14:paraId="34470BF6">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3.1.11.2施工建设周期</w:t>
      </w:r>
    </w:p>
    <w:p w14:paraId="24A29EAE">
      <w:pPr>
        <w:spacing w:line="360" w:lineRule="auto"/>
        <w:ind w:firstLine="480" w:firstLineChars="200"/>
        <w:jc w:val="both"/>
        <w:rPr>
          <w:rFonts w:ascii="Times New Roman" w:hAnsi="Times New Roman" w:cs="Times New Roman"/>
        </w:rPr>
      </w:pPr>
      <w:r>
        <w:rPr>
          <w:rFonts w:ascii="Times New Roman" w:hAnsi="Times New Roman" w:cs="Times New Roman"/>
        </w:rPr>
        <w:t>本项目建设单位初步拟定本项目施工工期为24个月。工程竣工后，须通过检查验收后移交给业主，投入正常营运。</w:t>
      </w:r>
    </w:p>
    <w:p w14:paraId="0DAE498A">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3.1.11.3施工工序与时序</w:t>
      </w:r>
    </w:p>
    <w:p w14:paraId="7247DBD1">
      <w:pPr>
        <w:spacing w:line="360" w:lineRule="auto"/>
        <w:ind w:firstLine="480" w:firstLineChars="200"/>
        <w:jc w:val="both"/>
        <w:rPr>
          <w:rFonts w:ascii="Times New Roman" w:hAnsi="Times New Roman" w:cs="Times New Roman"/>
        </w:rPr>
      </w:pPr>
      <w:r>
        <w:rPr>
          <w:rFonts w:ascii="Times New Roman" w:hAnsi="Times New Roman" w:cs="Times New Roman"/>
        </w:rPr>
        <w:t>公路在施工建设过程中，应根据工程的特点和工程所在地的地形地貌特征的不同，制定不同的工序和时序。充分利用施工有利季节，投入充足的人、料、机资源，精心组织、精心施工，以确保工期。同时还要采取各种防范措施，做好材料保存，尤其是要采取防冻措施确保寒冷期施工混凝土的质量。项目区生态环境脆弱，环保要求高，环境脆弱而敏感，破坏后极难恢复，需加强建设中环保措施。</w:t>
      </w:r>
    </w:p>
    <w:p w14:paraId="49C8D2F7">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3.1.11.4主要外购材料来源及</w:t>
      </w:r>
      <w:r>
        <w:rPr>
          <w:rFonts w:hint="eastAsia" w:ascii="Times New Roman" w:hAnsi="Times New Roman" w:cs="Times New Roman"/>
          <w:i w:val="0"/>
        </w:rPr>
        <w:t>运输条件</w:t>
      </w:r>
    </w:p>
    <w:p w14:paraId="38523941">
      <w:pPr>
        <w:spacing w:line="360" w:lineRule="auto"/>
        <w:ind w:firstLine="480" w:firstLineChars="200"/>
        <w:jc w:val="both"/>
        <w:rPr>
          <w:rFonts w:ascii="Times New Roman" w:hAnsi="Times New Roman" w:cs="Times New Roman"/>
        </w:rPr>
      </w:pPr>
      <w:r>
        <w:rPr>
          <w:rFonts w:ascii="Times New Roman" w:hAnsi="Times New Roman" w:cs="Times New Roman"/>
        </w:rPr>
        <w:t>a.沥青由克拉玛依市供应。</w:t>
      </w:r>
    </w:p>
    <w:p w14:paraId="456B3F31">
      <w:pPr>
        <w:spacing w:line="360" w:lineRule="auto"/>
        <w:ind w:firstLine="480" w:firstLineChars="200"/>
        <w:jc w:val="both"/>
        <w:rPr>
          <w:rFonts w:ascii="Times New Roman" w:hAnsi="Times New Roman" w:cs="Times New Roman"/>
        </w:rPr>
      </w:pPr>
      <w:r>
        <w:rPr>
          <w:rFonts w:ascii="Times New Roman" w:hAnsi="Times New Roman" w:cs="Times New Roman"/>
        </w:rPr>
        <w:t>b.</w:t>
      </w:r>
      <w:r>
        <w:rPr>
          <w:rFonts w:hint="eastAsia"/>
        </w:rPr>
        <w:t xml:space="preserve"> </w:t>
      </w:r>
      <w:r>
        <w:rPr>
          <w:rFonts w:hint="eastAsia" w:ascii="Times New Roman" w:hAnsi="Times New Roman" w:cs="Times New Roman"/>
        </w:rPr>
        <w:t>钢材、木材、水泥均可就近由喀什市购买</w:t>
      </w:r>
      <w:r>
        <w:rPr>
          <w:rFonts w:ascii="Times New Roman" w:hAnsi="Times New Roman" w:cs="Times New Roman"/>
        </w:rPr>
        <w:t>。</w:t>
      </w:r>
    </w:p>
    <w:p w14:paraId="3E6406B4">
      <w:pPr>
        <w:spacing w:line="360" w:lineRule="auto"/>
        <w:ind w:firstLine="480" w:firstLineChars="200"/>
        <w:jc w:val="both"/>
        <w:rPr>
          <w:rFonts w:ascii="Times New Roman" w:hAnsi="Times New Roman" w:cs="Times New Roman"/>
        </w:rPr>
      </w:pPr>
      <w:r>
        <w:rPr>
          <w:rFonts w:ascii="Times New Roman" w:hAnsi="Times New Roman" w:cs="Times New Roman"/>
        </w:rPr>
        <w:t>c.燃油</w:t>
      </w:r>
      <w:r>
        <w:rPr>
          <w:rFonts w:hint="eastAsia" w:ascii="Times New Roman" w:hAnsi="Times New Roman" w:cs="Times New Roman"/>
        </w:rPr>
        <w:t>可在草湖镇采购</w:t>
      </w:r>
      <w:r>
        <w:rPr>
          <w:rFonts w:ascii="Times New Roman" w:hAnsi="Times New Roman" w:cs="Times New Roman"/>
        </w:rPr>
        <w:t>。</w:t>
      </w:r>
    </w:p>
    <w:p w14:paraId="1E62014F">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本项目工程所用材料基本均可由疆内供应，均可采用公路运输方式，项目区域既有路网密集，交通运输较为便利。</w:t>
      </w:r>
      <w:r>
        <w:rPr>
          <w:rFonts w:ascii="Times New Roman" w:hAnsi="Times New Roman" w:cs="Times New Roman"/>
        </w:rPr>
        <w:t xml:space="preserve"> </w:t>
      </w:r>
    </w:p>
    <w:p w14:paraId="30D8E5FA">
      <w:pPr>
        <w:spacing w:line="360" w:lineRule="auto"/>
        <w:ind w:firstLine="480" w:firstLineChars="200"/>
        <w:jc w:val="both"/>
        <w:rPr>
          <w:rFonts w:ascii="Times New Roman" w:hAnsi="Times New Roman" w:cs="Times New Roman"/>
        </w:rPr>
      </w:pPr>
      <w:r>
        <w:rPr>
          <w:rFonts w:hint="eastAsia" w:ascii="Times New Roman" w:hAnsi="Times New Roman" w:cs="Times New Roman"/>
        </w:rPr>
        <w:t>拟建项目所处区域内有喀和铁路、</w:t>
      </w:r>
      <w:r>
        <w:rPr>
          <w:rFonts w:ascii="Times New Roman" w:hAnsi="Times New Roman" w:cs="Times New Roman"/>
        </w:rPr>
        <w:t>G3012、G315、G314、省道S214线及众多县、</w:t>
      </w:r>
      <w:r>
        <w:rPr>
          <w:rFonts w:hint="eastAsia" w:ascii="Times New Roman" w:hAnsi="Times New Roman" w:cs="Times New Roman"/>
        </w:rPr>
        <w:t>乡道路，与各料场间大多数有省道、县道或便道连接，路况较好。无便道的地区，由于地形平坦，整修便道工程造价低，料场的运输条件良好。需外购的工程材料，利用现有铁路、国、省道，运输条件十分便利，能够满足筑路材料运输的需求</w:t>
      </w:r>
      <w:r>
        <w:rPr>
          <w:rFonts w:ascii="Times New Roman" w:hAnsi="Times New Roman" w:cs="Times New Roman"/>
        </w:rPr>
        <w:t>。</w:t>
      </w:r>
    </w:p>
    <w:p w14:paraId="0BFB7D18">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3.1.11.5工程用水用电</w:t>
      </w:r>
    </w:p>
    <w:p w14:paraId="49FAA9F4">
      <w:pPr>
        <w:spacing w:line="500" w:lineRule="exact"/>
        <w:ind w:left="62" w:firstLine="480"/>
        <w:jc w:val="both"/>
        <w:rPr>
          <w:rFonts w:ascii="Times New Roman" w:hAnsi="Times New Roman" w:cs="Times New Roman"/>
        </w:rPr>
      </w:pPr>
      <w:r>
        <w:rPr>
          <w:rFonts w:hint="eastAsia" w:ascii="Times New Roman" w:hAnsi="Times New Roman" w:cs="Times New Roman"/>
          <w:bCs/>
        </w:rPr>
        <w:t>盖孜河及附近的水渠，经取水样分析满足《混凝土用水标准》</w:t>
      </w:r>
      <w:r>
        <w:rPr>
          <w:rFonts w:ascii="Times New Roman" w:hAnsi="Times New Roman" w:cs="Times New Roman"/>
          <w:bCs/>
        </w:rPr>
        <w:t>JGJ 63—2006 规范</w:t>
      </w:r>
      <w:r>
        <w:rPr>
          <w:rFonts w:hint="eastAsia" w:ascii="Times New Roman" w:hAnsi="Times New Roman" w:cs="Times New Roman"/>
          <w:bCs/>
        </w:rPr>
        <w:t>表</w:t>
      </w:r>
      <w:r>
        <w:rPr>
          <w:rFonts w:ascii="Times New Roman" w:hAnsi="Times New Roman" w:cs="Times New Roman"/>
          <w:bCs/>
        </w:rPr>
        <w:t xml:space="preserve"> 3.1.1 预应力混凝土拌合用水水质要求，且水源丰富，河流分支较多，多处可经机</w:t>
      </w:r>
      <w:r>
        <w:rPr>
          <w:rFonts w:hint="eastAsia" w:ascii="Times New Roman" w:hAnsi="Times New Roman" w:cs="Times New Roman"/>
          <w:bCs/>
        </w:rPr>
        <w:t>械抽取，用作工程及生活用水</w:t>
      </w:r>
      <w:r>
        <w:rPr>
          <w:rFonts w:ascii="Times New Roman" w:hAnsi="Times New Roman" w:cs="Times New Roman"/>
        </w:rPr>
        <w:t>。</w:t>
      </w:r>
    </w:p>
    <w:p w14:paraId="3056E43C">
      <w:pPr>
        <w:spacing w:line="360" w:lineRule="auto"/>
        <w:ind w:firstLine="480" w:firstLineChars="200"/>
        <w:jc w:val="both"/>
        <w:rPr>
          <w:rFonts w:ascii="Times New Roman" w:hAnsi="Times New Roman" w:cs="Times New Roman"/>
        </w:rPr>
      </w:pPr>
      <w:r>
        <w:rPr>
          <w:rFonts w:ascii="Times New Roman" w:hAnsi="Times New Roman" w:cs="Times New Roman"/>
        </w:rPr>
        <w:t>用电：沿线电网较发达，施工综合场站生活用电可与电力供应部门联系，沿线有输电线路通过时，与当地电力部门协调后，公路施工、生活用电可接入输电线路。</w:t>
      </w:r>
    </w:p>
    <w:p w14:paraId="107EAF89">
      <w:pPr>
        <w:pStyle w:val="4"/>
        <w:adjustRightInd w:val="0"/>
        <w:snapToGrid w:val="0"/>
        <w:spacing w:before="156" w:after="156" w:line="240" w:lineRule="auto"/>
        <w:rPr>
          <w:rFonts w:ascii="Times New Roman" w:hAnsi="Times New Roman" w:cs="Times New Roman"/>
          <w:sz w:val="30"/>
        </w:rPr>
      </w:pPr>
      <w:bookmarkStart w:id="354" w:name="_Toc98413512"/>
      <w:bookmarkStart w:id="355" w:name="_Toc57826720"/>
      <w:bookmarkStart w:id="356" w:name="_Toc34989556"/>
      <w:bookmarkStart w:id="357" w:name="_Toc98414194"/>
      <w:bookmarkStart w:id="358" w:name="_Toc97464617"/>
      <w:r>
        <w:rPr>
          <w:rFonts w:ascii="Times New Roman" w:hAnsi="Times New Roman" w:cs="Times New Roman"/>
          <w:sz w:val="30"/>
        </w:rPr>
        <w:t>3.1.12总投资及环保投资</w:t>
      </w:r>
      <w:bookmarkEnd w:id="354"/>
      <w:bookmarkEnd w:id="355"/>
      <w:bookmarkEnd w:id="356"/>
      <w:bookmarkEnd w:id="357"/>
      <w:bookmarkEnd w:id="358"/>
    </w:p>
    <w:p w14:paraId="6720D729">
      <w:pPr>
        <w:spacing w:line="360" w:lineRule="auto"/>
        <w:ind w:firstLine="480" w:firstLineChars="200"/>
        <w:jc w:val="both"/>
        <w:rPr>
          <w:rFonts w:ascii="Times New Roman" w:hAnsi="Times New Roman" w:cs="Times New Roman"/>
        </w:rPr>
      </w:pPr>
      <w:bookmarkStart w:id="359" w:name="_Toc4507846"/>
      <w:r>
        <w:rPr>
          <w:rFonts w:ascii="Times New Roman" w:hAnsi="Times New Roman" w:cs="Times New Roman"/>
        </w:rPr>
        <w:t>本项目推荐方案33.453km（实际建设里程32.658Km），</w:t>
      </w:r>
      <w:r>
        <w:rPr>
          <w:rFonts w:ascii="Times New Roman" w:hAnsi="Times New Roman" w:cs="Times New Roman"/>
          <w:snapToGrid w:val="0"/>
          <w:lang w:val="zh-CN"/>
        </w:rPr>
        <w:t>本工程总投资为</w:t>
      </w:r>
      <w:r>
        <w:rPr>
          <w:rFonts w:ascii="Times New Roman" w:hAnsi="Times New Roman" w:cs="Times New Roman"/>
        </w:rPr>
        <w:t>69945.5019</w:t>
      </w:r>
      <w:r>
        <w:rPr>
          <w:rFonts w:ascii="Times New Roman" w:hAnsi="Times New Roman" w:cs="Times New Roman"/>
          <w:snapToGrid w:val="0"/>
          <w:lang w:val="zh-CN"/>
        </w:rPr>
        <w:t>万元，</w:t>
      </w:r>
      <w:r>
        <w:rPr>
          <w:rFonts w:hint="eastAsia" w:ascii="Times New Roman" w:hAnsi="Times New Roman" w:cs="Times New Roman"/>
          <w:snapToGrid w:val="0"/>
          <w:lang w:val="zh-CN"/>
        </w:rPr>
        <w:t>其中</w:t>
      </w:r>
      <w:r>
        <w:rPr>
          <w:rFonts w:ascii="Times New Roman" w:hAnsi="Times New Roman" w:cs="Times New Roman"/>
          <w:snapToGrid w:val="0"/>
          <w:lang w:val="zh-CN"/>
        </w:rPr>
        <w:t>环保投资273.4万元，占工程全部投资的0.39%。</w:t>
      </w:r>
    </w:p>
    <w:p w14:paraId="71EB292B">
      <w:pPr>
        <w:pStyle w:val="3"/>
        <w:adjustRightInd w:val="0"/>
        <w:snapToGrid w:val="0"/>
        <w:spacing w:before="156" w:after="156" w:line="240" w:lineRule="auto"/>
        <w:rPr>
          <w:rFonts w:ascii="Times New Roman" w:hAnsi="Times New Roman" w:cs="Times New Roman"/>
        </w:rPr>
      </w:pPr>
      <w:bookmarkStart w:id="360" w:name="_Toc98413513"/>
      <w:bookmarkStart w:id="361" w:name="_Toc187675417"/>
      <w:r>
        <w:rPr>
          <w:rFonts w:ascii="Times New Roman" w:hAnsi="Times New Roman" w:cs="Times New Roman"/>
        </w:rPr>
        <w:t>3.2工程分析</w:t>
      </w:r>
      <w:bookmarkEnd w:id="359"/>
      <w:bookmarkEnd w:id="360"/>
      <w:bookmarkEnd w:id="361"/>
    </w:p>
    <w:p w14:paraId="65973853">
      <w:pPr>
        <w:pStyle w:val="4"/>
        <w:adjustRightInd w:val="0"/>
        <w:snapToGrid w:val="0"/>
        <w:spacing w:before="156" w:after="156" w:line="240" w:lineRule="auto"/>
        <w:rPr>
          <w:rFonts w:ascii="Times New Roman" w:hAnsi="Times New Roman" w:cs="Times New Roman"/>
          <w:sz w:val="30"/>
        </w:rPr>
      </w:pPr>
      <w:bookmarkStart w:id="362" w:name="_Toc98413517"/>
      <w:bookmarkStart w:id="363" w:name="_Toc4507847"/>
      <w:r>
        <w:rPr>
          <w:rFonts w:ascii="Times New Roman" w:hAnsi="Times New Roman" w:cs="Times New Roman"/>
          <w:sz w:val="30"/>
        </w:rPr>
        <w:t>3.2.1环境影响因素分析</w:t>
      </w:r>
    </w:p>
    <w:p w14:paraId="7558C2F5">
      <w:pPr>
        <w:spacing w:line="360" w:lineRule="auto"/>
        <w:ind w:firstLine="480" w:firstLineChars="200"/>
        <w:jc w:val="both"/>
        <w:rPr>
          <w:rFonts w:ascii="Times New Roman" w:hAnsi="Times New Roman" w:cs="Times New Roman"/>
          <w:sz w:val="23"/>
          <w:szCs w:val="23"/>
        </w:rPr>
      </w:pPr>
      <w:r>
        <w:rPr>
          <w:rFonts w:ascii="Times New Roman" w:hAnsi="Times New Roman" w:cs="Times New Roman"/>
        </w:rPr>
        <w:t>公路工程对沿线环境影响的程度和范围与工程建设各个阶段的实际进展密切相关，不同的工程行为对各环境要素的影响也不尽相同，就本工程项目而言，环境影响阶段可分为工期和营运期两个阶段。</w:t>
      </w:r>
    </w:p>
    <w:p w14:paraId="693C260A">
      <w:pPr>
        <w:pStyle w:val="5"/>
        <w:snapToGrid w:val="0"/>
        <w:spacing w:before="156" w:after="156" w:line="240" w:lineRule="auto"/>
        <w:rPr>
          <w:rFonts w:ascii="Times New Roman" w:hAnsi="Times New Roman" w:cs="Times New Roman"/>
          <w:i w:val="0"/>
        </w:rPr>
      </w:pPr>
      <w:bookmarkStart w:id="364" w:name="_Toc34989559"/>
      <w:bookmarkStart w:id="365" w:name="_Toc57826724"/>
      <w:bookmarkStart w:id="366" w:name="_Toc97464620"/>
      <w:bookmarkStart w:id="367" w:name="_Toc98413515"/>
      <w:bookmarkStart w:id="368" w:name="_Toc98414197"/>
      <w:r>
        <w:rPr>
          <w:rFonts w:ascii="Times New Roman" w:hAnsi="Times New Roman" w:cs="Times New Roman"/>
          <w:i w:val="0"/>
        </w:rPr>
        <w:t>3.2.1.1施工期</w:t>
      </w:r>
      <w:bookmarkEnd w:id="364"/>
      <w:bookmarkEnd w:id="365"/>
      <w:bookmarkEnd w:id="366"/>
      <w:bookmarkEnd w:id="367"/>
      <w:bookmarkEnd w:id="368"/>
      <w:r>
        <w:rPr>
          <w:rFonts w:ascii="Times New Roman" w:hAnsi="Times New Roman" w:cs="Times New Roman"/>
          <w:i w:val="0"/>
        </w:rPr>
        <w:t>环境影响分析</w:t>
      </w:r>
    </w:p>
    <w:p w14:paraId="438C4358">
      <w:pPr>
        <w:spacing w:line="360" w:lineRule="auto"/>
        <w:ind w:firstLine="480" w:firstLineChars="200"/>
        <w:jc w:val="both"/>
        <w:rPr>
          <w:rFonts w:ascii="Times New Roman" w:hAnsi="Times New Roman" w:cs="Times New Roman"/>
        </w:rPr>
      </w:pPr>
      <w:r>
        <w:rPr>
          <w:rFonts w:ascii="Times New Roman" w:hAnsi="Times New Roman" w:cs="Times New Roman"/>
        </w:rPr>
        <w:t>根据本项目的特点、沿线的环境状况，项目施工期环境影响分析见表3.2-1。</w:t>
      </w:r>
    </w:p>
    <w:p w14:paraId="77006E84">
      <w:pPr>
        <w:jc w:val="center"/>
        <w:rPr>
          <w:rFonts w:ascii="黑体" w:hAnsi="黑体" w:eastAsia="黑体" w:cs="Times New Roman"/>
          <w:szCs w:val="21"/>
        </w:rPr>
      </w:pPr>
      <w:r>
        <w:rPr>
          <w:rFonts w:ascii="黑体" w:hAnsi="黑体" w:eastAsia="黑体" w:cs="Times New Roman"/>
          <w:szCs w:val="21"/>
        </w:rPr>
        <w:t>表3.2-1    施工期环境影响分析一览表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455"/>
        <w:gridCol w:w="1003"/>
        <w:gridCol w:w="5054"/>
      </w:tblGrid>
      <w:tr w14:paraId="6FE5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596" w:type="pct"/>
            <w:shd w:val="clear" w:color="auto" w:fill="auto"/>
            <w:vAlign w:val="center"/>
          </w:tcPr>
          <w:p w14:paraId="669CBF34">
            <w:pPr>
              <w:jc w:val="center"/>
              <w:rPr>
                <w:rFonts w:ascii="Times New Roman" w:hAnsi="Times New Roman" w:cs="Times New Roman"/>
                <w:sz w:val="21"/>
                <w:szCs w:val="21"/>
              </w:rPr>
            </w:pPr>
            <w:r>
              <w:rPr>
                <w:rFonts w:ascii="Times New Roman" w:hAnsi="Times New Roman" w:cs="Times New Roman"/>
                <w:sz w:val="21"/>
                <w:szCs w:val="21"/>
              </w:rPr>
              <w:t>环境要素</w:t>
            </w:r>
          </w:p>
        </w:tc>
        <w:tc>
          <w:tcPr>
            <w:tcW w:w="853" w:type="pct"/>
            <w:shd w:val="clear" w:color="auto" w:fill="auto"/>
            <w:vAlign w:val="center"/>
          </w:tcPr>
          <w:p w14:paraId="26601478">
            <w:pPr>
              <w:jc w:val="center"/>
              <w:rPr>
                <w:rFonts w:ascii="Times New Roman" w:hAnsi="Times New Roman" w:cs="Times New Roman"/>
                <w:sz w:val="21"/>
                <w:szCs w:val="21"/>
              </w:rPr>
            </w:pPr>
            <w:r>
              <w:rPr>
                <w:rFonts w:ascii="Times New Roman" w:hAnsi="Times New Roman" w:cs="Times New Roman"/>
                <w:sz w:val="21"/>
                <w:szCs w:val="21"/>
              </w:rPr>
              <w:t>工程内容</w:t>
            </w:r>
          </w:p>
        </w:tc>
        <w:tc>
          <w:tcPr>
            <w:tcW w:w="588" w:type="pct"/>
            <w:shd w:val="clear" w:color="auto" w:fill="auto"/>
            <w:vAlign w:val="center"/>
          </w:tcPr>
          <w:p w14:paraId="4EFE0C9F">
            <w:pPr>
              <w:jc w:val="center"/>
              <w:rPr>
                <w:rFonts w:ascii="Times New Roman" w:hAnsi="Times New Roman" w:cs="Times New Roman"/>
                <w:sz w:val="21"/>
                <w:szCs w:val="21"/>
              </w:rPr>
            </w:pPr>
            <w:r>
              <w:rPr>
                <w:rFonts w:ascii="Times New Roman" w:hAnsi="Times New Roman" w:cs="Times New Roman"/>
                <w:sz w:val="21"/>
                <w:szCs w:val="21"/>
              </w:rPr>
              <w:t>影响性质</w:t>
            </w:r>
          </w:p>
        </w:tc>
        <w:tc>
          <w:tcPr>
            <w:tcW w:w="2964" w:type="pct"/>
            <w:shd w:val="clear" w:color="auto" w:fill="auto"/>
            <w:vAlign w:val="center"/>
          </w:tcPr>
          <w:p w14:paraId="0336FF1D">
            <w:pPr>
              <w:jc w:val="center"/>
              <w:rPr>
                <w:rFonts w:ascii="Times New Roman" w:hAnsi="Times New Roman" w:cs="Times New Roman"/>
                <w:sz w:val="21"/>
                <w:szCs w:val="21"/>
              </w:rPr>
            </w:pPr>
            <w:r>
              <w:rPr>
                <w:rFonts w:ascii="Times New Roman" w:hAnsi="Times New Roman" w:cs="Times New Roman"/>
                <w:sz w:val="21"/>
                <w:szCs w:val="21"/>
              </w:rPr>
              <w:t>环境影响</w:t>
            </w:r>
            <w:r>
              <w:rPr>
                <w:rFonts w:hint="eastAsia" w:ascii="Times New Roman" w:hAnsi="Times New Roman" w:cs="Times New Roman"/>
                <w:sz w:val="21"/>
                <w:szCs w:val="21"/>
              </w:rPr>
              <w:t>分析</w:t>
            </w:r>
          </w:p>
        </w:tc>
      </w:tr>
      <w:tr w14:paraId="0E2D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596" w:type="pct"/>
            <w:vMerge w:val="restart"/>
            <w:shd w:val="clear" w:color="auto" w:fill="auto"/>
            <w:vAlign w:val="center"/>
          </w:tcPr>
          <w:p w14:paraId="5B85E019">
            <w:pPr>
              <w:jc w:val="both"/>
              <w:rPr>
                <w:rFonts w:ascii="Times New Roman" w:hAnsi="Times New Roman" w:cs="Times New Roman"/>
                <w:sz w:val="21"/>
                <w:szCs w:val="21"/>
              </w:rPr>
            </w:pPr>
            <w:r>
              <w:rPr>
                <w:rFonts w:ascii="Times New Roman" w:hAnsi="Times New Roman" w:cs="Times New Roman"/>
                <w:sz w:val="21"/>
                <w:szCs w:val="21"/>
              </w:rPr>
              <w:t>声环境</w:t>
            </w:r>
          </w:p>
        </w:tc>
        <w:tc>
          <w:tcPr>
            <w:tcW w:w="853" w:type="pct"/>
            <w:shd w:val="clear" w:color="auto" w:fill="auto"/>
            <w:vAlign w:val="center"/>
          </w:tcPr>
          <w:p w14:paraId="39F2F639">
            <w:pPr>
              <w:jc w:val="both"/>
              <w:rPr>
                <w:rFonts w:ascii="Times New Roman" w:hAnsi="Times New Roman" w:cs="Times New Roman"/>
                <w:sz w:val="21"/>
                <w:szCs w:val="21"/>
              </w:rPr>
            </w:pPr>
            <w:r>
              <w:rPr>
                <w:rFonts w:ascii="Times New Roman" w:hAnsi="Times New Roman" w:cs="Times New Roman"/>
                <w:sz w:val="21"/>
                <w:szCs w:val="21"/>
              </w:rPr>
              <w:t>施工机械</w:t>
            </w:r>
          </w:p>
        </w:tc>
        <w:tc>
          <w:tcPr>
            <w:tcW w:w="588" w:type="pct"/>
            <w:vMerge w:val="restart"/>
            <w:shd w:val="clear" w:color="auto" w:fill="auto"/>
            <w:vAlign w:val="center"/>
          </w:tcPr>
          <w:p w14:paraId="38DCCC10">
            <w:pPr>
              <w:jc w:val="both"/>
              <w:rPr>
                <w:rFonts w:ascii="Times New Roman" w:hAnsi="Times New Roman" w:cs="Times New Roman"/>
                <w:sz w:val="21"/>
                <w:szCs w:val="21"/>
              </w:rPr>
            </w:pPr>
            <w:r>
              <w:rPr>
                <w:rFonts w:ascii="Times New Roman" w:hAnsi="Times New Roman" w:cs="Times New Roman"/>
                <w:sz w:val="21"/>
                <w:szCs w:val="21"/>
              </w:rPr>
              <w:t>短期</w:t>
            </w:r>
            <w:r>
              <w:rPr>
                <w:rFonts w:hint="eastAsia" w:ascii="Times New Roman" w:hAnsi="Times New Roman" w:cs="Times New Roman"/>
                <w:sz w:val="21"/>
                <w:szCs w:val="21"/>
              </w:rPr>
              <w:t>、</w:t>
            </w:r>
            <w:r>
              <w:rPr>
                <w:rFonts w:ascii="Times New Roman" w:hAnsi="Times New Roman" w:cs="Times New Roman"/>
                <w:sz w:val="21"/>
                <w:szCs w:val="21"/>
              </w:rPr>
              <w:t>可逆</w:t>
            </w:r>
            <w:r>
              <w:rPr>
                <w:rFonts w:hint="eastAsia" w:ascii="Times New Roman" w:hAnsi="Times New Roman" w:cs="Times New Roman"/>
                <w:sz w:val="21"/>
                <w:szCs w:val="21"/>
              </w:rPr>
              <w:t>、</w:t>
            </w:r>
            <w:r>
              <w:rPr>
                <w:rFonts w:ascii="Times New Roman" w:hAnsi="Times New Roman" w:cs="Times New Roman"/>
                <w:sz w:val="21"/>
                <w:szCs w:val="21"/>
              </w:rPr>
              <w:t>不利</w:t>
            </w:r>
          </w:p>
        </w:tc>
        <w:tc>
          <w:tcPr>
            <w:tcW w:w="2964" w:type="pct"/>
            <w:vMerge w:val="restart"/>
            <w:shd w:val="clear" w:color="auto" w:fill="auto"/>
            <w:vAlign w:val="center"/>
          </w:tcPr>
          <w:p w14:paraId="098D561C">
            <w:pPr>
              <w:jc w:val="both"/>
              <w:rPr>
                <w:rFonts w:ascii="Times New Roman" w:hAnsi="Times New Roman" w:cs="Times New Roman"/>
                <w:sz w:val="21"/>
                <w:szCs w:val="21"/>
              </w:rPr>
            </w:pPr>
            <w:r>
              <w:rPr>
                <w:rFonts w:ascii="Times New Roman" w:hAnsi="Times New Roman" w:cs="Times New Roman"/>
                <w:sz w:val="21"/>
                <w:szCs w:val="21"/>
              </w:rPr>
              <w:t>不同施工阶段施工车辆或施工机械噪声对沿线声环境的影响。</w:t>
            </w:r>
          </w:p>
        </w:tc>
      </w:tr>
      <w:tr w14:paraId="6F68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96" w:type="pct"/>
            <w:vMerge w:val="continue"/>
            <w:shd w:val="clear" w:color="auto" w:fill="auto"/>
            <w:vAlign w:val="center"/>
          </w:tcPr>
          <w:p w14:paraId="76BA3215">
            <w:pPr>
              <w:jc w:val="both"/>
              <w:rPr>
                <w:rFonts w:ascii="Times New Roman" w:hAnsi="Times New Roman" w:cs="Times New Roman"/>
                <w:sz w:val="21"/>
                <w:szCs w:val="21"/>
              </w:rPr>
            </w:pPr>
          </w:p>
        </w:tc>
        <w:tc>
          <w:tcPr>
            <w:tcW w:w="853" w:type="pct"/>
            <w:shd w:val="clear" w:color="auto" w:fill="auto"/>
            <w:vAlign w:val="center"/>
          </w:tcPr>
          <w:p w14:paraId="60204EDB">
            <w:pPr>
              <w:jc w:val="both"/>
              <w:rPr>
                <w:rFonts w:ascii="Times New Roman" w:hAnsi="Times New Roman" w:cs="Times New Roman"/>
                <w:sz w:val="21"/>
                <w:szCs w:val="21"/>
              </w:rPr>
            </w:pPr>
            <w:r>
              <w:rPr>
                <w:rFonts w:ascii="Times New Roman" w:hAnsi="Times New Roman" w:cs="Times New Roman"/>
                <w:sz w:val="21"/>
                <w:szCs w:val="21"/>
              </w:rPr>
              <w:t>运输车辆</w:t>
            </w:r>
          </w:p>
        </w:tc>
        <w:tc>
          <w:tcPr>
            <w:tcW w:w="588" w:type="pct"/>
            <w:vMerge w:val="continue"/>
            <w:shd w:val="clear" w:color="auto" w:fill="auto"/>
            <w:vAlign w:val="center"/>
          </w:tcPr>
          <w:p w14:paraId="527E11E2">
            <w:pPr>
              <w:jc w:val="both"/>
              <w:rPr>
                <w:rFonts w:ascii="Times New Roman" w:hAnsi="Times New Roman" w:cs="Times New Roman"/>
                <w:sz w:val="21"/>
                <w:szCs w:val="21"/>
              </w:rPr>
            </w:pPr>
          </w:p>
        </w:tc>
        <w:tc>
          <w:tcPr>
            <w:tcW w:w="2964" w:type="pct"/>
            <w:vMerge w:val="continue"/>
            <w:shd w:val="clear" w:color="auto" w:fill="auto"/>
            <w:vAlign w:val="center"/>
          </w:tcPr>
          <w:p w14:paraId="4980DB46">
            <w:pPr>
              <w:jc w:val="both"/>
              <w:rPr>
                <w:rFonts w:ascii="Times New Roman" w:hAnsi="Times New Roman" w:cs="Times New Roman"/>
                <w:sz w:val="21"/>
                <w:szCs w:val="21"/>
              </w:rPr>
            </w:pPr>
          </w:p>
        </w:tc>
      </w:tr>
      <w:tr w14:paraId="0B2D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596" w:type="pct"/>
            <w:vMerge w:val="restart"/>
            <w:shd w:val="clear" w:color="auto" w:fill="auto"/>
            <w:vAlign w:val="center"/>
          </w:tcPr>
          <w:p w14:paraId="2861DF34">
            <w:pPr>
              <w:jc w:val="both"/>
              <w:rPr>
                <w:rFonts w:ascii="Times New Roman" w:hAnsi="Times New Roman" w:cs="Times New Roman"/>
                <w:sz w:val="21"/>
                <w:szCs w:val="21"/>
              </w:rPr>
            </w:pPr>
            <w:r>
              <w:rPr>
                <w:rFonts w:ascii="Times New Roman" w:hAnsi="Times New Roman" w:cs="Times New Roman"/>
                <w:sz w:val="21"/>
                <w:szCs w:val="21"/>
              </w:rPr>
              <w:t>环境空气</w:t>
            </w:r>
          </w:p>
        </w:tc>
        <w:tc>
          <w:tcPr>
            <w:tcW w:w="853" w:type="pct"/>
            <w:shd w:val="clear" w:color="auto" w:fill="auto"/>
            <w:vAlign w:val="center"/>
          </w:tcPr>
          <w:p w14:paraId="4DBC9226">
            <w:pPr>
              <w:jc w:val="both"/>
              <w:rPr>
                <w:rFonts w:ascii="Times New Roman" w:hAnsi="Times New Roman" w:cs="Times New Roman"/>
                <w:sz w:val="21"/>
                <w:szCs w:val="21"/>
              </w:rPr>
            </w:pPr>
            <w:r>
              <w:rPr>
                <w:rFonts w:ascii="Times New Roman" w:hAnsi="Times New Roman" w:cs="Times New Roman"/>
                <w:sz w:val="21"/>
                <w:szCs w:val="21"/>
              </w:rPr>
              <w:t>扬尘</w:t>
            </w:r>
          </w:p>
        </w:tc>
        <w:tc>
          <w:tcPr>
            <w:tcW w:w="588" w:type="pct"/>
            <w:vMerge w:val="restart"/>
            <w:shd w:val="clear" w:color="auto" w:fill="auto"/>
            <w:vAlign w:val="center"/>
          </w:tcPr>
          <w:p w14:paraId="563FA7DA">
            <w:pPr>
              <w:jc w:val="both"/>
              <w:rPr>
                <w:rFonts w:ascii="Times New Roman" w:hAnsi="Times New Roman" w:cs="Times New Roman"/>
                <w:sz w:val="21"/>
                <w:szCs w:val="21"/>
              </w:rPr>
            </w:pPr>
            <w:r>
              <w:rPr>
                <w:rFonts w:ascii="Times New Roman" w:hAnsi="Times New Roman" w:cs="Times New Roman"/>
                <w:sz w:val="21"/>
                <w:szCs w:val="21"/>
              </w:rPr>
              <w:t>短期</w:t>
            </w:r>
            <w:r>
              <w:rPr>
                <w:rFonts w:hint="eastAsia" w:ascii="Times New Roman" w:hAnsi="Times New Roman" w:cs="Times New Roman"/>
                <w:sz w:val="21"/>
                <w:szCs w:val="21"/>
              </w:rPr>
              <w:t>、</w:t>
            </w:r>
            <w:r>
              <w:rPr>
                <w:rFonts w:ascii="Times New Roman" w:hAnsi="Times New Roman" w:cs="Times New Roman"/>
                <w:sz w:val="21"/>
                <w:szCs w:val="21"/>
              </w:rPr>
              <w:t>可逆</w:t>
            </w:r>
            <w:r>
              <w:rPr>
                <w:rFonts w:hint="eastAsia" w:ascii="Times New Roman" w:hAnsi="Times New Roman" w:cs="Times New Roman"/>
                <w:sz w:val="21"/>
                <w:szCs w:val="21"/>
              </w:rPr>
              <w:t>、</w:t>
            </w:r>
            <w:r>
              <w:rPr>
                <w:rFonts w:ascii="Times New Roman" w:hAnsi="Times New Roman" w:cs="Times New Roman"/>
                <w:sz w:val="21"/>
                <w:szCs w:val="21"/>
              </w:rPr>
              <w:t>不利</w:t>
            </w:r>
          </w:p>
        </w:tc>
        <w:tc>
          <w:tcPr>
            <w:tcW w:w="2964" w:type="pct"/>
            <w:vMerge w:val="restart"/>
            <w:shd w:val="clear" w:color="auto" w:fill="auto"/>
            <w:vAlign w:val="center"/>
          </w:tcPr>
          <w:p w14:paraId="63172D2F">
            <w:pPr>
              <w:jc w:val="both"/>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1 \* GB3 </w:instrText>
            </w:r>
            <w:r>
              <w:rPr>
                <w:rFonts w:ascii="Times New Roman" w:hAnsi="Times New Roman" w:cs="Times New Roman"/>
                <w:sz w:val="21"/>
                <w:szCs w:val="21"/>
              </w:rPr>
              <w:fldChar w:fldCharType="separate"/>
            </w:r>
            <w:r>
              <w:rPr>
                <w:rFonts w:hint="eastAsia" w:ascii="Times New Roman" w:hAnsi="Times New Roman" w:cs="Times New Roman"/>
                <w:sz w:val="21"/>
                <w:szCs w:val="21"/>
              </w:rPr>
              <w:t>①</w:t>
            </w:r>
            <w:r>
              <w:rPr>
                <w:rFonts w:ascii="Times New Roman" w:hAnsi="Times New Roman" w:cs="Times New Roman"/>
                <w:sz w:val="21"/>
                <w:szCs w:val="21"/>
              </w:rPr>
              <w:fldChar w:fldCharType="end"/>
            </w:r>
            <w:r>
              <w:rPr>
                <w:rFonts w:ascii="Times New Roman" w:hAnsi="Times New Roman" w:cs="Times New Roman"/>
                <w:sz w:val="21"/>
                <w:szCs w:val="21"/>
              </w:rPr>
              <w:t>筑路材料运输、拌和过程及物料堆放期间可能产生大量扬尘散逸到周围大气中；</w:t>
            </w:r>
            <w:r>
              <w:rPr>
                <w:rFonts w:hint="eastAsia" w:ascii="Times New Roman" w:hAnsi="Times New Roman" w:cs="Times New Roman"/>
                <w:sz w:val="21"/>
                <w:szCs w:val="21"/>
              </w:rPr>
              <w:t>②</w:t>
            </w:r>
            <w:r>
              <w:rPr>
                <w:rFonts w:ascii="Times New Roman" w:hAnsi="Times New Roman" w:cs="Times New Roman"/>
                <w:sz w:val="21"/>
                <w:szCs w:val="21"/>
              </w:rPr>
              <w:t>施工运输车辆在施工便道上行驶导致的扬尘；</w:t>
            </w:r>
            <w:r>
              <w:rPr>
                <w:rFonts w:hint="eastAsia" w:ascii="Times New Roman" w:hAnsi="Times New Roman" w:cs="Times New Roman"/>
                <w:sz w:val="21"/>
                <w:szCs w:val="21"/>
              </w:rPr>
              <w:t>③</w:t>
            </w:r>
            <w:r>
              <w:rPr>
                <w:rFonts w:ascii="Times New Roman" w:hAnsi="Times New Roman" w:cs="Times New Roman"/>
                <w:sz w:val="21"/>
                <w:szCs w:val="21"/>
              </w:rPr>
              <w:t>沥青铺设过程中产生沥青烟气；</w:t>
            </w:r>
            <w:r>
              <w:rPr>
                <w:rFonts w:hint="eastAsia" w:ascii="Times New Roman" w:hAnsi="Times New Roman" w:cs="Times New Roman"/>
                <w:sz w:val="21"/>
                <w:szCs w:val="21"/>
              </w:rPr>
              <w:t>④</w:t>
            </w:r>
            <w:r>
              <w:rPr>
                <w:rFonts w:ascii="Times New Roman" w:hAnsi="Times New Roman" w:cs="Times New Roman"/>
                <w:sz w:val="21"/>
                <w:szCs w:val="21"/>
              </w:rPr>
              <w:t>施工机械、载重车辆燃烧柴油排放的废气。</w:t>
            </w:r>
          </w:p>
        </w:tc>
      </w:tr>
      <w:tr w14:paraId="0BB6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596" w:type="pct"/>
            <w:vMerge w:val="continue"/>
            <w:shd w:val="clear" w:color="auto" w:fill="auto"/>
            <w:vAlign w:val="center"/>
          </w:tcPr>
          <w:p w14:paraId="66C33118">
            <w:pPr>
              <w:jc w:val="both"/>
              <w:rPr>
                <w:rFonts w:ascii="Times New Roman" w:hAnsi="Times New Roman" w:cs="Times New Roman"/>
                <w:sz w:val="21"/>
                <w:szCs w:val="21"/>
              </w:rPr>
            </w:pPr>
          </w:p>
        </w:tc>
        <w:tc>
          <w:tcPr>
            <w:tcW w:w="853" w:type="pct"/>
            <w:shd w:val="clear" w:color="auto" w:fill="auto"/>
            <w:vAlign w:val="center"/>
          </w:tcPr>
          <w:p w14:paraId="693F4C12">
            <w:pPr>
              <w:jc w:val="both"/>
              <w:rPr>
                <w:rFonts w:ascii="Times New Roman" w:hAnsi="Times New Roman" w:cs="Times New Roman"/>
                <w:sz w:val="21"/>
                <w:szCs w:val="21"/>
              </w:rPr>
            </w:pPr>
            <w:r>
              <w:rPr>
                <w:rFonts w:ascii="Times New Roman" w:hAnsi="Times New Roman" w:cs="Times New Roman"/>
                <w:sz w:val="21"/>
                <w:szCs w:val="21"/>
              </w:rPr>
              <w:t>沥青烟气</w:t>
            </w:r>
          </w:p>
        </w:tc>
        <w:tc>
          <w:tcPr>
            <w:tcW w:w="588" w:type="pct"/>
            <w:vMerge w:val="continue"/>
            <w:shd w:val="clear" w:color="auto" w:fill="auto"/>
            <w:vAlign w:val="center"/>
          </w:tcPr>
          <w:p w14:paraId="3C562D06">
            <w:pPr>
              <w:jc w:val="both"/>
              <w:rPr>
                <w:rFonts w:ascii="Times New Roman" w:hAnsi="Times New Roman" w:cs="Times New Roman"/>
                <w:sz w:val="21"/>
                <w:szCs w:val="21"/>
              </w:rPr>
            </w:pPr>
          </w:p>
        </w:tc>
        <w:tc>
          <w:tcPr>
            <w:tcW w:w="2964" w:type="pct"/>
            <w:vMerge w:val="continue"/>
            <w:shd w:val="clear" w:color="auto" w:fill="auto"/>
            <w:vAlign w:val="center"/>
          </w:tcPr>
          <w:p w14:paraId="510A1AE4">
            <w:pPr>
              <w:jc w:val="both"/>
              <w:rPr>
                <w:rFonts w:ascii="Times New Roman" w:hAnsi="Times New Roman" w:cs="Times New Roman"/>
                <w:sz w:val="21"/>
                <w:szCs w:val="21"/>
              </w:rPr>
            </w:pPr>
          </w:p>
        </w:tc>
      </w:tr>
      <w:tr w14:paraId="390C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96" w:type="pct"/>
            <w:vMerge w:val="continue"/>
            <w:shd w:val="clear" w:color="auto" w:fill="auto"/>
            <w:vAlign w:val="center"/>
          </w:tcPr>
          <w:p w14:paraId="73D63A10">
            <w:pPr>
              <w:jc w:val="both"/>
              <w:rPr>
                <w:rFonts w:ascii="Times New Roman" w:hAnsi="Times New Roman" w:cs="Times New Roman"/>
                <w:sz w:val="21"/>
                <w:szCs w:val="21"/>
              </w:rPr>
            </w:pPr>
          </w:p>
        </w:tc>
        <w:tc>
          <w:tcPr>
            <w:tcW w:w="853" w:type="pct"/>
            <w:shd w:val="clear" w:color="auto" w:fill="auto"/>
            <w:vAlign w:val="center"/>
          </w:tcPr>
          <w:p w14:paraId="7C7E75C3">
            <w:pPr>
              <w:jc w:val="both"/>
              <w:rPr>
                <w:rFonts w:ascii="Times New Roman" w:hAnsi="Times New Roman" w:cs="Times New Roman"/>
                <w:sz w:val="21"/>
                <w:szCs w:val="21"/>
              </w:rPr>
            </w:pPr>
            <w:r>
              <w:rPr>
                <w:rFonts w:ascii="Times New Roman" w:hAnsi="Times New Roman" w:cs="Times New Roman"/>
                <w:sz w:val="21"/>
                <w:szCs w:val="21"/>
              </w:rPr>
              <w:t>汽车尾气</w:t>
            </w:r>
          </w:p>
        </w:tc>
        <w:tc>
          <w:tcPr>
            <w:tcW w:w="588" w:type="pct"/>
            <w:vMerge w:val="continue"/>
            <w:shd w:val="clear" w:color="auto" w:fill="auto"/>
            <w:vAlign w:val="center"/>
          </w:tcPr>
          <w:p w14:paraId="1A78C715">
            <w:pPr>
              <w:jc w:val="both"/>
              <w:rPr>
                <w:rFonts w:ascii="Times New Roman" w:hAnsi="Times New Roman" w:cs="Times New Roman"/>
                <w:sz w:val="21"/>
                <w:szCs w:val="21"/>
              </w:rPr>
            </w:pPr>
          </w:p>
        </w:tc>
        <w:tc>
          <w:tcPr>
            <w:tcW w:w="2964" w:type="pct"/>
            <w:vMerge w:val="continue"/>
            <w:shd w:val="clear" w:color="auto" w:fill="auto"/>
            <w:vAlign w:val="center"/>
          </w:tcPr>
          <w:p w14:paraId="267A333E">
            <w:pPr>
              <w:jc w:val="both"/>
              <w:rPr>
                <w:rFonts w:ascii="Times New Roman" w:hAnsi="Times New Roman" w:cs="Times New Roman"/>
                <w:sz w:val="21"/>
                <w:szCs w:val="21"/>
              </w:rPr>
            </w:pPr>
          </w:p>
        </w:tc>
      </w:tr>
      <w:tr w14:paraId="0F7D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596" w:type="pct"/>
            <w:vMerge w:val="restart"/>
            <w:shd w:val="clear" w:color="auto" w:fill="auto"/>
            <w:vAlign w:val="center"/>
          </w:tcPr>
          <w:p w14:paraId="331762FD">
            <w:pPr>
              <w:jc w:val="both"/>
              <w:rPr>
                <w:rFonts w:ascii="Times New Roman" w:hAnsi="Times New Roman" w:cs="Times New Roman"/>
                <w:sz w:val="21"/>
                <w:szCs w:val="21"/>
              </w:rPr>
            </w:pPr>
            <w:r>
              <w:rPr>
                <w:rFonts w:ascii="Times New Roman" w:hAnsi="Times New Roman" w:cs="Times New Roman"/>
                <w:sz w:val="21"/>
                <w:szCs w:val="21"/>
              </w:rPr>
              <w:t>固体废物</w:t>
            </w:r>
          </w:p>
        </w:tc>
        <w:tc>
          <w:tcPr>
            <w:tcW w:w="853" w:type="pct"/>
            <w:shd w:val="clear" w:color="auto" w:fill="auto"/>
            <w:vAlign w:val="center"/>
          </w:tcPr>
          <w:p w14:paraId="233D5117">
            <w:pPr>
              <w:jc w:val="both"/>
              <w:rPr>
                <w:rFonts w:ascii="Times New Roman" w:hAnsi="Times New Roman" w:cs="Times New Roman"/>
                <w:sz w:val="21"/>
                <w:szCs w:val="21"/>
              </w:rPr>
            </w:pPr>
            <w:r>
              <w:rPr>
                <w:rFonts w:ascii="Times New Roman" w:hAnsi="Times New Roman" w:cs="Times New Roman"/>
                <w:sz w:val="21"/>
                <w:szCs w:val="21"/>
              </w:rPr>
              <w:t>施工废渣</w:t>
            </w:r>
          </w:p>
        </w:tc>
        <w:tc>
          <w:tcPr>
            <w:tcW w:w="588" w:type="pct"/>
            <w:vMerge w:val="restart"/>
            <w:shd w:val="clear" w:color="auto" w:fill="auto"/>
            <w:vAlign w:val="center"/>
          </w:tcPr>
          <w:p w14:paraId="025C9648">
            <w:pPr>
              <w:jc w:val="both"/>
              <w:rPr>
                <w:rFonts w:ascii="Times New Roman" w:hAnsi="Times New Roman" w:cs="Times New Roman"/>
                <w:sz w:val="21"/>
                <w:szCs w:val="21"/>
              </w:rPr>
            </w:pPr>
            <w:r>
              <w:rPr>
                <w:rFonts w:ascii="Times New Roman" w:hAnsi="Times New Roman" w:cs="Times New Roman"/>
                <w:sz w:val="21"/>
                <w:szCs w:val="21"/>
              </w:rPr>
              <w:t>短期</w:t>
            </w:r>
            <w:r>
              <w:rPr>
                <w:rFonts w:hint="eastAsia" w:ascii="Times New Roman" w:hAnsi="Times New Roman" w:cs="Times New Roman"/>
                <w:sz w:val="21"/>
                <w:szCs w:val="21"/>
              </w:rPr>
              <w:t>、</w:t>
            </w:r>
            <w:r>
              <w:rPr>
                <w:rFonts w:ascii="Times New Roman" w:hAnsi="Times New Roman" w:cs="Times New Roman"/>
                <w:sz w:val="21"/>
                <w:szCs w:val="21"/>
              </w:rPr>
              <w:t>可逆</w:t>
            </w:r>
            <w:r>
              <w:rPr>
                <w:rFonts w:hint="eastAsia" w:ascii="Times New Roman" w:hAnsi="Times New Roman" w:cs="Times New Roman"/>
                <w:sz w:val="21"/>
                <w:szCs w:val="21"/>
              </w:rPr>
              <w:t>、</w:t>
            </w:r>
            <w:r>
              <w:rPr>
                <w:rFonts w:ascii="Times New Roman" w:hAnsi="Times New Roman" w:cs="Times New Roman"/>
                <w:sz w:val="21"/>
                <w:szCs w:val="21"/>
              </w:rPr>
              <w:t>不利</w:t>
            </w:r>
          </w:p>
        </w:tc>
        <w:tc>
          <w:tcPr>
            <w:tcW w:w="2964" w:type="pct"/>
            <w:shd w:val="clear" w:color="auto" w:fill="auto"/>
            <w:vAlign w:val="center"/>
          </w:tcPr>
          <w:p w14:paraId="34FE011A">
            <w:pPr>
              <w:jc w:val="both"/>
              <w:rPr>
                <w:rFonts w:ascii="Times New Roman" w:hAnsi="Times New Roman" w:cs="Times New Roman"/>
                <w:sz w:val="21"/>
                <w:szCs w:val="21"/>
              </w:rPr>
            </w:pPr>
            <w:r>
              <w:rPr>
                <w:rFonts w:ascii="Times New Roman" w:hAnsi="Times New Roman" w:cs="Times New Roman"/>
                <w:sz w:val="21"/>
                <w:szCs w:val="21"/>
              </w:rPr>
              <w:t>施工过程产生的废弃土石方。</w:t>
            </w:r>
          </w:p>
        </w:tc>
      </w:tr>
      <w:tr w14:paraId="140B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trPr>
        <w:tc>
          <w:tcPr>
            <w:tcW w:w="596" w:type="pct"/>
            <w:vMerge w:val="continue"/>
            <w:shd w:val="clear" w:color="auto" w:fill="auto"/>
            <w:vAlign w:val="center"/>
          </w:tcPr>
          <w:p w14:paraId="4DF80217">
            <w:pPr>
              <w:jc w:val="both"/>
              <w:rPr>
                <w:rFonts w:ascii="Times New Roman" w:hAnsi="Times New Roman" w:cs="Times New Roman"/>
                <w:sz w:val="21"/>
                <w:szCs w:val="21"/>
              </w:rPr>
            </w:pPr>
          </w:p>
        </w:tc>
        <w:tc>
          <w:tcPr>
            <w:tcW w:w="853" w:type="pct"/>
            <w:shd w:val="clear" w:color="auto" w:fill="auto"/>
            <w:vAlign w:val="center"/>
          </w:tcPr>
          <w:p w14:paraId="3E750CDD">
            <w:pPr>
              <w:jc w:val="both"/>
              <w:rPr>
                <w:rFonts w:ascii="Times New Roman" w:hAnsi="Times New Roman" w:cs="Times New Roman"/>
                <w:sz w:val="21"/>
                <w:szCs w:val="21"/>
              </w:rPr>
            </w:pPr>
            <w:r>
              <w:rPr>
                <w:rFonts w:ascii="Times New Roman" w:hAnsi="Times New Roman" w:cs="Times New Roman"/>
                <w:sz w:val="21"/>
                <w:szCs w:val="21"/>
              </w:rPr>
              <w:t>生活垃圾</w:t>
            </w:r>
          </w:p>
        </w:tc>
        <w:tc>
          <w:tcPr>
            <w:tcW w:w="588" w:type="pct"/>
            <w:vMerge w:val="continue"/>
            <w:shd w:val="clear" w:color="auto" w:fill="auto"/>
            <w:vAlign w:val="center"/>
          </w:tcPr>
          <w:p w14:paraId="2B7B5254">
            <w:pPr>
              <w:jc w:val="both"/>
              <w:rPr>
                <w:rFonts w:ascii="Times New Roman" w:hAnsi="Times New Roman" w:cs="Times New Roman"/>
                <w:sz w:val="21"/>
                <w:szCs w:val="21"/>
              </w:rPr>
            </w:pPr>
          </w:p>
        </w:tc>
        <w:tc>
          <w:tcPr>
            <w:tcW w:w="2964" w:type="pct"/>
            <w:shd w:val="clear" w:color="auto" w:fill="auto"/>
            <w:vAlign w:val="center"/>
          </w:tcPr>
          <w:p w14:paraId="35122467">
            <w:pPr>
              <w:jc w:val="both"/>
              <w:rPr>
                <w:rFonts w:ascii="Times New Roman" w:hAnsi="Times New Roman" w:cs="Times New Roman"/>
                <w:sz w:val="21"/>
                <w:szCs w:val="21"/>
              </w:rPr>
            </w:pPr>
            <w:r>
              <w:rPr>
                <w:rFonts w:ascii="Times New Roman" w:hAnsi="Times New Roman" w:cs="Times New Roman"/>
                <w:sz w:val="21"/>
                <w:szCs w:val="21"/>
              </w:rPr>
              <w:t>综合场站生活区产生生活垃圾等固体废物。</w:t>
            </w:r>
          </w:p>
        </w:tc>
      </w:tr>
      <w:tr w14:paraId="208B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596" w:type="pct"/>
            <w:vMerge w:val="continue"/>
            <w:shd w:val="clear" w:color="auto" w:fill="auto"/>
            <w:vAlign w:val="center"/>
          </w:tcPr>
          <w:p w14:paraId="10875B5D">
            <w:pPr>
              <w:jc w:val="both"/>
              <w:rPr>
                <w:rFonts w:ascii="Times New Roman" w:hAnsi="Times New Roman" w:cs="Times New Roman"/>
                <w:sz w:val="21"/>
                <w:szCs w:val="21"/>
              </w:rPr>
            </w:pPr>
          </w:p>
        </w:tc>
        <w:tc>
          <w:tcPr>
            <w:tcW w:w="853" w:type="pct"/>
            <w:shd w:val="clear" w:color="auto" w:fill="auto"/>
            <w:vAlign w:val="center"/>
          </w:tcPr>
          <w:p w14:paraId="33C8ABF8">
            <w:pPr>
              <w:jc w:val="both"/>
              <w:rPr>
                <w:rFonts w:ascii="Times New Roman" w:hAnsi="Times New Roman" w:cs="Times New Roman"/>
                <w:sz w:val="21"/>
                <w:szCs w:val="21"/>
              </w:rPr>
            </w:pPr>
            <w:r>
              <w:rPr>
                <w:rFonts w:ascii="Times New Roman" w:hAnsi="Times New Roman" w:cs="Times New Roman"/>
                <w:sz w:val="21"/>
                <w:szCs w:val="21"/>
              </w:rPr>
              <w:t>沥青拌合站烟气净化设施</w:t>
            </w:r>
          </w:p>
        </w:tc>
        <w:tc>
          <w:tcPr>
            <w:tcW w:w="588" w:type="pct"/>
            <w:vMerge w:val="continue"/>
            <w:shd w:val="clear" w:color="auto" w:fill="auto"/>
            <w:vAlign w:val="center"/>
          </w:tcPr>
          <w:p w14:paraId="347A10E0">
            <w:pPr>
              <w:jc w:val="both"/>
              <w:rPr>
                <w:rFonts w:ascii="Times New Roman" w:hAnsi="Times New Roman" w:cs="Times New Roman"/>
                <w:sz w:val="21"/>
                <w:szCs w:val="21"/>
              </w:rPr>
            </w:pPr>
          </w:p>
        </w:tc>
        <w:tc>
          <w:tcPr>
            <w:tcW w:w="2964" w:type="pct"/>
            <w:shd w:val="clear" w:color="auto" w:fill="auto"/>
            <w:vAlign w:val="center"/>
          </w:tcPr>
          <w:p w14:paraId="49E63BAA">
            <w:pPr>
              <w:jc w:val="both"/>
              <w:rPr>
                <w:rFonts w:ascii="Times New Roman" w:hAnsi="Times New Roman" w:cs="Times New Roman"/>
                <w:sz w:val="21"/>
                <w:szCs w:val="21"/>
              </w:rPr>
            </w:pPr>
            <w:r>
              <w:rPr>
                <w:rFonts w:ascii="Times New Roman" w:hAnsi="Times New Roman" w:cs="Times New Roman"/>
                <w:sz w:val="21"/>
                <w:szCs w:val="21"/>
              </w:rPr>
              <w:t>沥青拌合站烟气净化设施中的废活性炭。</w:t>
            </w:r>
          </w:p>
        </w:tc>
      </w:tr>
      <w:tr w14:paraId="7B18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96" w:type="pct"/>
            <w:vMerge w:val="restart"/>
            <w:shd w:val="clear" w:color="auto" w:fill="auto"/>
            <w:vAlign w:val="center"/>
          </w:tcPr>
          <w:p w14:paraId="2C002167">
            <w:pPr>
              <w:jc w:val="both"/>
              <w:rPr>
                <w:rFonts w:ascii="Times New Roman" w:hAnsi="Times New Roman" w:cs="Times New Roman"/>
                <w:sz w:val="21"/>
                <w:szCs w:val="21"/>
              </w:rPr>
            </w:pPr>
            <w:r>
              <w:rPr>
                <w:rFonts w:ascii="Times New Roman" w:hAnsi="Times New Roman" w:cs="Times New Roman"/>
                <w:sz w:val="21"/>
                <w:szCs w:val="21"/>
              </w:rPr>
              <w:t>水环境</w:t>
            </w:r>
          </w:p>
        </w:tc>
        <w:tc>
          <w:tcPr>
            <w:tcW w:w="853" w:type="pct"/>
            <w:shd w:val="clear" w:color="auto" w:fill="auto"/>
            <w:vAlign w:val="center"/>
          </w:tcPr>
          <w:p w14:paraId="1C0E3CE5">
            <w:pPr>
              <w:jc w:val="both"/>
              <w:rPr>
                <w:rFonts w:ascii="Times New Roman" w:hAnsi="Times New Roman" w:cs="Times New Roman"/>
                <w:sz w:val="21"/>
                <w:szCs w:val="21"/>
              </w:rPr>
            </w:pPr>
            <w:r>
              <w:rPr>
                <w:rFonts w:hint="eastAsia" w:ascii="Times New Roman" w:hAnsi="Times New Roman" w:cs="Times New Roman"/>
                <w:sz w:val="21"/>
                <w:szCs w:val="21"/>
              </w:rPr>
              <w:t>路基、路面施工</w:t>
            </w:r>
          </w:p>
        </w:tc>
        <w:tc>
          <w:tcPr>
            <w:tcW w:w="588" w:type="pct"/>
            <w:vMerge w:val="restart"/>
            <w:shd w:val="clear" w:color="auto" w:fill="auto"/>
            <w:vAlign w:val="center"/>
          </w:tcPr>
          <w:p w14:paraId="6942D3D0">
            <w:pPr>
              <w:jc w:val="both"/>
              <w:rPr>
                <w:rFonts w:ascii="Times New Roman" w:hAnsi="Times New Roman" w:cs="Times New Roman"/>
                <w:sz w:val="21"/>
                <w:szCs w:val="21"/>
              </w:rPr>
            </w:pPr>
            <w:r>
              <w:rPr>
                <w:rFonts w:ascii="Times New Roman" w:hAnsi="Times New Roman" w:cs="Times New Roman"/>
                <w:sz w:val="21"/>
                <w:szCs w:val="21"/>
              </w:rPr>
              <w:t>短期</w:t>
            </w:r>
            <w:r>
              <w:rPr>
                <w:rFonts w:hint="eastAsia" w:ascii="Times New Roman" w:hAnsi="Times New Roman" w:cs="Times New Roman"/>
                <w:sz w:val="21"/>
                <w:szCs w:val="21"/>
              </w:rPr>
              <w:t>、</w:t>
            </w:r>
            <w:r>
              <w:rPr>
                <w:rFonts w:ascii="Times New Roman" w:hAnsi="Times New Roman" w:cs="Times New Roman"/>
                <w:sz w:val="21"/>
                <w:szCs w:val="21"/>
              </w:rPr>
              <w:t>可逆</w:t>
            </w:r>
            <w:r>
              <w:rPr>
                <w:rFonts w:hint="eastAsia" w:ascii="Times New Roman" w:hAnsi="Times New Roman" w:cs="Times New Roman"/>
                <w:sz w:val="21"/>
                <w:szCs w:val="21"/>
              </w:rPr>
              <w:t>、</w:t>
            </w:r>
            <w:r>
              <w:rPr>
                <w:rFonts w:ascii="Times New Roman" w:hAnsi="Times New Roman" w:cs="Times New Roman"/>
                <w:sz w:val="21"/>
                <w:szCs w:val="21"/>
              </w:rPr>
              <w:t>不利</w:t>
            </w:r>
          </w:p>
        </w:tc>
        <w:tc>
          <w:tcPr>
            <w:tcW w:w="2964" w:type="pct"/>
            <w:vMerge w:val="restart"/>
            <w:shd w:val="clear" w:color="auto" w:fill="auto"/>
            <w:vAlign w:val="center"/>
          </w:tcPr>
          <w:p w14:paraId="43C4BC5D">
            <w:pPr>
              <w:jc w:val="both"/>
              <w:rPr>
                <w:rFonts w:ascii="Times New Roman" w:hAnsi="Times New Roman" w:cs="Times New Roman"/>
                <w:sz w:val="21"/>
                <w:szCs w:val="21"/>
              </w:rPr>
            </w:pPr>
            <w:r>
              <w:rPr>
                <w:rFonts w:hint="eastAsia" w:ascii="Times New Roman" w:hAnsi="Times New Roman" w:cs="Times New Roman"/>
                <w:sz w:val="21"/>
                <w:szCs w:val="21"/>
              </w:rPr>
              <w:t>①</w:t>
            </w:r>
            <w:r>
              <w:rPr>
                <w:rFonts w:ascii="Times New Roman" w:hAnsi="Times New Roman" w:cs="Times New Roman"/>
                <w:sz w:val="21"/>
                <w:szCs w:val="21"/>
              </w:rPr>
              <w:t>施工生活污水、施工场地施工废水</w:t>
            </w:r>
            <w:r>
              <w:rPr>
                <w:rFonts w:hint="eastAsia" w:ascii="Times New Roman" w:hAnsi="Times New Roman" w:cs="Times New Roman"/>
                <w:sz w:val="21"/>
                <w:szCs w:val="21"/>
              </w:rPr>
              <w:t>；</w:t>
            </w:r>
          </w:p>
          <w:p w14:paraId="6D7B018A">
            <w:pPr>
              <w:jc w:val="both"/>
              <w:rPr>
                <w:rFonts w:ascii="Times New Roman" w:hAnsi="Times New Roman" w:cs="Times New Roman"/>
                <w:sz w:val="21"/>
                <w:szCs w:val="21"/>
              </w:rPr>
            </w:pPr>
            <w:r>
              <w:rPr>
                <w:rFonts w:hint="eastAsia"/>
                <w:sz w:val="21"/>
                <w:szCs w:val="21"/>
              </w:rPr>
              <w:t>②</w:t>
            </w:r>
            <w:r>
              <w:rPr>
                <w:rFonts w:ascii="Times New Roman" w:hAnsi="Times New Roman" w:cs="Times New Roman"/>
                <w:sz w:val="21"/>
                <w:szCs w:val="21"/>
              </w:rPr>
              <w:t>施工机械跑、冒、滴、漏的污油及露天机械受雨水冲刷后产生的油水</w:t>
            </w:r>
            <w:r>
              <w:rPr>
                <w:rFonts w:hint="eastAsia" w:ascii="Times New Roman" w:hAnsi="Times New Roman" w:cs="Times New Roman"/>
                <w:sz w:val="21"/>
                <w:szCs w:val="21"/>
              </w:rPr>
              <w:t>；</w:t>
            </w:r>
          </w:p>
          <w:p w14:paraId="22F70F75">
            <w:pPr>
              <w:jc w:val="both"/>
              <w:rPr>
                <w:rFonts w:ascii="Times New Roman" w:hAnsi="Times New Roman" w:cs="Times New Roman"/>
                <w:sz w:val="21"/>
                <w:szCs w:val="21"/>
              </w:rPr>
            </w:pPr>
            <w:r>
              <w:rPr>
                <w:rFonts w:hint="eastAsia" w:ascii="Times New Roman" w:hAnsi="Times New Roman" w:cs="Times New Roman"/>
                <w:sz w:val="21"/>
                <w:szCs w:val="21"/>
              </w:rPr>
              <w:t>③涉水桥梁建设施工工艺不当或施工管理不强，产生的施工泥渣、机械漏油、泥浆、施工物料和化学品受雨水冲刷入河等情况将影响水质。</w:t>
            </w:r>
          </w:p>
        </w:tc>
      </w:tr>
      <w:tr w14:paraId="456C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96" w:type="pct"/>
            <w:vMerge w:val="continue"/>
            <w:shd w:val="clear" w:color="auto" w:fill="auto"/>
            <w:vAlign w:val="center"/>
          </w:tcPr>
          <w:p w14:paraId="017B7121">
            <w:pPr>
              <w:jc w:val="both"/>
              <w:rPr>
                <w:rFonts w:ascii="Times New Roman" w:hAnsi="Times New Roman" w:cs="Times New Roman"/>
                <w:sz w:val="21"/>
                <w:szCs w:val="21"/>
              </w:rPr>
            </w:pPr>
          </w:p>
        </w:tc>
        <w:tc>
          <w:tcPr>
            <w:tcW w:w="853" w:type="pct"/>
            <w:shd w:val="clear" w:color="auto" w:fill="auto"/>
            <w:vAlign w:val="center"/>
          </w:tcPr>
          <w:p w14:paraId="77AFB35C">
            <w:pPr>
              <w:jc w:val="both"/>
              <w:rPr>
                <w:rFonts w:ascii="Times New Roman" w:hAnsi="Times New Roman" w:cs="Times New Roman"/>
                <w:sz w:val="21"/>
                <w:szCs w:val="21"/>
              </w:rPr>
            </w:pPr>
            <w:r>
              <w:rPr>
                <w:rFonts w:hint="eastAsia" w:ascii="Times New Roman" w:hAnsi="Times New Roman" w:cs="Times New Roman"/>
                <w:sz w:val="21"/>
                <w:szCs w:val="21"/>
              </w:rPr>
              <w:t>桥梁施工</w:t>
            </w:r>
          </w:p>
        </w:tc>
        <w:tc>
          <w:tcPr>
            <w:tcW w:w="588" w:type="pct"/>
            <w:vMerge w:val="continue"/>
            <w:shd w:val="clear" w:color="auto" w:fill="auto"/>
            <w:vAlign w:val="center"/>
          </w:tcPr>
          <w:p w14:paraId="2A80CF5A">
            <w:pPr>
              <w:jc w:val="both"/>
              <w:rPr>
                <w:rFonts w:ascii="Times New Roman" w:hAnsi="Times New Roman" w:cs="Times New Roman"/>
                <w:sz w:val="21"/>
                <w:szCs w:val="21"/>
              </w:rPr>
            </w:pPr>
          </w:p>
        </w:tc>
        <w:tc>
          <w:tcPr>
            <w:tcW w:w="2964" w:type="pct"/>
            <w:vMerge w:val="continue"/>
            <w:shd w:val="clear" w:color="auto" w:fill="auto"/>
            <w:vAlign w:val="center"/>
          </w:tcPr>
          <w:p w14:paraId="2A9F8989">
            <w:pPr>
              <w:jc w:val="both"/>
              <w:rPr>
                <w:sz w:val="21"/>
                <w:szCs w:val="21"/>
              </w:rPr>
            </w:pPr>
          </w:p>
        </w:tc>
      </w:tr>
      <w:tr w14:paraId="1553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96" w:type="pct"/>
            <w:vMerge w:val="continue"/>
            <w:shd w:val="clear" w:color="auto" w:fill="auto"/>
            <w:vAlign w:val="center"/>
          </w:tcPr>
          <w:p w14:paraId="5FD8AE70">
            <w:pPr>
              <w:jc w:val="both"/>
              <w:rPr>
                <w:rFonts w:ascii="Times New Roman" w:hAnsi="Times New Roman" w:cs="Times New Roman"/>
                <w:sz w:val="21"/>
                <w:szCs w:val="21"/>
              </w:rPr>
            </w:pPr>
          </w:p>
        </w:tc>
        <w:tc>
          <w:tcPr>
            <w:tcW w:w="853" w:type="pct"/>
            <w:shd w:val="clear" w:color="auto" w:fill="auto"/>
            <w:vAlign w:val="center"/>
          </w:tcPr>
          <w:p w14:paraId="16A8F347">
            <w:pPr>
              <w:jc w:val="both"/>
              <w:rPr>
                <w:rFonts w:ascii="Times New Roman" w:hAnsi="Times New Roman" w:cs="Times New Roman"/>
                <w:sz w:val="21"/>
                <w:szCs w:val="21"/>
              </w:rPr>
            </w:pPr>
            <w:r>
              <w:rPr>
                <w:rFonts w:hint="eastAsia" w:ascii="Times New Roman" w:hAnsi="Times New Roman" w:cs="Times New Roman"/>
                <w:sz w:val="21"/>
                <w:szCs w:val="21"/>
              </w:rPr>
              <w:t>大临场地施工</w:t>
            </w:r>
          </w:p>
        </w:tc>
        <w:tc>
          <w:tcPr>
            <w:tcW w:w="588" w:type="pct"/>
            <w:vMerge w:val="continue"/>
            <w:shd w:val="clear" w:color="auto" w:fill="auto"/>
            <w:vAlign w:val="center"/>
          </w:tcPr>
          <w:p w14:paraId="6A89B68B">
            <w:pPr>
              <w:jc w:val="both"/>
              <w:rPr>
                <w:rFonts w:ascii="Times New Roman" w:hAnsi="Times New Roman" w:cs="Times New Roman"/>
                <w:sz w:val="21"/>
                <w:szCs w:val="21"/>
              </w:rPr>
            </w:pPr>
          </w:p>
        </w:tc>
        <w:tc>
          <w:tcPr>
            <w:tcW w:w="2964" w:type="pct"/>
            <w:vMerge w:val="continue"/>
            <w:shd w:val="clear" w:color="auto" w:fill="auto"/>
            <w:vAlign w:val="center"/>
          </w:tcPr>
          <w:p w14:paraId="402CE4D6">
            <w:pPr>
              <w:jc w:val="both"/>
              <w:rPr>
                <w:sz w:val="21"/>
                <w:szCs w:val="21"/>
              </w:rPr>
            </w:pPr>
          </w:p>
        </w:tc>
      </w:tr>
      <w:tr w14:paraId="3E68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96" w:type="pct"/>
            <w:vMerge w:val="continue"/>
            <w:shd w:val="clear" w:color="auto" w:fill="auto"/>
            <w:vAlign w:val="center"/>
          </w:tcPr>
          <w:p w14:paraId="49F7BCA5">
            <w:pPr>
              <w:jc w:val="both"/>
              <w:rPr>
                <w:rFonts w:ascii="Times New Roman" w:hAnsi="Times New Roman" w:cs="Times New Roman"/>
                <w:sz w:val="21"/>
                <w:szCs w:val="21"/>
              </w:rPr>
            </w:pPr>
          </w:p>
        </w:tc>
        <w:tc>
          <w:tcPr>
            <w:tcW w:w="853" w:type="pct"/>
            <w:shd w:val="clear" w:color="auto" w:fill="auto"/>
            <w:vAlign w:val="center"/>
          </w:tcPr>
          <w:p w14:paraId="400CDB96">
            <w:pPr>
              <w:jc w:val="both"/>
              <w:rPr>
                <w:rFonts w:ascii="Times New Roman" w:hAnsi="Times New Roman" w:cs="Times New Roman"/>
                <w:sz w:val="21"/>
                <w:szCs w:val="21"/>
              </w:rPr>
            </w:pPr>
            <w:r>
              <w:rPr>
                <w:rFonts w:hint="eastAsia" w:ascii="Times New Roman" w:hAnsi="Times New Roman" w:cs="Times New Roman"/>
                <w:sz w:val="21"/>
                <w:szCs w:val="21"/>
              </w:rPr>
              <w:t>施工材料运输</w:t>
            </w:r>
          </w:p>
        </w:tc>
        <w:tc>
          <w:tcPr>
            <w:tcW w:w="588" w:type="pct"/>
            <w:vMerge w:val="continue"/>
            <w:shd w:val="clear" w:color="auto" w:fill="auto"/>
            <w:vAlign w:val="center"/>
          </w:tcPr>
          <w:p w14:paraId="4850D492">
            <w:pPr>
              <w:jc w:val="both"/>
              <w:rPr>
                <w:rFonts w:ascii="Times New Roman" w:hAnsi="Times New Roman" w:cs="Times New Roman"/>
                <w:sz w:val="21"/>
                <w:szCs w:val="21"/>
              </w:rPr>
            </w:pPr>
          </w:p>
        </w:tc>
        <w:tc>
          <w:tcPr>
            <w:tcW w:w="2964" w:type="pct"/>
            <w:vMerge w:val="continue"/>
            <w:shd w:val="clear" w:color="auto" w:fill="auto"/>
            <w:vAlign w:val="center"/>
          </w:tcPr>
          <w:p w14:paraId="5FF7BF07">
            <w:pPr>
              <w:jc w:val="both"/>
              <w:rPr>
                <w:sz w:val="21"/>
                <w:szCs w:val="21"/>
              </w:rPr>
            </w:pPr>
          </w:p>
        </w:tc>
      </w:tr>
      <w:tr w14:paraId="1DDA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exact"/>
        </w:trPr>
        <w:tc>
          <w:tcPr>
            <w:tcW w:w="596" w:type="pct"/>
            <w:shd w:val="clear" w:color="auto" w:fill="auto"/>
            <w:vAlign w:val="center"/>
          </w:tcPr>
          <w:p w14:paraId="42B15C51">
            <w:pPr>
              <w:jc w:val="both"/>
              <w:rPr>
                <w:rFonts w:ascii="Times New Roman" w:hAnsi="Times New Roman" w:cs="Times New Roman"/>
                <w:sz w:val="21"/>
                <w:szCs w:val="21"/>
              </w:rPr>
            </w:pPr>
            <w:r>
              <w:rPr>
                <w:rFonts w:ascii="Times New Roman" w:hAnsi="Times New Roman" w:cs="Times New Roman"/>
                <w:sz w:val="21"/>
                <w:szCs w:val="21"/>
              </w:rPr>
              <w:t>生态环境</w:t>
            </w:r>
          </w:p>
        </w:tc>
        <w:tc>
          <w:tcPr>
            <w:tcW w:w="853" w:type="pct"/>
            <w:shd w:val="clear" w:color="auto" w:fill="auto"/>
            <w:vAlign w:val="center"/>
          </w:tcPr>
          <w:p w14:paraId="292F5E67">
            <w:pPr>
              <w:pStyle w:val="2265"/>
              <w:kinsoku w:val="0"/>
              <w:overflowPunct w:val="0"/>
              <w:jc w:val="both"/>
              <w:rPr>
                <w:rFonts w:ascii="Times New Roman" w:hAnsi="Times New Roman" w:cs="Times New Roman"/>
                <w:sz w:val="21"/>
                <w:szCs w:val="21"/>
              </w:rPr>
            </w:pPr>
            <w:r>
              <w:rPr>
                <w:rFonts w:hint="eastAsia" w:ascii="Times New Roman" w:hAnsi="Times New Roman" w:cs="Times New Roman"/>
                <w:sz w:val="21"/>
                <w:szCs w:val="21"/>
                <w:lang w:eastAsia="zh-CN"/>
              </w:rPr>
              <w:t>施工活动、占地</w:t>
            </w:r>
          </w:p>
        </w:tc>
        <w:tc>
          <w:tcPr>
            <w:tcW w:w="588" w:type="pct"/>
            <w:shd w:val="clear" w:color="auto" w:fill="auto"/>
            <w:vAlign w:val="center"/>
          </w:tcPr>
          <w:p w14:paraId="19455A21">
            <w:pPr>
              <w:pStyle w:val="2265"/>
              <w:kinsoku w:val="0"/>
              <w:overflowPunct w:val="0"/>
              <w:ind w:left="4"/>
              <w:jc w:val="both"/>
              <w:rPr>
                <w:rFonts w:ascii="Times New Roman" w:hAnsi="Times New Roman" w:cs="Times New Roman"/>
                <w:sz w:val="21"/>
                <w:szCs w:val="21"/>
              </w:rPr>
            </w:pPr>
            <w:r>
              <w:rPr>
                <w:rFonts w:ascii="Times New Roman" w:hAnsi="Times New Roman" w:cs="Times New Roman"/>
                <w:sz w:val="21"/>
                <w:szCs w:val="21"/>
              </w:rPr>
              <w:t>长期</w:t>
            </w:r>
            <w:r>
              <w:rPr>
                <w:rFonts w:hint="eastAsia" w:ascii="Times New Roman" w:hAnsi="Times New Roman" w:cs="Times New Roman"/>
                <w:sz w:val="21"/>
                <w:szCs w:val="21"/>
                <w:lang w:eastAsia="zh-CN"/>
              </w:rPr>
              <w:t>、</w:t>
            </w:r>
            <w:r>
              <w:rPr>
                <w:rFonts w:ascii="Times New Roman" w:hAnsi="Times New Roman" w:cs="Times New Roman"/>
                <w:sz w:val="21"/>
                <w:szCs w:val="21"/>
              </w:rPr>
              <w:t>不可逆</w:t>
            </w:r>
            <w:r>
              <w:rPr>
                <w:rFonts w:hint="eastAsia" w:ascii="Times New Roman" w:hAnsi="Times New Roman" w:cs="Times New Roman"/>
                <w:sz w:val="21"/>
                <w:szCs w:val="21"/>
                <w:lang w:eastAsia="zh-CN"/>
              </w:rPr>
              <w:t>、</w:t>
            </w:r>
            <w:r>
              <w:rPr>
                <w:rFonts w:ascii="Times New Roman" w:hAnsi="Times New Roman" w:cs="Times New Roman"/>
                <w:sz w:val="21"/>
                <w:szCs w:val="21"/>
              </w:rPr>
              <w:t>不利</w:t>
            </w:r>
          </w:p>
        </w:tc>
        <w:tc>
          <w:tcPr>
            <w:tcW w:w="2964" w:type="pct"/>
            <w:shd w:val="clear" w:color="auto" w:fill="auto"/>
            <w:vAlign w:val="center"/>
          </w:tcPr>
          <w:p w14:paraId="149F6D1F">
            <w:pPr>
              <w:jc w:val="both"/>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1 \* GB3 </w:instrText>
            </w:r>
            <w:r>
              <w:rPr>
                <w:rFonts w:ascii="Times New Roman" w:hAnsi="Times New Roman" w:cs="Times New Roman"/>
                <w:sz w:val="21"/>
                <w:szCs w:val="21"/>
              </w:rPr>
              <w:fldChar w:fldCharType="separate"/>
            </w:r>
            <w:r>
              <w:rPr>
                <w:rFonts w:hint="eastAsia"/>
                <w:sz w:val="21"/>
                <w:szCs w:val="21"/>
              </w:rPr>
              <w:t>①</w:t>
            </w:r>
            <w:r>
              <w:rPr>
                <w:rFonts w:ascii="Times New Roman" w:hAnsi="Times New Roman" w:cs="Times New Roman"/>
                <w:sz w:val="21"/>
                <w:szCs w:val="21"/>
              </w:rPr>
              <w:fldChar w:fldCharType="end"/>
            </w:r>
            <w:r>
              <w:rPr>
                <w:rFonts w:ascii="Times New Roman" w:hAnsi="Times New Roman" w:cs="Times New Roman"/>
                <w:sz w:val="21"/>
                <w:szCs w:val="21"/>
              </w:rPr>
              <w:t>工程永久和临时占地</w:t>
            </w:r>
            <w:r>
              <w:rPr>
                <w:rFonts w:hint="eastAsia" w:ascii="Times New Roman" w:hAnsi="Times New Roman" w:cs="Times New Roman"/>
                <w:sz w:val="21"/>
                <w:szCs w:val="21"/>
              </w:rPr>
              <w:t>对沿线耕地、基本农田、林地的侵占影响；</w:t>
            </w:r>
          </w:p>
          <w:p w14:paraId="4329FC87">
            <w:pPr>
              <w:jc w:val="both"/>
              <w:rPr>
                <w:rFonts w:ascii="Times New Roman" w:hAnsi="Times New Roman" w:cs="Times New Roman"/>
                <w:sz w:val="21"/>
                <w:szCs w:val="21"/>
              </w:rPr>
            </w:pPr>
            <w:r>
              <w:rPr>
                <w:rFonts w:hint="eastAsia"/>
                <w:sz w:val="21"/>
                <w:szCs w:val="21"/>
              </w:rPr>
              <w:t>②</w:t>
            </w:r>
            <w:r>
              <w:rPr>
                <w:rFonts w:ascii="Times New Roman" w:hAnsi="Times New Roman" w:cs="Times New Roman"/>
                <w:sz w:val="21"/>
                <w:szCs w:val="21"/>
              </w:rPr>
              <w:t>施工活动地表开挖、建材堆放和施工人员活动可能对植被和野生动物产生影响</w:t>
            </w:r>
            <w:r>
              <w:rPr>
                <w:rFonts w:hint="eastAsia" w:ascii="Times New Roman" w:hAnsi="Times New Roman" w:cs="Times New Roman"/>
                <w:sz w:val="21"/>
                <w:szCs w:val="21"/>
              </w:rPr>
              <w:t>；</w:t>
            </w:r>
          </w:p>
          <w:p w14:paraId="3CC99EB6">
            <w:pPr>
              <w:jc w:val="both"/>
              <w:rPr>
                <w:rFonts w:ascii="Times New Roman" w:hAnsi="Times New Roman" w:cs="Times New Roman"/>
                <w:sz w:val="21"/>
                <w:szCs w:val="21"/>
              </w:rPr>
            </w:pPr>
            <w:r>
              <w:rPr>
                <w:rFonts w:hint="eastAsia" w:ascii="Times New Roman" w:hAnsi="Times New Roman" w:cs="Times New Roman"/>
                <w:sz w:val="21"/>
                <w:szCs w:val="21"/>
              </w:rPr>
              <w:t>③水土流失影响，施工过程中在开挖山体、取土、弃渣时易造成地表植被受损，将增加区域水土流失量。</w:t>
            </w:r>
          </w:p>
        </w:tc>
      </w:tr>
    </w:tbl>
    <w:p w14:paraId="608EB97D">
      <w:pPr>
        <w:pStyle w:val="5"/>
        <w:snapToGrid w:val="0"/>
        <w:spacing w:before="156" w:after="156" w:line="240" w:lineRule="auto"/>
        <w:rPr>
          <w:rFonts w:ascii="Times New Roman" w:hAnsi="Times New Roman" w:cs="Times New Roman"/>
          <w:i w:val="0"/>
        </w:rPr>
      </w:pPr>
      <w:bookmarkStart w:id="369" w:name="_Toc98414198"/>
      <w:bookmarkStart w:id="370" w:name="_Toc34989560"/>
      <w:bookmarkStart w:id="371" w:name="_Toc57826725"/>
      <w:bookmarkStart w:id="372" w:name="_Toc98413516"/>
      <w:bookmarkStart w:id="373" w:name="_Toc97464621"/>
      <w:r>
        <w:rPr>
          <w:rFonts w:ascii="Times New Roman" w:hAnsi="Times New Roman" w:cs="Times New Roman"/>
          <w:i w:val="0"/>
        </w:rPr>
        <w:t>3.2.1.2营运期</w:t>
      </w:r>
      <w:bookmarkEnd w:id="369"/>
      <w:bookmarkEnd w:id="370"/>
      <w:bookmarkEnd w:id="371"/>
      <w:bookmarkEnd w:id="372"/>
      <w:bookmarkEnd w:id="373"/>
      <w:r>
        <w:rPr>
          <w:rFonts w:ascii="Times New Roman" w:hAnsi="Times New Roman" w:cs="Times New Roman"/>
          <w:i w:val="0"/>
        </w:rPr>
        <w:t>环境影响分析</w:t>
      </w:r>
    </w:p>
    <w:p w14:paraId="5E6EDA22">
      <w:pPr>
        <w:spacing w:line="360" w:lineRule="auto"/>
        <w:ind w:firstLine="480" w:firstLineChars="200"/>
        <w:rPr>
          <w:rFonts w:ascii="Times New Roman" w:hAnsi="Times New Roman" w:cs="Times New Roman"/>
        </w:rPr>
      </w:pPr>
      <w:r>
        <w:rPr>
          <w:rFonts w:ascii="Times New Roman" w:hAnsi="Times New Roman" w:cs="Times New Roman"/>
        </w:rPr>
        <w:t>项目</w:t>
      </w:r>
      <w:r>
        <w:rPr>
          <w:rFonts w:hint="eastAsia" w:ascii="Times New Roman" w:hAnsi="Times New Roman" w:cs="Times New Roman"/>
        </w:rPr>
        <w:t>营运</w:t>
      </w:r>
      <w:r>
        <w:rPr>
          <w:rFonts w:ascii="Times New Roman" w:hAnsi="Times New Roman" w:cs="Times New Roman"/>
        </w:rPr>
        <w:t>期环境影响分析见表3.2-1。</w:t>
      </w:r>
    </w:p>
    <w:p w14:paraId="5DB32F81">
      <w:pPr>
        <w:jc w:val="center"/>
        <w:rPr>
          <w:rFonts w:ascii="黑体" w:hAnsi="黑体" w:eastAsia="黑体" w:cs="Times New Roman"/>
          <w:sz w:val="21"/>
        </w:rPr>
      </w:pPr>
      <w:r>
        <w:rPr>
          <w:rFonts w:ascii="黑体" w:hAnsi="黑体" w:eastAsia="黑体" w:cs="Times New Roman"/>
        </w:rPr>
        <w:t xml:space="preserve">表3.2-1   </w:t>
      </w:r>
      <w:r>
        <w:rPr>
          <w:rFonts w:hint="eastAsia" w:ascii="黑体" w:hAnsi="黑体" w:eastAsia="黑体" w:cs="Times New Roman"/>
        </w:rPr>
        <w:t>营运</w:t>
      </w:r>
      <w:r>
        <w:rPr>
          <w:rFonts w:ascii="黑体" w:hAnsi="黑体" w:eastAsia="黑体" w:cs="Times New Roman"/>
        </w:rPr>
        <w:t>期环境影响分析一览表</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238"/>
        <w:gridCol w:w="1530"/>
        <w:gridCol w:w="4602"/>
      </w:tblGrid>
      <w:tr w14:paraId="6967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79" w:type="pct"/>
            <w:shd w:val="clear" w:color="auto" w:fill="auto"/>
            <w:vAlign w:val="center"/>
          </w:tcPr>
          <w:p w14:paraId="3E3249F2">
            <w:pPr>
              <w:jc w:val="center"/>
              <w:rPr>
                <w:rFonts w:ascii="Times New Roman" w:hAnsi="Times New Roman" w:cs="Times New Roman"/>
                <w:sz w:val="21"/>
                <w:szCs w:val="18"/>
              </w:rPr>
            </w:pPr>
            <w:r>
              <w:rPr>
                <w:rFonts w:ascii="Times New Roman" w:hAnsi="Times New Roman" w:cs="Times New Roman"/>
                <w:sz w:val="21"/>
                <w:szCs w:val="18"/>
              </w:rPr>
              <w:t>环境要素</w:t>
            </w:r>
          </w:p>
        </w:tc>
        <w:tc>
          <w:tcPr>
            <w:tcW w:w="726" w:type="pct"/>
            <w:shd w:val="clear" w:color="auto" w:fill="auto"/>
            <w:vAlign w:val="center"/>
          </w:tcPr>
          <w:p w14:paraId="2A4B99D7">
            <w:pPr>
              <w:jc w:val="center"/>
              <w:rPr>
                <w:rFonts w:ascii="Times New Roman" w:hAnsi="Times New Roman" w:cs="Times New Roman"/>
                <w:sz w:val="21"/>
                <w:szCs w:val="18"/>
              </w:rPr>
            </w:pPr>
            <w:r>
              <w:rPr>
                <w:rFonts w:hint="eastAsia" w:ascii="Times New Roman" w:hAnsi="Times New Roman" w:cs="Times New Roman"/>
                <w:sz w:val="21"/>
                <w:szCs w:val="18"/>
              </w:rPr>
              <w:t>影响因素</w:t>
            </w:r>
          </w:p>
        </w:tc>
        <w:tc>
          <w:tcPr>
            <w:tcW w:w="897" w:type="pct"/>
            <w:shd w:val="clear" w:color="auto" w:fill="auto"/>
            <w:vAlign w:val="center"/>
          </w:tcPr>
          <w:p w14:paraId="3159872D">
            <w:pPr>
              <w:jc w:val="center"/>
              <w:rPr>
                <w:rFonts w:ascii="Times New Roman" w:hAnsi="Times New Roman" w:cs="Times New Roman"/>
                <w:sz w:val="21"/>
                <w:szCs w:val="18"/>
              </w:rPr>
            </w:pPr>
            <w:r>
              <w:rPr>
                <w:rFonts w:ascii="Times New Roman" w:hAnsi="Times New Roman" w:cs="Times New Roman"/>
                <w:sz w:val="21"/>
                <w:szCs w:val="18"/>
              </w:rPr>
              <w:t>影响性质</w:t>
            </w:r>
          </w:p>
        </w:tc>
        <w:tc>
          <w:tcPr>
            <w:tcW w:w="2698" w:type="pct"/>
            <w:shd w:val="clear" w:color="auto" w:fill="auto"/>
            <w:vAlign w:val="center"/>
          </w:tcPr>
          <w:p w14:paraId="52A39A6B">
            <w:pPr>
              <w:jc w:val="center"/>
              <w:rPr>
                <w:rFonts w:ascii="Times New Roman" w:hAnsi="Times New Roman" w:cs="Times New Roman"/>
                <w:sz w:val="21"/>
                <w:szCs w:val="18"/>
              </w:rPr>
            </w:pPr>
            <w:r>
              <w:rPr>
                <w:rFonts w:ascii="Times New Roman" w:hAnsi="Times New Roman" w:cs="Times New Roman"/>
                <w:sz w:val="21"/>
                <w:szCs w:val="18"/>
              </w:rPr>
              <w:t>环境影响</w:t>
            </w:r>
            <w:r>
              <w:rPr>
                <w:rFonts w:hint="eastAsia" w:ascii="Times New Roman" w:hAnsi="Times New Roman" w:cs="Times New Roman"/>
                <w:sz w:val="21"/>
                <w:szCs w:val="18"/>
              </w:rPr>
              <w:t>分析</w:t>
            </w:r>
          </w:p>
        </w:tc>
      </w:tr>
      <w:tr w14:paraId="79D9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679" w:type="pct"/>
            <w:shd w:val="clear" w:color="auto" w:fill="auto"/>
            <w:vAlign w:val="center"/>
          </w:tcPr>
          <w:p w14:paraId="526BB85A">
            <w:pPr>
              <w:jc w:val="center"/>
              <w:rPr>
                <w:rFonts w:ascii="Times New Roman" w:hAnsi="Times New Roman" w:cs="Times New Roman"/>
                <w:sz w:val="21"/>
                <w:szCs w:val="18"/>
              </w:rPr>
            </w:pPr>
            <w:r>
              <w:rPr>
                <w:rFonts w:ascii="Times New Roman" w:hAnsi="Times New Roman" w:cs="Times New Roman"/>
                <w:sz w:val="21"/>
                <w:szCs w:val="18"/>
              </w:rPr>
              <w:t>声环境</w:t>
            </w:r>
          </w:p>
        </w:tc>
        <w:tc>
          <w:tcPr>
            <w:tcW w:w="726" w:type="pct"/>
            <w:shd w:val="clear" w:color="auto" w:fill="auto"/>
            <w:vAlign w:val="center"/>
          </w:tcPr>
          <w:p w14:paraId="098C43D1">
            <w:pPr>
              <w:jc w:val="center"/>
              <w:rPr>
                <w:rFonts w:ascii="Times New Roman" w:hAnsi="Times New Roman" w:cs="Times New Roman"/>
                <w:sz w:val="21"/>
                <w:szCs w:val="18"/>
              </w:rPr>
            </w:pPr>
            <w:r>
              <w:rPr>
                <w:rFonts w:hint="eastAsia" w:ascii="Times New Roman" w:hAnsi="Times New Roman" w:cs="Times New Roman"/>
                <w:sz w:val="21"/>
                <w:szCs w:val="18"/>
              </w:rPr>
              <w:t>交通噪声</w:t>
            </w:r>
          </w:p>
        </w:tc>
        <w:tc>
          <w:tcPr>
            <w:tcW w:w="897" w:type="pct"/>
            <w:shd w:val="clear" w:color="auto" w:fill="auto"/>
            <w:vAlign w:val="center"/>
          </w:tcPr>
          <w:p w14:paraId="65126AB6">
            <w:pPr>
              <w:rPr>
                <w:rFonts w:ascii="Times New Roman" w:hAnsi="Times New Roman" w:cs="Times New Roman"/>
                <w:sz w:val="21"/>
                <w:szCs w:val="18"/>
              </w:rPr>
            </w:pPr>
            <w:r>
              <w:rPr>
                <w:rFonts w:ascii="Times New Roman" w:hAnsi="Times New Roman" w:cs="Times New Roman"/>
                <w:sz w:val="21"/>
                <w:szCs w:val="18"/>
              </w:rPr>
              <w:t>长期</w:t>
            </w:r>
            <w:r>
              <w:rPr>
                <w:rFonts w:hint="eastAsia" w:ascii="Times New Roman" w:hAnsi="Times New Roman" w:cs="Times New Roman"/>
                <w:sz w:val="21"/>
                <w:szCs w:val="18"/>
              </w:rPr>
              <w:t>、</w:t>
            </w:r>
            <w:r>
              <w:rPr>
                <w:rFonts w:ascii="Times New Roman" w:hAnsi="Times New Roman" w:cs="Times New Roman"/>
                <w:sz w:val="21"/>
                <w:szCs w:val="18"/>
              </w:rPr>
              <w:t>不可逆</w:t>
            </w:r>
            <w:r>
              <w:rPr>
                <w:rFonts w:hint="eastAsia" w:ascii="Times New Roman" w:hAnsi="Times New Roman" w:cs="Times New Roman"/>
                <w:sz w:val="21"/>
                <w:szCs w:val="18"/>
              </w:rPr>
              <w:t>、</w:t>
            </w:r>
            <w:r>
              <w:rPr>
                <w:rFonts w:ascii="Times New Roman" w:hAnsi="Times New Roman" w:cs="Times New Roman"/>
                <w:sz w:val="21"/>
                <w:szCs w:val="18"/>
              </w:rPr>
              <w:t>不利</w:t>
            </w:r>
          </w:p>
        </w:tc>
        <w:tc>
          <w:tcPr>
            <w:tcW w:w="2698" w:type="pct"/>
            <w:shd w:val="clear" w:color="auto" w:fill="auto"/>
            <w:vAlign w:val="center"/>
          </w:tcPr>
          <w:p w14:paraId="0E94B464">
            <w:pPr>
              <w:rPr>
                <w:rFonts w:ascii="Times New Roman" w:hAnsi="Times New Roman" w:cs="Times New Roman"/>
                <w:sz w:val="21"/>
                <w:szCs w:val="18"/>
              </w:rPr>
            </w:pPr>
            <w:r>
              <w:rPr>
                <w:rFonts w:hint="eastAsia" w:ascii="Times New Roman" w:hAnsi="Times New Roman" w:cs="Times New Roman"/>
                <w:sz w:val="21"/>
                <w:szCs w:val="18"/>
              </w:rPr>
              <w:t>由于道路通行产生的交通噪声将影响沿线一定范围内居民等，干扰正常的生产和生活。</w:t>
            </w:r>
          </w:p>
        </w:tc>
      </w:tr>
      <w:tr w14:paraId="494D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679" w:type="pct"/>
            <w:vMerge w:val="restart"/>
            <w:shd w:val="clear" w:color="auto" w:fill="auto"/>
            <w:vAlign w:val="center"/>
          </w:tcPr>
          <w:p w14:paraId="1A8E5858">
            <w:pPr>
              <w:jc w:val="center"/>
              <w:rPr>
                <w:rFonts w:ascii="Times New Roman" w:hAnsi="Times New Roman" w:cs="Times New Roman"/>
                <w:sz w:val="21"/>
                <w:szCs w:val="18"/>
              </w:rPr>
            </w:pPr>
            <w:r>
              <w:rPr>
                <w:rFonts w:ascii="Times New Roman" w:hAnsi="Times New Roman" w:cs="Times New Roman"/>
                <w:sz w:val="21"/>
                <w:szCs w:val="18"/>
              </w:rPr>
              <w:t>环境空气</w:t>
            </w:r>
          </w:p>
        </w:tc>
        <w:tc>
          <w:tcPr>
            <w:tcW w:w="726" w:type="pct"/>
            <w:shd w:val="clear" w:color="auto" w:fill="auto"/>
            <w:vAlign w:val="center"/>
          </w:tcPr>
          <w:p w14:paraId="61DFDF57">
            <w:pPr>
              <w:jc w:val="center"/>
              <w:rPr>
                <w:rFonts w:ascii="Times New Roman" w:hAnsi="Times New Roman" w:cs="Times New Roman"/>
                <w:sz w:val="21"/>
                <w:szCs w:val="18"/>
              </w:rPr>
            </w:pPr>
            <w:r>
              <w:rPr>
                <w:rFonts w:ascii="Times New Roman" w:hAnsi="Times New Roman" w:cs="Times New Roman"/>
                <w:sz w:val="21"/>
                <w:szCs w:val="18"/>
              </w:rPr>
              <w:t>汽车尾气</w:t>
            </w:r>
          </w:p>
        </w:tc>
        <w:tc>
          <w:tcPr>
            <w:tcW w:w="897" w:type="pct"/>
            <w:vMerge w:val="restart"/>
            <w:shd w:val="clear" w:color="auto" w:fill="auto"/>
            <w:vAlign w:val="center"/>
          </w:tcPr>
          <w:p w14:paraId="6487EF5C">
            <w:pPr>
              <w:rPr>
                <w:rFonts w:ascii="Times New Roman" w:hAnsi="Times New Roman" w:cs="Times New Roman"/>
                <w:sz w:val="21"/>
                <w:szCs w:val="18"/>
              </w:rPr>
            </w:pPr>
            <w:r>
              <w:rPr>
                <w:rFonts w:ascii="Times New Roman" w:hAnsi="Times New Roman" w:cs="Times New Roman"/>
                <w:sz w:val="21"/>
                <w:szCs w:val="18"/>
              </w:rPr>
              <w:t>长期</w:t>
            </w:r>
            <w:r>
              <w:rPr>
                <w:rFonts w:hint="eastAsia" w:ascii="Times New Roman" w:hAnsi="Times New Roman" w:cs="Times New Roman"/>
                <w:sz w:val="21"/>
                <w:szCs w:val="18"/>
              </w:rPr>
              <w:t>、</w:t>
            </w:r>
            <w:r>
              <w:rPr>
                <w:rFonts w:ascii="Times New Roman" w:hAnsi="Times New Roman" w:cs="Times New Roman"/>
                <w:sz w:val="21"/>
                <w:szCs w:val="18"/>
              </w:rPr>
              <w:t>不可逆</w:t>
            </w:r>
            <w:r>
              <w:rPr>
                <w:rFonts w:hint="eastAsia" w:ascii="Times New Roman" w:hAnsi="Times New Roman" w:cs="Times New Roman"/>
                <w:sz w:val="21"/>
                <w:szCs w:val="18"/>
              </w:rPr>
              <w:t>、</w:t>
            </w:r>
            <w:r>
              <w:rPr>
                <w:rFonts w:ascii="Times New Roman" w:hAnsi="Times New Roman" w:cs="Times New Roman"/>
                <w:sz w:val="21"/>
                <w:szCs w:val="18"/>
              </w:rPr>
              <w:t>不利</w:t>
            </w:r>
          </w:p>
        </w:tc>
        <w:tc>
          <w:tcPr>
            <w:tcW w:w="2698" w:type="pct"/>
            <w:vMerge w:val="restart"/>
            <w:shd w:val="clear" w:color="auto" w:fill="auto"/>
            <w:vAlign w:val="center"/>
          </w:tcPr>
          <w:p w14:paraId="4DF685B2">
            <w:pPr>
              <w:rPr>
                <w:rFonts w:ascii="Times New Roman" w:hAnsi="Times New Roman" w:cs="Times New Roman"/>
                <w:sz w:val="21"/>
                <w:szCs w:val="18"/>
              </w:rPr>
            </w:pPr>
            <w:r>
              <w:rPr>
                <w:rFonts w:hint="eastAsia" w:ascii="Times New Roman" w:hAnsi="Times New Roman" w:cs="Times New Roman"/>
                <w:sz w:val="21"/>
                <w:szCs w:val="18"/>
              </w:rPr>
              <w:t>①汽车尾气中废气的排放对沿线空气质量造成影响；</w:t>
            </w:r>
          </w:p>
          <w:p w14:paraId="0573DF60">
            <w:pPr>
              <w:rPr>
                <w:rFonts w:ascii="Times New Roman" w:hAnsi="Times New Roman" w:cs="Times New Roman"/>
                <w:sz w:val="21"/>
                <w:szCs w:val="18"/>
              </w:rPr>
            </w:pPr>
            <w:r>
              <w:rPr>
                <w:rFonts w:hint="eastAsia" w:ascii="Times New Roman" w:hAnsi="Times New Roman" w:cs="Times New Roman"/>
                <w:sz w:val="21"/>
                <w:szCs w:val="18"/>
              </w:rPr>
              <w:t>②营运车辆路面扬尘对空气质量产生影响</w:t>
            </w:r>
            <w:r>
              <w:rPr>
                <w:rFonts w:ascii="Times New Roman" w:hAnsi="Times New Roman" w:cs="Times New Roman"/>
                <w:sz w:val="21"/>
                <w:szCs w:val="18"/>
              </w:rPr>
              <w:t>。</w:t>
            </w:r>
          </w:p>
        </w:tc>
      </w:tr>
      <w:tr w14:paraId="10C3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trPr>
        <w:tc>
          <w:tcPr>
            <w:tcW w:w="679" w:type="pct"/>
            <w:vMerge w:val="continue"/>
            <w:shd w:val="clear" w:color="auto" w:fill="auto"/>
            <w:vAlign w:val="center"/>
          </w:tcPr>
          <w:p w14:paraId="2D036CAE">
            <w:pPr>
              <w:jc w:val="center"/>
              <w:rPr>
                <w:rFonts w:ascii="Times New Roman" w:hAnsi="Times New Roman" w:cs="Times New Roman"/>
                <w:sz w:val="21"/>
                <w:szCs w:val="18"/>
              </w:rPr>
            </w:pPr>
          </w:p>
        </w:tc>
        <w:tc>
          <w:tcPr>
            <w:tcW w:w="726" w:type="pct"/>
            <w:shd w:val="clear" w:color="auto" w:fill="auto"/>
            <w:vAlign w:val="center"/>
          </w:tcPr>
          <w:p w14:paraId="776D1E68">
            <w:pPr>
              <w:jc w:val="center"/>
              <w:rPr>
                <w:rFonts w:ascii="Times New Roman" w:hAnsi="Times New Roman" w:cs="Times New Roman"/>
                <w:sz w:val="21"/>
                <w:szCs w:val="18"/>
              </w:rPr>
            </w:pPr>
            <w:r>
              <w:rPr>
                <w:rFonts w:hint="eastAsia" w:ascii="Times New Roman" w:hAnsi="Times New Roman" w:cs="Times New Roman"/>
                <w:sz w:val="21"/>
                <w:szCs w:val="18"/>
              </w:rPr>
              <w:t>路面扬尘</w:t>
            </w:r>
          </w:p>
        </w:tc>
        <w:tc>
          <w:tcPr>
            <w:tcW w:w="897" w:type="pct"/>
            <w:vMerge w:val="continue"/>
            <w:shd w:val="clear" w:color="auto" w:fill="auto"/>
            <w:vAlign w:val="center"/>
          </w:tcPr>
          <w:p w14:paraId="30347BC3">
            <w:pPr>
              <w:rPr>
                <w:rFonts w:ascii="Times New Roman" w:hAnsi="Times New Roman" w:cs="Times New Roman"/>
                <w:sz w:val="21"/>
                <w:szCs w:val="18"/>
              </w:rPr>
            </w:pPr>
          </w:p>
        </w:tc>
        <w:tc>
          <w:tcPr>
            <w:tcW w:w="2698" w:type="pct"/>
            <w:vMerge w:val="continue"/>
            <w:shd w:val="clear" w:color="auto" w:fill="auto"/>
            <w:vAlign w:val="center"/>
          </w:tcPr>
          <w:p w14:paraId="687CA49B">
            <w:pPr>
              <w:rPr>
                <w:rFonts w:ascii="Times New Roman" w:hAnsi="Times New Roman" w:cs="Times New Roman"/>
                <w:sz w:val="21"/>
                <w:szCs w:val="18"/>
              </w:rPr>
            </w:pPr>
          </w:p>
        </w:tc>
      </w:tr>
      <w:tr w14:paraId="7952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79" w:type="pct"/>
            <w:shd w:val="clear" w:color="auto" w:fill="auto"/>
            <w:vAlign w:val="center"/>
          </w:tcPr>
          <w:p w14:paraId="3EDF96EA">
            <w:pPr>
              <w:jc w:val="center"/>
              <w:rPr>
                <w:rFonts w:ascii="Times New Roman" w:hAnsi="Times New Roman" w:cs="Times New Roman"/>
                <w:sz w:val="21"/>
                <w:szCs w:val="18"/>
              </w:rPr>
            </w:pPr>
            <w:r>
              <w:rPr>
                <w:rFonts w:ascii="Times New Roman" w:hAnsi="Times New Roman" w:cs="Times New Roman"/>
                <w:sz w:val="21"/>
                <w:szCs w:val="18"/>
              </w:rPr>
              <w:t>水环境</w:t>
            </w:r>
          </w:p>
        </w:tc>
        <w:tc>
          <w:tcPr>
            <w:tcW w:w="726" w:type="pct"/>
            <w:shd w:val="clear" w:color="auto" w:fill="auto"/>
            <w:vAlign w:val="center"/>
          </w:tcPr>
          <w:p w14:paraId="22AD6554">
            <w:pPr>
              <w:jc w:val="center"/>
              <w:rPr>
                <w:rFonts w:ascii="Times New Roman" w:hAnsi="Times New Roman" w:cs="Times New Roman"/>
                <w:sz w:val="21"/>
                <w:szCs w:val="18"/>
              </w:rPr>
            </w:pPr>
            <w:r>
              <w:rPr>
                <w:rFonts w:hint="eastAsia" w:ascii="Times New Roman" w:hAnsi="Times New Roman" w:cs="Times New Roman"/>
                <w:sz w:val="21"/>
                <w:szCs w:val="18"/>
              </w:rPr>
              <w:t>路面径流</w:t>
            </w:r>
          </w:p>
        </w:tc>
        <w:tc>
          <w:tcPr>
            <w:tcW w:w="897" w:type="pct"/>
            <w:shd w:val="clear" w:color="auto" w:fill="auto"/>
            <w:vAlign w:val="center"/>
          </w:tcPr>
          <w:p w14:paraId="71150494">
            <w:pPr>
              <w:rPr>
                <w:rFonts w:ascii="Times New Roman" w:hAnsi="Times New Roman" w:cs="Times New Roman"/>
                <w:sz w:val="21"/>
                <w:szCs w:val="18"/>
              </w:rPr>
            </w:pPr>
            <w:r>
              <w:rPr>
                <w:rFonts w:ascii="Times New Roman" w:hAnsi="Times New Roman" w:cs="Times New Roman"/>
                <w:sz w:val="21"/>
                <w:szCs w:val="18"/>
              </w:rPr>
              <w:t>长期</w:t>
            </w:r>
            <w:r>
              <w:rPr>
                <w:rFonts w:hint="eastAsia" w:ascii="Times New Roman" w:hAnsi="Times New Roman" w:cs="Times New Roman"/>
                <w:sz w:val="21"/>
                <w:szCs w:val="18"/>
              </w:rPr>
              <w:t>、</w:t>
            </w:r>
            <w:r>
              <w:rPr>
                <w:rFonts w:ascii="Times New Roman" w:hAnsi="Times New Roman" w:cs="Times New Roman"/>
                <w:sz w:val="21"/>
                <w:szCs w:val="18"/>
              </w:rPr>
              <w:t>不可逆</w:t>
            </w:r>
            <w:r>
              <w:rPr>
                <w:rFonts w:hint="eastAsia" w:ascii="Times New Roman" w:hAnsi="Times New Roman" w:cs="Times New Roman"/>
                <w:sz w:val="21"/>
                <w:szCs w:val="18"/>
              </w:rPr>
              <w:t>、</w:t>
            </w:r>
            <w:r>
              <w:rPr>
                <w:rFonts w:ascii="Times New Roman" w:hAnsi="Times New Roman" w:cs="Times New Roman"/>
                <w:sz w:val="21"/>
                <w:szCs w:val="18"/>
              </w:rPr>
              <w:t>不利</w:t>
            </w:r>
          </w:p>
        </w:tc>
        <w:tc>
          <w:tcPr>
            <w:tcW w:w="2698" w:type="pct"/>
            <w:shd w:val="clear" w:color="auto" w:fill="auto"/>
            <w:vAlign w:val="center"/>
          </w:tcPr>
          <w:p w14:paraId="4E5DA364">
            <w:pPr>
              <w:rPr>
                <w:rFonts w:ascii="Times New Roman" w:hAnsi="Times New Roman" w:cs="Times New Roman"/>
                <w:sz w:val="21"/>
                <w:szCs w:val="18"/>
              </w:rPr>
            </w:pPr>
            <w:r>
              <w:rPr>
                <w:rFonts w:hint="eastAsia" w:ascii="Times New Roman" w:hAnsi="Times New Roman" w:cs="Times New Roman"/>
                <w:sz w:val="21"/>
                <w:szCs w:val="18"/>
              </w:rPr>
              <w:t>降雨冲刷路面产生的道路径流污水排入河流造成水体轻微污染。</w:t>
            </w:r>
          </w:p>
        </w:tc>
      </w:tr>
      <w:tr w14:paraId="6658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679" w:type="pct"/>
            <w:shd w:val="clear" w:color="auto" w:fill="auto"/>
            <w:vAlign w:val="center"/>
          </w:tcPr>
          <w:p w14:paraId="5D346C41">
            <w:pPr>
              <w:jc w:val="center"/>
              <w:rPr>
                <w:rFonts w:ascii="Times New Roman" w:hAnsi="Times New Roman" w:cs="Times New Roman"/>
                <w:sz w:val="21"/>
                <w:szCs w:val="18"/>
              </w:rPr>
            </w:pPr>
            <w:r>
              <w:rPr>
                <w:rFonts w:hint="eastAsia" w:ascii="Times New Roman" w:hAnsi="Times New Roman" w:cs="Times New Roman"/>
                <w:sz w:val="21"/>
                <w:szCs w:val="18"/>
              </w:rPr>
              <w:t>固体废物</w:t>
            </w:r>
          </w:p>
        </w:tc>
        <w:tc>
          <w:tcPr>
            <w:tcW w:w="726" w:type="pct"/>
            <w:shd w:val="clear" w:color="auto" w:fill="auto"/>
            <w:vAlign w:val="center"/>
          </w:tcPr>
          <w:p w14:paraId="3F29ED3A">
            <w:pPr>
              <w:jc w:val="center"/>
              <w:rPr>
                <w:rFonts w:ascii="Times New Roman" w:hAnsi="Times New Roman" w:cs="Times New Roman"/>
                <w:sz w:val="21"/>
                <w:szCs w:val="18"/>
              </w:rPr>
            </w:pPr>
            <w:r>
              <w:rPr>
                <w:rFonts w:hint="eastAsia" w:ascii="Times New Roman" w:hAnsi="Times New Roman" w:cs="Times New Roman"/>
                <w:sz w:val="21"/>
                <w:szCs w:val="18"/>
              </w:rPr>
              <w:t>车辆运输、路面维护</w:t>
            </w:r>
          </w:p>
        </w:tc>
        <w:tc>
          <w:tcPr>
            <w:tcW w:w="897" w:type="pct"/>
            <w:shd w:val="clear" w:color="auto" w:fill="auto"/>
            <w:vAlign w:val="center"/>
          </w:tcPr>
          <w:p w14:paraId="467EAE53">
            <w:pPr>
              <w:rPr>
                <w:rFonts w:ascii="Times New Roman" w:hAnsi="Times New Roman" w:cs="Times New Roman"/>
                <w:sz w:val="21"/>
                <w:szCs w:val="18"/>
              </w:rPr>
            </w:pPr>
            <w:r>
              <w:rPr>
                <w:rFonts w:ascii="Times New Roman" w:hAnsi="Times New Roman" w:cs="Times New Roman"/>
                <w:sz w:val="21"/>
                <w:szCs w:val="18"/>
              </w:rPr>
              <w:t>长期</w:t>
            </w:r>
            <w:r>
              <w:rPr>
                <w:rFonts w:hint="eastAsia" w:ascii="Times New Roman" w:hAnsi="Times New Roman" w:cs="Times New Roman"/>
                <w:sz w:val="21"/>
                <w:szCs w:val="18"/>
              </w:rPr>
              <w:t>、</w:t>
            </w:r>
            <w:r>
              <w:rPr>
                <w:rFonts w:ascii="Times New Roman" w:hAnsi="Times New Roman" w:cs="Times New Roman"/>
                <w:sz w:val="21"/>
                <w:szCs w:val="18"/>
              </w:rPr>
              <w:t>不可逆</w:t>
            </w:r>
            <w:r>
              <w:rPr>
                <w:rFonts w:hint="eastAsia" w:ascii="Times New Roman" w:hAnsi="Times New Roman" w:cs="Times New Roman"/>
                <w:sz w:val="21"/>
                <w:szCs w:val="18"/>
              </w:rPr>
              <w:t>、</w:t>
            </w:r>
            <w:r>
              <w:rPr>
                <w:rFonts w:ascii="Times New Roman" w:hAnsi="Times New Roman" w:cs="Times New Roman"/>
                <w:sz w:val="21"/>
                <w:szCs w:val="18"/>
              </w:rPr>
              <w:t>不利</w:t>
            </w:r>
          </w:p>
        </w:tc>
        <w:tc>
          <w:tcPr>
            <w:tcW w:w="2698" w:type="pct"/>
            <w:shd w:val="clear" w:color="auto" w:fill="auto"/>
            <w:vAlign w:val="center"/>
          </w:tcPr>
          <w:p w14:paraId="04F28158">
            <w:pPr>
              <w:rPr>
                <w:rFonts w:ascii="Times New Roman" w:hAnsi="Times New Roman" w:cs="Times New Roman"/>
                <w:sz w:val="21"/>
                <w:szCs w:val="18"/>
              </w:rPr>
            </w:pPr>
            <w:r>
              <w:rPr>
                <w:rFonts w:hint="eastAsia" w:ascii="Times New Roman" w:hAnsi="Times New Roman" w:cs="Times New Roman"/>
                <w:sz w:val="21"/>
                <w:szCs w:val="18"/>
              </w:rPr>
              <w:t>道路养护过程中产生少量废渣及行驶货运车辆撒漏的少量物料，废渣主要为沥青废渣，产生量较小。</w:t>
            </w:r>
          </w:p>
        </w:tc>
      </w:tr>
      <w:tr w14:paraId="1206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trPr>
        <w:tc>
          <w:tcPr>
            <w:tcW w:w="679" w:type="pct"/>
            <w:shd w:val="clear" w:color="auto" w:fill="auto"/>
            <w:vAlign w:val="center"/>
          </w:tcPr>
          <w:p w14:paraId="762F0355">
            <w:pPr>
              <w:jc w:val="center"/>
              <w:rPr>
                <w:rFonts w:ascii="Times New Roman" w:hAnsi="Times New Roman" w:cs="Times New Roman"/>
                <w:sz w:val="21"/>
                <w:szCs w:val="18"/>
              </w:rPr>
            </w:pPr>
            <w:r>
              <w:rPr>
                <w:rFonts w:hint="eastAsia" w:ascii="Times New Roman" w:hAnsi="Times New Roman" w:cs="Times New Roman"/>
                <w:sz w:val="21"/>
                <w:szCs w:val="18"/>
              </w:rPr>
              <w:t>环境风险</w:t>
            </w:r>
          </w:p>
        </w:tc>
        <w:tc>
          <w:tcPr>
            <w:tcW w:w="726" w:type="pct"/>
            <w:shd w:val="clear" w:color="auto" w:fill="auto"/>
            <w:vAlign w:val="center"/>
          </w:tcPr>
          <w:p w14:paraId="049FCF37">
            <w:pPr>
              <w:pStyle w:val="2265"/>
              <w:kinsoku w:val="0"/>
              <w:overflowPunct w:val="0"/>
              <w:jc w:val="center"/>
              <w:rPr>
                <w:rFonts w:ascii="Times New Roman" w:hAnsi="Times New Roman" w:cs="Times New Roman"/>
                <w:sz w:val="21"/>
                <w:szCs w:val="18"/>
              </w:rPr>
            </w:pPr>
            <w:r>
              <w:rPr>
                <w:rFonts w:hint="eastAsia" w:ascii="Times New Roman" w:hAnsi="Times New Roman" w:cs="Times New Roman"/>
                <w:sz w:val="21"/>
                <w:szCs w:val="18"/>
              </w:rPr>
              <w:t>危险品运输</w:t>
            </w:r>
          </w:p>
        </w:tc>
        <w:tc>
          <w:tcPr>
            <w:tcW w:w="897" w:type="pct"/>
            <w:shd w:val="clear" w:color="auto" w:fill="auto"/>
            <w:vAlign w:val="center"/>
          </w:tcPr>
          <w:p w14:paraId="01DD23DC">
            <w:pPr>
              <w:pStyle w:val="2265"/>
              <w:kinsoku w:val="0"/>
              <w:overflowPunct w:val="0"/>
              <w:ind w:left="4"/>
              <w:jc w:val="both"/>
              <w:rPr>
                <w:rFonts w:ascii="Times New Roman" w:hAnsi="Times New Roman" w:cs="Times New Roman"/>
                <w:sz w:val="21"/>
                <w:szCs w:val="18"/>
              </w:rPr>
            </w:pPr>
            <w:r>
              <w:rPr>
                <w:rFonts w:ascii="Times New Roman" w:hAnsi="Times New Roman" w:cs="Times New Roman"/>
                <w:sz w:val="21"/>
                <w:szCs w:val="18"/>
              </w:rPr>
              <w:t>长期</w:t>
            </w:r>
            <w:r>
              <w:rPr>
                <w:rFonts w:hint="eastAsia" w:ascii="Times New Roman" w:hAnsi="Times New Roman" w:cs="Times New Roman"/>
                <w:sz w:val="21"/>
                <w:szCs w:val="18"/>
                <w:lang w:eastAsia="zh-CN"/>
              </w:rPr>
              <w:t>、</w:t>
            </w:r>
            <w:r>
              <w:rPr>
                <w:rFonts w:ascii="Times New Roman" w:hAnsi="Times New Roman" w:cs="Times New Roman"/>
                <w:sz w:val="21"/>
                <w:szCs w:val="18"/>
              </w:rPr>
              <w:t>不可</w:t>
            </w:r>
          </w:p>
          <w:p w14:paraId="1BB56F37">
            <w:pPr>
              <w:pStyle w:val="2265"/>
              <w:kinsoku w:val="0"/>
              <w:overflowPunct w:val="0"/>
              <w:ind w:left="4"/>
              <w:jc w:val="both"/>
              <w:rPr>
                <w:rFonts w:ascii="Times New Roman" w:hAnsi="Times New Roman" w:cs="Times New Roman"/>
                <w:sz w:val="21"/>
                <w:szCs w:val="18"/>
              </w:rPr>
            </w:pPr>
            <w:r>
              <w:rPr>
                <w:rFonts w:ascii="Times New Roman" w:hAnsi="Times New Roman" w:cs="Times New Roman"/>
                <w:sz w:val="21"/>
                <w:szCs w:val="18"/>
              </w:rPr>
              <w:t>逆</w:t>
            </w:r>
            <w:r>
              <w:rPr>
                <w:rFonts w:hint="eastAsia" w:ascii="Times New Roman" w:hAnsi="Times New Roman" w:cs="Times New Roman"/>
                <w:sz w:val="21"/>
                <w:szCs w:val="18"/>
                <w:lang w:eastAsia="zh-CN"/>
              </w:rPr>
              <w:t>、</w:t>
            </w:r>
            <w:r>
              <w:rPr>
                <w:rFonts w:ascii="Times New Roman" w:hAnsi="Times New Roman" w:cs="Times New Roman"/>
                <w:sz w:val="21"/>
                <w:szCs w:val="18"/>
              </w:rPr>
              <w:t>不利</w:t>
            </w:r>
          </w:p>
        </w:tc>
        <w:tc>
          <w:tcPr>
            <w:tcW w:w="2698" w:type="pct"/>
            <w:shd w:val="clear" w:color="auto" w:fill="auto"/>
            <w:vAlign w:val="center"/>
          </w:tcPr>
          <w:p w14:paraId="1A783E9E">
            <w:pPr>
              <w:rPr>
                <w:rFonts w:ascii="Times New Roman" w:hAnsi="Times New Roman" w:cs="Times New Roman"/>
                <w:sz w:val="21"/>
                <w:szCs w:val="18"/>
              </w:rPr>
            </w:pPr>
            <w:r>
              <w:rPr>
                <w:rFonts w:hint="eastAsia" w:ascii="Times New Roman" w:hAnsi="Times New Roman" w:cs="Times New Roman"/>
                <w:sz w:val="21"/>
                <w:szCs w:val="18"/>
              </w:rPr>
              <w:t>装载危险品的车辆因交通事故泄漏，污染水体，但事故概率很低。</w:t>
            </w:r>
          </w:p>
        </w:tc>
      </w:tr>
    </w:tbl>
    <w:p w14:paraId="2F15E290">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3.2.2施工期源强核算</w:t>
      </w:r>
      <w:bookmarkEnd w:id="362"/>
      <w:bookmarkEnd w:id="363"/>
      <w:bookmarkStart w:id="374" w:name="_Toc57826727"/>
      <w:bookmarkStart w:id="375" w:name="_Toc34989562"/>
      <w:bookmarkStart w:id="376" w:name="_Toc97464623"/>
      <w:bookmarkStart w:id="377" w:name="_Toc98414200"/>
      <w:bookmarkStart w:id="378" w:name="_Toc98413518"/>
    </w:p>
    <w:bookmarkEnd w:id="374"/>
    <w:bookmarkEnd w:id="375"/>
    <w:bookmarkEnd w:id="376"/>
    <w:bookmarkEnd w:id="377"/>
    <w:bookmarkEnd w:id="378"/>
    <w:p w14:paraId="75A18680">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3.2.2.1施工期大气污染源</w:t>
      </w:r>
    </w:p>
    <w:p w14:paraId="50B1D4AF">
      <w:pPr>
        <w:spacing w:line="360" w:lineRule="auto"/>
        <w:ind w:firstLine="480" w:firstLineChars="200"/>
        <w:jc w:val="both"/>
        <w:rPr>
          <w:rFonts w:ascii="Times New Roman" w:hAnsi="Times New Roman" w:cs="Times New Roman"/>
        </w:rPr>
      </w:pPr>
      <w:r>
        <w:rPr>
          <w:rFonts w:ascii="Times New Roman" w:hAnsi="Times New Roman" w:cs="Times New Roman"/>
        </w:rPr>
        <w:t>公路施工过程污染源主要为扬尘污染、沥青烟气污染及柴油发电机及施工机械废气等。其中，扬尘污染主要来源于筑路材料运输、装卸、堆放过程、物料拌和过程、施工运输车辆在施工便道上行驶导致的扬尘；沥青烟气主要来源于路面施工阶段的沥青的摊铺过程。施工机械、载重车辆燃烧柴油排放的废气。</w:t>
      </w:r>
    </w:p>
    <w:p w14:paraId="513924E6">
      <w:pPr>
        <w:spacing w:line="360" w:lineRule="auto"/>
        <w:ind w:firstLine="480" w:firstLineChars="200"/>
        <w:jc w:val="both"/>
        <w:rPr>
          <w:rFonts w:ascii="Times New Roman" w:hAnsi="Times New Roman" w:cs="Times New Roman"/>
        </w:rPr>
      </w:pPr>
      <w:r>
        <w:rPr>
          <w:rFonts w:ascii="Times New Roman" w:hAnsi="Times New Roman" w:cs="Times New Roman"/>
        </w:rPr>
        <w:t>（1）施工扬尘</w:t>
      </w:r>
    </w:p>
    <w:p w14:paraId="184977E7">
      <w:pPr>
        <w:spacing w:line="360" w:lineRule="auto"/>
        <w:ind w:firstLine="480" w:firstLineChars="200"/>
        <w:jc w:val="both"/>
        <w:rPr>
          <w:rFonts w:ascii="Times New Roman" w:hAnsi="Times New Roman" w:cs="Times New Roman"/>
          <w:spacing w:val="-10"/>
        </w:rPr>
      </w:pPr>
      <w:r>
        <w:rPr>
          <w:rFonts w:ascii="Times New Roman" w:hAnsi="Times New Roman" w:cs="Times New Roman"/>
        </w:rPr>
        <w:t>施工过程中开挖、填筑、砂石灰料装卸等作业将产生扬尘污染，车辆运输产生的二次扬尘污染影响时间最长、最明显。在车速、车重不变的情况下，扬尘量取决于道路表面的积尘量，积尘量越大，二次扬尘越严重。对于施工场地以及混凝土拌合站等场地的粉尘污染，经粗略估算，由于施工期暴露泥土，在离施工现场20m-50m范围内，可使大气中TSP的含量增加</w:t>
      </w:r>
      <w:r>
        <w:rPr>
          <w:rFonts w:ascii="Times New Roman" w:hAnsi="Times New Roman" w:cs="Times New Roman"/>
          <w:spacing w:val="-10"/>
        </w:rPr>
        <w:t>0.3mg/m³-0.8mg/m³。</w:t>
      </w:r>
    </w:p>
    <w:p w14:paraId="5589A56B">
      <w:pPr>
        <w:spacing w:line="360" w:lineRule="auto"/>
        <w:ind w:firstLine="480" w:firstLineChars="200"/>
        <w:jc w:val="both"/>
        <w:rPr>
          <w:rFonts w:ascii="Times New Roman" w:hAnsi="Times New Roman" w:cs="Times New Roman"/>
        </w:rPr>
      </w:pPr>
      <w:r>
        <w:rPr>
          <w:rFonts w:ascii="Times New Roman" w:hAnsi="Times New Roman" w:cs="Times New Roman"/>
        </w:rPr>
        <w:t>（2）施工期砂石、粉状材料堆放</w:t>
      </w:r>
    </w:p>
    <w:p w14:paraId="1C9BE52C">
      <w:pPr>
        <w:spacing w:line="360" w:lineRule="auto"/>
        <w:ind w:firstLine="480" w:firstLineChars="200"/>
        <w:jc w:val="both"/>
        <w:rPr>
          <w:rFonts w:ascii="Times New Roman" w:hAnsi="Times New Roman" w:cs="Times New Roman"/>
        </w:rPr>
      </w:pPr>
      <w:r>
        <w:rPr>
          <w:rFonts w:ascii="Times New Roman" w:hAnsi="Times New Roman" w:cs="Times New Roman"/>
        </w:rPr>
        <w:t>砂石料和粉状物料堆存过程中在大风天气下极易起尘，使得堆存场所下风向环境空气中悬浮颗粒物浓度增加，从而对堆存场所下风向环境空气质量造成一定的影响。根据已有资料分析，其扬尘基本上集中在下风向50m条带范围内，在大风天气下砂石料和粉状物料起尘对下风向环境空气质量的影响范围约在300m内。为减少起尘量对周边农作物、沿线居民的影响，建议定时加密洒水降尘措施。据资料介绍，通过洒水可有效地减少起尘量（达70%）。</w:t>
      </w:r>
    </w:p>
    <w:p w14:paraId="23B380A8">
      <w:pPr>
        <w:spacing w:line="360" w:lineRule="auto"/>
        <w:ind w:firstLine="480" w:firstLineChars="200"/>
        <w:jc w:val="both"/>
        <w:rPr>
          <w:rFonts w:ascii="Times New Roman" w:hAnsi="Times New Roman" w:cs="Times New Roman"/>
        </w:rPr>
      </w:pPr>
      <w:r>
        <w:rPr>
          <w:rFonts w:ascii="Times New Roman" w:hAnsi="Times New Roman" w:cs="Times New Roman"/>
        </w:rPr>
        <w:t>（3）混凝土拌合站粉尘</w:t>
      </w:r>
    </w:p>
    <w:p w14:paraId="385B854C">
      <w:pPr>
        <w:spacing w:line="360" w:lineRule="auto"/>
        <w:ind w:firstLine="480" w:firstLineChars="200"/>
        <w:jc w:val="both"/>
        <w:rPr>
          <w:rFonts w:ascii="Times New Roman" w:hAnsi="Times New Roman" w:cs="Times New Roman"/>
        </w:rPr>
      </w:pPr>
      <w:r>
        <w:rPr>
          <w:rFonts w:ascii="Times New Roman" w:hAnsi="Times New Roman" w:cs="Times New Roman"/>
        </w:rPr>
        <w:t>目前施工中一般用湿法搅拌混凝土，采用全封闭站拌方式，选用具有二次除尘含密封装置的搅拌机，可有效减小混凝土搅拌过程中的扬尘。水泥、石灰和粉煤灰等散体材料采取罐装存储，可避免风起扬尘。</w:t>
      </w:r>
    </w:p>
    <w:p w14:paraId="2A158D67">
      <w:pPr>
        <w:spacing w:line="360" w:lineRule="auto"/>
        <w:ind w:firstLine="480" w:firstLineChars="200"/>
        <w:jc w:val="both"/>
        <w:rPr>
          <w:rFonts w:ascii="Times New Roman" w:hAnsi="Times New Roman" w:cs="Times New Roman"/>
        </w:rPr>
      </w:pPr>
      <w:r>
        <w:rPr>
          <w:rFonts w:ascii="Times New Roman" w:hAnsi="Times New Roman" w:cs="Times New Roman"/>
        </w:rPr>
        <w:t>（4）沥青烟气</w:t>
      </w:r>
    </w:p>
    <w:p w14:paraId="17DE6543">
      <w:pPr>
        <w:spacing w:line="360" w:lineRule="auto"/>
        <w:ind w:firstLine="480"/>
        <w:jc w:val="both"/>
        <w:rPr>
          <w:rFonts w:ascii="Times New Roman" w:hAnsi="Times New Roman" w:cs="Times New Roman"/>
        </w:rPr>
      </w:pPr>
      <w:r>
        <w:rPr>
          <w:rFonts w:ascii="Times New Roman" w:hAnsi="Times New Roman" w:cs="Times New Roman"/>
        </w:rPr>
        <w:t>施工阶段的沥青烟气主要出现在沥青拌合过程和路面铺设中。沥青拌合站设在施工综合场站内。在沥青加热搅拌和路面铺设过程中会产生沥青烟气，主要的有毒有害物质是THC、酚和苯并芘。沥青混凝土拌合设备采用沥青烟净化设备，处理工艺为</w:t>
      </w:r>
      <w:r>
        <w:rPr>
          <w:rFonts w:hint="eastAsia" w:ascii="Times New Roman" w:hAnsi="Times New Roman" w:cs="Times New Roman"/>
        </w:rPr>
        <w:t>“</w:t>
      </w:r>
      <w:r>
        <w:rPr>
          <w:rFonts w:ascii="Times New Roman" w:hAnsi="Times New Roman" w:cs="Times New Roman"/>
        </w:rPr>
        <w:t>冷凝+活性炭吸附</w:t>
      </w:r>
      <w:r>
        <w:rPr>
          <w:rFonts w:hint="eastAsia" w:ascii="Times New Roman" w:hAnsi="Times New Roman" w:cs="Times New Roman"/>
        </w:rPr>
        <w:t>”</w:t>
      </w:r>
      <w:r>
        <w:rPr>
          <w:rFonts w:ascii="Times New Roman" w:hAnsi="Times New Roman" w:cs="Times New Roman"/>
        </w:rPr>
        <w:t>，该处理工艺运行稳定，去除效率高，能高效去除苯并芘、轻质芳烃溶剂等VOC类污染物，类比同类工艺的沥青混凝土拌合站烟气出口监测结果，沥青烟和苯并芘出口浓度可满足《大气污染物综合排放标准》（GB16297-1996）表2标准要求，从而减小污染物对周边大气环境的影响。</w:t>
      </w:r>
    </w:p>
    <w:p w14:paraId="49DF81B2">
      <w:pPr>
        <w:spacing w:line="360" w:lineRule="auto"/>
        <w:ind w:firstLine="480" w:firstLineChars="200"/>
        <w:jc w:val="both"/>
        <w:rPr>
          <w:rFonts w:ascii="Times New Roman" w:hAnsi="Times New Roman" w:cs="Times New Roman"/>
        </w:rPr>
      </w:pPr>
      <w:r>
        <w:rPr>
          <w:rFonts w:ascii="Times New Roman" w:hAnsi="Times New Roman" w:cs="Times New Roman"/>
        </w:rPr>
        <w:t>随着沥青路面摊铺施工结束，施工摊铺沥青烟气影响将不再存在，因此路面沥青烟气对环境的不利影响是暂时的和短期的。</w:t>
      </w:r>
    </w:p>
    <w:p w14:paraId="1E7F7903">
      <w:pPr>
        <w:spacing w:line="360" w:lineRule="auto"/>
        <w:ind w:firstLine="480" w:firstLineChars="200"/>
        <w:jc w:val="both"/>
        <w:rPr>
          <w:rFonts w:ascii="Times New Roman" w:hAnsi="Times New Roman" w:cs="Times New Roman"/>
        </w:rPr>
      </w:pPr>
      <w:r>
        <w:rPr>
          <w:rFonts w:ascii="Times New Roman" w:hAnsi="Times New Roman" w:cs="Times New Roman"/>
        </w:rPr>
        <w:t>（5）施工期汽车尾气</w:t>
      </w:r>
    </w:p>
    <w:p w14:paraId="1B52186C">
      <w:pPr>
        <w:spacing w:line="360" w:lineRule="auto"/>
        <w:ind w:firstLine="480" w:firstLineChars="200"/>
        <w:jc w:val="both"/>
        <w:rPr>
          <w:rFonts w:ascii="Times New Roman" w:hAnsi="Times New Roman" w:cs="Times New Roman"/>
        </w:rPr>
      </w:pPr>
      <w:r>
        <w:rPr>
          <w:rFonts w:ascii="Times New Roman" w:hAnsi="Times New Roman" w:cs="Times New Roman"/>
        </w:rPr>
        <w:t>施工机械、载重车辆的发动机一般采用柴油发动机，其排放的废气主要污染物为NO</w:t>
      </w:r>
      <w:r>
        <w:rPr>
          <w:rFonts w:ascii="Times New Roman" w:hAnsi="Times New Roman" w:cs="Times New Roman"/>
          <w:vertAlign w:val="subscript"/>
        </w:rPr>
        <w:t>X</w:t>
      </w:r>
      <w:r>
        <w:rPr>
          <w:rFonts w:ascii="Times New Roman" w:hAnsi="Times New Roman" w:cs="Times New Roman"/>
        </w:rPr>
        <w:t>、CO、THC等；污染物的发生系数如表3.2-1所示。</w:t>
      </w:r>
    </w:p>
    <w:p w14:paraId="377FA0C8">
      <w:pPr>
        <w:spacing w:before="156" w:beforeLines="50"/>
        <w:jc w:val="center"/>
        <w:rPr>
          <w:rFonts w:ascii="Times New Roman" w:hAnsi="Times New Roman" w:eastAsia="黑体" w:cs="Times New Roman"/>
          <w:color w:val="00B050"/>
        </w:rPr>
      </w:pPr>
      <w:r>
        <w:rPr>
          <w:rFonts w:ascii="Times New Roman" w:hAnsi="Times New Roman" w:eastAsia="黑体" w:cs="Times New Roman"/>
        </w:rPr>
        <w:t>表3.2-1  柴油发动机污染物排放系数</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028"/>
        <w:gridCol w:w="778"/>
        <w:gridCol w:w="730"/>
        <w:gridCol w:w="875"/>
        <w:gridCol w:w="3874"/>
      </w:tblGrid>
      <w:tr w14:paraId="3A2D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729" w:type="pct"/>
            <w:vMerge w:val="restart"/>
            <w:shd w:val="clear" w:color="auto" w:fill="auto"/>
            <w:vAlign w:val="center"/>
          </w:tcPr>
          <w:p w14:paraId="3647DF51">
            <w:pPr>
              <w:jc w:val="center"/>
              <w:rPr>
                <w:rFonts w:ascii="Times New Roman" w:hAnsi="Times New Roman" w:cs="Times New Roman"/>
                <w:sz w:val="21"/>
                <w:szCs w:val="18"/>
              </w:rPr>
            </w:pPr>
            <w:r>
              <w:rPr>
                <w:rFonts w:ascii="Times New Roman" w:hAnsi="Times New Roman" w:cs="Times New Roman"/>
                <w:sz w:val="21"/>
                <w:szCs w:val="18"/>
              </w:rPr>
              <w:t>柴油机类别</w:t>
            </w:r>
          </w:p>
        </w:tc>
        <w:tc>
          <w:tcPr>
            <w:tcW w:w="603" w:type="pct"/>
            <w:vMerge w:val="restart"/>
            <w:shd w:val="clear" w:color="auto" w:fill="auto"/>
            <w:vAlign w:val="center"/>
          </w:tcPr>
          <w:p w14:paraId="7E4EE4EA">
            <w:pPr>
              <w:jc w:val="center"/>
              <w:rPr>
                <w:rFonts w:ascii="Times New Roman" w:hAnsi="Times New Roman" w:cs="Times New Roman"/>
                <w:sz w:val="21"/>
                <w:szCs w:val="18"/>
              </w:rPr>
            </w:pPr>
            <w:r>
              <w:rPr>
                <w:rFonts w:ascii="Times New Roman" w:hAnsi="Times New Roman" w:cs="Times New Roman"/>
                <w:sz w:val="21"/>
                <w:szCs w:val="18"/>
              </w:rPr>
              <w:t>单位</w:t>
            </w:r>
          </w:p>
        </w:tc>
        <w:tc>
          <w:tcPr>
            <w:tcW w:w="1397" w:type="pct"/>
            <w:gridSpan w:val="3"/>
            <w:shd w:val="clear" w:color="auto" w:fill="auto"/>
            <w:vAlign w:val="center"/>
          </w:tcPr>
          <w:p w14:paraId="33B0D194">
            <w:pPr>
              <w:jc w:val="center"/>
              <w:rPr>
                <w:rFonts w:ascii="Times New Roman" w:hAnsi="Times New Roman" w:cs="Times New Roman"/>
                <w:sz w:val="21"/>
                <w:szCs w:val="18"/>
              </w:rPr>
            </w:pPr>
            <w:r>
              <w:rPr>
                <w:rFonts w:ascii="Times New Roman" w:hAnsi="Times New Roman" w:cs="Times New Roman"/>
                <w:sz w:val="21"/>
                <w:szCs w:val="18"/>
              </w:rPr>
              <w:t>污染物</w:t>
            </w:r>
          </w:p>
        </w:tc>
        <w:tc>
          <w:tcPr>
            <w:tcW w:w="2271" w:type="pct"/>
            <w:vMerge w:val="restart"/>
            <w:shd w:val="clear" w:color="auto" w:fill="auto"/>
            <w:vAlign w:val="center"/>
          </w:tcPr>
          <w:p w14:paraId="2164FC40">
            <w:pPr>
              <w:jc w:val="center"/>
              <w:rPr>
                <w:rFonts w:ascii="Times New Roman" w:hAnsi="Times New Roman" w:cs="Times New Roman"/>
                <w:sz w:val="21"/>
                <w:szCs w:val="18"/>
              </w:rPr>
            </w:pPr>
            <w:r>
              <w:rPr>
                <w:rFonts w:ascii="Times New Roman" w:hAnsi="Times New Roman" w:cs="Times New Roman"/>
                <w:sz w:val="21"/>
                <w:szCs w:val="18"/>
              </w:rPr>
              <w:t>数据来源</w:t>
            </w:r>
          </w:p>
        </w:tc>
      </w:tr>
      <w:tr w14:paraId="20D1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29" w:type="pct"/>
            <w:vMerge w:val="continue"/>
            <w:shd w:val="clear" w:color="auto" w:fill="auto"/>
            <w:vAlign w:val="center"/>
          </w:tcPr>
          <w:p w14:paraId="0D623A6D">
            <w:pPr>
              <w:jc w:val="center"/>
              <w:rPr>
                <w:rFonts w:ascii="Times New Roman" w:hAnsi="Times New Roman" w:cs="Times New Roman"/>
                <w:sz w:val="21"/>
                <w:szCs w:val="18"/>
              </w:rPr>
            </w:pPr>
          </w:p>
        </w:tc>
        <w:tc>
          <w:tcPr>
            <w:tcW w:w="603" w:type="pct"/>
            <w:vMerge w:val="continue"/>
            <w:shd w:val="clear" w:color="auto" w:fill="auto"/>
            <w:vAlign w:val="center"/>
          </w:tcPr>
          <w:p w14:paraId="0C680F50">
            <w:pPr>
              <w:jc w:val="center"/>
              <w:rPr>
                <w:rFonts w:ascii="Times New Roman" w:hAnsi="Times New Roman" w:cs="Times New Roman"/>
                <w:sz w:val="21"/>
                <w:szCs w:val="18"/>
              </w:rPr>
            </w:pPr>
          </w:p>
        </w:tc>
        <w:tc>
          <w:tcPr>
            <w:tcW w:w="456" w:type="pct"/>
            <w:shd w:val="clear" w:color="auto" w:fill="auto"/>
            <w:vAlign w:val="center"/>
          </w:tcPr>
          <w:p w14:paraId="0F202DE2">
            <w:pPr>
              <w:jc w:val="center"/>
              <w:rPr>
                <w:rFonts w:ascii="Times New Roman" w:hAnsi="Times New Roman" w:cs="Times New Roman"/>
                <w:sz w:val="21"/>
                <w:szCs w:val="18"/>
              </w:rPr>
            </w:pPr>
            <w:r>
              <w:rPr>
                <w:rFonts w:ascii="Times New Roman" w:hAnsi="Times New Roman" w:cs="Times New Roman"/>
                <w:sz w:val="21"/>
                <w:szCs w:val="18"/>
              </w:rPr>
              <w:t>NO</w:t>
            </w:r>
            <w:r>
              <w:rPr>
                <w:rFonts w:ascii="Times New Roman" w:hAnsi="Times New Roman" w:cs="Times New Roman"/>
                <w:sz w:val="21"/>
                <w:szCs w:val="18"/>
                <w:vertAlign w:val="subscript"/>
              </w:rPr>
              <w:t>X</w:t>
            </w:r>
          </w:p>
        </w:tc>
        <w:tc>
          <w:tcPr>
            <w:tcW w:w="428" w:type="pct"/>
            <w:shd w:val="clear" w:color="auto" w:fill="auto"/>
            <w:vAlign w:val="center"/>
          </w:tcPr>
          <w:p w14:paraId="608CE4F5">
            <w:pPr>
              <w:jc w:val="center"/>
              <w:rPr>
                <w:rFonts w:ascii="Times New Roman" w:hAnsi="Times New Roman" w:cs="Times New Roman"/>
                <w:sz w:val="21"/>
                <w:szCs w:val="18"/>
              </w:rPr>
            </w:pPr>
            <w:r>
              <w:rPr>
                <w:rFonts w:ascii="Times New Roman" w:hAnsi="Times New Roman" w:cs="Times New Roman"/>
                <w:sz w:val="21"/>
                <w:szCs w:val="18"/>
              </w:rPr>
              <w:t>CO</w:t>
            </w:r>
          </w:p>
        </w:tc>
        <w:tc>
          <w:tcPr>
            <w:tcW w:w="513" w:type="pct"/>
            <w:shd w:val="clear" w:color="auto" w:fill="auto"/>
            <w:vAlign w:val="center"/>
          </w:tcPr>
          <w:p w14:paraId="18386B24">
            <w:pPr>
              <w:jc w:val="center"/>
              <w:rPr>
                <w:rFonts w:ascii="Times New Roman" w:hAnsi="Times New Roman" w:cs="Times New Roman"/>
                <w:sz w:val="21"/>
                <w:szCs w:val="18"/>
              </w:rPr>
            </w:pPr>
            <w:r>
              <w:rPr>
                <w:rFonts w:ascii="Times New Roman" w:hAnsi="Times New Roman" w:cs="Times New Roman"/>
                <w:sz w:val="21"/>
                <w:szCs w:val="18"/>
              </w:rPr>
              <w:t>THC</w:t>
            </w:r>
          </w:p>
        </w:tc>
        <w:tc>
          <w:tcPr>
            <w:tcW w:w="2271" w:type="pct"/>
            <w:vMerge w:val="continue"/>
            <w:shd w:val="clear" w:color="auto" w:fill="auto"/>
            <w:vAlign w:val="center"/>
          </w:tcPr>
          <w:p w14:paraId="4772F947">
            <w:pPr>
              <w:jc w:val="center"/>
              <w:rPr>
                <w:rFonts w:ascii="Times New Roman" w:hAnsi="Times New Roman" w:cs="Times New Roman"/>
                <w:sz w:val="21"/>
                <w:szCs w:val="18"/>
              </w:rPr>
            </w:pPr>
          </w:p>
        </w:tc>
      </w:tr>
      <w:tr w14:paraId="50EE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29" w:type="pct"/>
            <w:shd w:val="clear" w:color="auto" w:fill="auto"/>
            <w:vAlign w:val="center"/>
          </w:tcPr>
          <w:p w14:paraId="312244DA">
            <w:pPr>
              <w:jc w:val="center"/>
              <w:rPr>
                <w:rFonts w:ascii="Times New Roman" w:hAnsi="Times New Roman" w:cs="Times New Roman"/>
                <w:sz w:val="21"/>
                <w:szCs w:val="18"/>
              </w:rPr>
            </w:pPr>
            <w:r>
              <w:rPr>
                <w:rFonts w:ascii="Times New Roman" w:hAnsi="Times New Roman" w:cs="Times New Roman"/>
                <w:sz w:val="21"/>
                <w:szCs w:val="18"/>
              </w:rPr>
              <w:t>载重汽车</w:t>
            </w:r>
          </w:p>
        </w:tc>
        <w:tc>
          <w:tcPr>
            <w:tcW w:w="603" w:type="pct"/>
            <w:shd w:val="clear" w:color="auto" w:fill="auto"/>
            <w:vAlign w:val="center"/>
          </w:tcPr>
          <w:p w14:paraId="0AB8360A">
            <w:pPr>
              <w:jc w:val="center"/>
              <w:rPr>
                <w:rFonts w:ascii="Times New Roman" w:hAnsi="Times New Roman" w:cs="Times New Roman"/>
                <w:sz w:val="21"/>
                <w:szCs w:val="18"/>
              </w:rPr>
            </w:pPr>
            <w:r>
              <w:rPr>
                <w:rFonts w:ascii="Times New Roman" w:hAnsi="Times New Roman" w:cs="Times New Roman"/>
                <w:sz w:val="21"/>
                <w:szCs w:val="18"/>
              </w:rPr>
              <w:t>g/L燃油</w:t>
            </w:r>
          </w:p>
        </w:tc>
        <w:tc>
          <w:tcPr>
            <w:tcW w:w="456" w:type="pct"/>
            <w:shd w:val="clear" w:color="auto" w:fill="auto"/>
            <w:vAlign w:val="center"/>
          </w:tcPr>
          <w:p w14:paraId="57FDE51D">
            <w:pPr>
              <w:jc w:val="center"/>
              <w:rPr>
                <w:rFonts w:ascii="Times New Roman" w:hAnsi="Times New Roman" w:cs="Times New Roman"/>
                <w:sz w:val="21"/>
                <w:szCs w:val="18"/>
              </w:rPr>
            </w:pPr>
            <w:r>
              <w:rPr>
                <w:rFonts w:ascii="Times New Roman" w:hAnsi="Times New Roman" w:cs="Times New Roman"/>
                <w:sz w:val="21"/>
                <w:szCs w:val="18"/>
              </w:rPr>
              <w:t>44.4</w:t>
            </w:r>
          </w:p>
        </w:tc>
        <w:tc>
          <w:tcPr>
            <w:tcW w:w="428" w:type="pct"/>
            <w:shd w:val="clear" w:color="auto" w:fill="auto"/>
            <w:vAlign w:val="center"/>
          </w:tcPr>
          <w:p w14:paraId="424B6E50">
            <w:pPr>
              <w:jc w:val="center"/>
              <w:rPr>
                <w:rFonts w:ascii="Times New Roman" w:hAnsi="Times New Roman" w:cs="Times New Roman"/>
                <w:sz w:val="21"/>
                <w:szCs w:val="18"/>
              </w:rPr>
            </w:pPr>
            <w:r>
              <w:rPr>
                <w:rFonts w:ascii="Times New Roman" w:hAnsi="Times New Roman" w:cs="Times New Roman"/>
                <w:sz w:val="21"/>
                <w:szCs w:val="18"/>
              </w:rPr>
              <w:t>27.0</w:t>
            </w:r>
          </w:p>
        </w:tc>
        <w:tc>
          <w:tcPr>
            <w:tcW w:w="513" w:type="pct"/>
            <w:shd w:val="clear" w:color="auto" w:fill="auto"/>
            <w:vAlign w:val="center"/>
          </w:tcPr>
          <w:p w14:paraId="62D3D8AA">
            <w:pPr>
              <w:jc w:val="center"/>
              <w:rPr>
                <w:rFonts w:ascii="Times New Roman" w:hAnsi="Times New Roman" w:cs="Times New Roman"/>
                <w:sz w:val="21"/>
                <w:szCs w:val="18"/>
              </w:rPr>
            </w:pPr>
            <w:r>
              <w:rPr>
                <w:rFonts w:ascii="Times New Roman" w:hAnsi="Times New Roman" w:cs="Times New Roman"/>
                <w:sz w:val="21"/>
                <w:szCs w:val="18"/>
              </w:rPr>
              <w:t>4.44</w:t>
            </w:r>
          </w:p>
        </w:tc>
        <w:tc>
          <w:tcPr>
            <w:tcW w:w="2271" w:type="pct"/>
            <w:shd w:val="clear" w:color="auto" w:fill="auto"/>
            <w:vAlign w:val="center"/>
          </w:tcPr>
          <w:p w14:paraId="742BD748">
            <w:pPr>
              <w:jc w:val="center"/>
              <w:rPr>
                <w:rFonts w:ascii="Times New Roman" w:hAnsi="Times New Roman" w:cs="Times New Roman"/>
                <w:sz w:val="21"/>
                <w:szCs w:val="18"/>
              </w:rPr>
            </w:pPr>
            <w:r>
              <w:rPr>
                <w:rFonts w:ascii="Times New Roman" w:hAnsi="Times New Roman" w:cs="Times New Roman"/>
                <w:sz w:val="21"/>
                <w:szCs w:val="18"/>
              </w:rPr>
              <w:t>《环境统计手册》，四川科学出版社，1985</w:t>
            </w:r>
          </w:p>
        </w:tc>
      </w:tr>
      <w:tr w14:paraId="1C99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29" w:type="pct"/>
            <w:shd w:val="clear" w:color="auto" w:fill="auto"/>
            <w:vAlign w:val="center"/>
          </w:tcPr>
          <w:p w14:paraId="7896E418">
            <w:pPr>
              <w:jc w:val="center"/>
              <w:rPr>
                <w:rFonts w:ascii="Times New Roman" w:hAnsi="Times New Roman" w:cs="Times New Roman"/>
                <w:sz w:val="21"/>
                <w:szCs w:val="18"/>
              </w:rPr>
            </w:pPr>
            <w:r>
              <w:rPr>
                <w:rFonts w:ascii="Times New Roman" w:hAnsi="Times New Roman" w:cs="Times New Roman"/>
                <w:sz w:val="21"/>
                <w:szCs w:val="18"/>
              </w:rPr>
              <w:t>施工机械</w:t>
            </w:r>
          </w:p>
        </w:tc>
        <w:tc>
          <w:tcPr>
            <w:tcW w:w="603" w:type="pct"/>
            <w:shd w:val="clear" w:color="auto" w:fill="auto"/>
            <w:vAlign w:val="center"/>
          </w:tcPr>
          <w:p w14:paraId="4FB95CF6">
            <w:pPr>
              <w:jc w:val="center"/>
              <w:rPr>
                <w:rFonts w:ascii="Times New Roman" w:hAnsi="Times New Roman" w:cs="Times New Roman"/>
                <w:sz w:val="21"/>
                <w:szCs w:val="18"/>
              </w:rPr>
            </w:pPr>
            <w:r>
              <w:rPr>
                <w:rFonts w:ascii="Times New Roman" w:hAnsi="Times New Roman" w:cs="Times New Roman"/>
                <w:sz w:val="21"/>
                <w:szCs w:val="18"/>
              </w:rPr>
              <w:t>g/(kwh)</w:t>
            </w:r>
          </w:p>
        </w:tc>
        <w:tc>
          <w:tcPr>
            <w:tcW w:w="456" w:type="pct"/>
            <w:shd w:val="clear" w:color="auto" w:fill="auto"/>
            <w:vAlign w:val="center"/>
          </w:tcPr>
          <w:p w14:paraId="1530271B">
            <w:pPr>
              <w:jc w:val="center"/>
              <w:rPr>
                <w:rFonts w:ascii="Times New Roman" w:hAnsi="Times New Roman" w:cs="Times New Roman"/>
                <w:sz w:val="21"/>
                <w:szCs w:val="18"/>
              </w:rPr>
            </w:pPr>
            <w:r>
              <w:rPr>
                <w:rFonts w:ascii="Times New Roman" w:hAnsi="Times New Roman" w:cs="Times New Roman"/>
                <w:sz w:val="21"/>
                <w:szCs w:val="18"/>
              </w:rPr>
              <w:t>3.3</w:t>
            </w:r>
          </w:p>
        </w:tc>
        <w:tc>
          <w:tcPr>
            <w:tcW w:w="428" w:type="pct"/>
            <w:shd w:val="clear" w:color="auto" w:fill="auto"/>
            <w:vAlign w:val="center"/>
          </w:tcPr>
          <w:p w14:paraId="7358F333">
            <w:pPr>
              <w:jc w:val="center"/>
              <w:rPr>
                <w:rFonts w:ascii="Times New Roman" w:hAnsi="Times New Roman" w:cs="Times New Roman"/>
                <w:sz w:val="21"/>
                <w:szCs w:val="18"/>
              </w:rPr>
            </w:pPr>
            <w:r>
              <w:rPr>
                <w:rFonts w:ascii="Times New Roman" w:hAnsi="Times New Roman" w:cs="Times New Roman"/>
                <w:sz w:val="21"/>
                <w:szCs w:val="18"/>
              </w:rPr>
              <w:t>5.0</w:t>
            </w:r>
          </w:p>
        </w:tc>
        <w:tc>
          <w:tcPr>
            <w:tcW w:w="513" w:type="pct"/>
            <w:shd w:val="clear" w:color="auto" w:fill="auto"/>
            <w:vAlign w:val="center"/>
          </w:tcPr>
          <w:p w14:paraId="3676D4CD">
            <w:pPr>
              <w:jc w:val="center"/>
              <w:rPr>
                <w:rFonts w:ascii="Times New Roman" w:hAnsi="Times New Roman" w:cs="Times New Roman"/>
                <w:sz w:val="21"/>
                <w:szCs w:val="18"/>
              </w:rPr>
            </w:pPr>
            <w:r>
              <w:rPr>
                <w:rFonts w:ascii="Times New Roman" w:hAnsi="Times New Roman" w:cs="Times New Roman"/>
                <w:sz w:val="21"/>
                <w:szCs w:val="18"/>
              </w:rPr>
              <w:t>0.19</w:t>
            </w:r>
          </w:p>
        </w:tc>
        <w:tc>
          <w:tcPr>
            <w:tcW w:w="2271" w:type="pct"/>
            <w:shd w:val="clear" w:color="auto" w:fill="auto"/>
            <w:vAlign w:val="center"/>
          </w:tcPr>
          <w:p w14:paraId="07CE9E42">
            <w:pPr>
              <w:jc w:val="center"/>
              <w:rPr>
                <w:rFonts w:ascii="Times New Roman" w:hAnsi="Times New Roman" w:cs="Times New Roman"/>
                <w:sz w:val="21"/>
                <w:szCs w:val="18"/>
              </w:rPr>
            </w:pPr>
            <w:r>
              <w:rPr>
                <w:rFonts w:ascii="Times New Roman" w:hAnsi="Times New Roman" w:cs="Times New Roman"/>
                <w:sz w:val="21"/>
                <w:szCs w:val="18"/>
              </w:rPr>
              <w:t>《非道路移动机械用柴油机排气污染物排放</w:t>
            </w:r>
            <w:r>
              <w:rPr>
                <w:rFonts w:hint="eastAsia" w:ascii="Times New Roman" w:hAnsi="Times New Roman" w:cs="Times New Roman"/>
                <w:sz w:val="21"/>
                <w:szCs w:val="18"/>
              </w:rPr>
              <w:t>限值</w:t>
            </w:r>
            <w:r>
              <w:rPr>
                <w:rFonts w:ascii="Times New Roman" w:hAnsi="Times New Roman" w:cs="Times New Roman"/>
                <w:sz w:val="21"/>
                <w:szCs w:val="18"/>
              </w:rPr>
              <w:t>及测量方法》（中国第三、四阶段）（GB20891-2014）及其修改单</w:t>
            </w:r>
          </w:p>
        </w:tc>
      </w:tr>
    </w:tbl>
    <w:p w14:paraId="5AD97A18">
      <w:pPr>
        <w:ind w:firstLine="420" w:firstLineChars="200"/>
        <w:rPr>
          <w:rFonts w:ascii="黑体" w:hAnsi="黑体" w:eastAsia="黑体" w:cs="Times New Roman"/>
          <w:sz w:val="21"/>
          <w:szCs w:val="18"/>
        </w:rPr>
      </w:pPr>
      <w:r>
        <w:rPr>
          <w:rFonts w:ascii="黑体" w:hAnsi="黑体" w:eastAsia="黑体" w:cs="Times New Roman"/>
          <w:sz w:val="21"/>
          <w:szCs w:val="18"/>
        </w:rPr>
        <w:t>注：本次选用《非道路移动机械用柴油机排气污染物排放</w:t>
      </w:r>
      <w:r>
        <w:rPr>
          <w:rFonts w:hint="eastAsia" w:ascii="黑体" w:hAnsi="黑体" w:eastAsia="黑体" w:cs="Times New Roman"/>
          <w:sz w:val="21"/>
          <w:szCs w:val="18"/>
        </w:rPr>
        <w:t>限值</w:t>
      </w:r>
      <w:r>
        <w:rPr>
          <w:rFonts w:ascii="黑体" w:hAnsi="黑体" w:eastAsia="黑体" w:cs="Times New Roman"/>
          <w:sz w:val="21"/>
          <w:szCs w:val="18"/>
        </w:rPr>
        <w:t>及测量方法》（中国第三、四阶段）（GB20891-2014）及其修改单中表2第四阶段污染物排放限值。</w:t>
      </w:r>
    </w:p>
    <w:p w14:paraId="642DE0A7">
      <w:pPr>
        <w:spacing w:line="360" w:lineRule="auto"/>
        <w:ind w:firstLine="480" w:firstLineChars="200"/>
        <w:jc w:val="both"/>
        <w:rPr>
          <w:rFonts w:ascii="Times New Roman" w:hAnsi="Times New Roman" w:cs="Times New Roman"/>
        </w:rPr>
      </w:pPr>
      <w:r>
        <w:rPr>
          <w:rFonts w:ascii="Times New Roman" w:hAnsi="Times New Roman" w:cs="Times New Roman"/>
        </w:rPr>
        <w:t>根据类比调研，施工用载重汽车一般为10t～20t，其百公里油耗约为30L/100km，施工车辆平均行驶距离为100km，平均车流量为30辆/d。施工机械（挖掘机、装载机等）的功率按100kW计，数量约5部。施工作业时间按照8h/d，施工机械、载重车辆的作业期取480d</w:t>
      </w:r>
      <w:r>
        <w:rPr>
          <w:rFonts w:hint="eastAsia" w:ascii="Times New Roman" w:hAnsi="Times New Roman" w:cs="Times New Roman"/>
        </w:rPr>
        <w:t>（每年施工按8个月</w:t>
      </w:r>
      <w:r>
        <w:rPr>
          <w:rFonts w:ascii="Times New Roman" w:hAnsi="Times New Roman" w:cs="Times New Roman"/>
        </w:rPr>
        <w:t>计</w:t>
      </w:r>
      <w:r>
        <w:rPr>
          <w:rFonts w:hint="eastAsia" w:ascii="Times New Roman" w:hAnsi="Times New Roman" w:cs="Times New Roman"/>
        </w:rPr>
        <w:t>，共1</w:t>
      </w:r>
      <w:r>
        <w:rPr>
          <w:rFonts w:ascii="Times New Roman" w:hAnsi="Times New Roman" w:cs="Times New Roman"/>
        </w:rPr>
        <w:t>6</w:t>
      </w:r>
      <w:r>
        <w:rPr>
          <w:rFonts w:hint="eastAsia" w:ascii="Times New Roman" w:hAnsi="Times New Roman" w:cs="Times New Roman"/>
        </w:rPr>
        <w:t>个月）</w:t>
      </w:r>
      <w:r>
        <w:rPr>
          <w:rFonts w:ascii="Times New Roman" w:hAnsi="Times New Roman" w:cs="Times New Roman"/>
        </w:rPr>
        <w:t>。按上述参数，计算施工期机械燃油排放的大气污染物总量约为</w:t>
      </w:r>
      <w:r>
        <w:rPr>
          <w:rFonts w:ascii="Times New Roman" w:hAnsi="Times New Roman" w:cs="Times New Roman"/>
          <w:spacing w:val="-6"/>
        </w:rPr>
        <w:t>NO</w:t>
      </w:r>
      <w:r>
        <w:rPr>
          <w:rFonts w:ascii="Times New Roman" w:hAnsi="Times New Roman" w:cs="Times New Roman"/>
          <w:spacing w:val="-6"/>
          <w:vertAlign w:val="subscript"/>
        </w:rPr>
        <w:t>X</w:t>
      </w:r>
      <w:r>
        <w:rPr>
          <w:rFonts w:ascii="Times New Roman" w:hAnsi="Times New Roman" w:cs="Times New Roman"/>
          <w:spacing w:val="-6"/>
        </w:rPr>
        <w:t>25.52t、CO121.26t、THC2.28t</w:t>
      </w:r>
      <w:r>
        <w:rPr>
          <w:rFonts w:ascii="Times New Roman" w:hAnsi="Times New Roman" w:cs="Times New Roman"/>
        </w:rPr>
        <w:t>，如表3.2-2所示。</w:t>
      </w:r>
    </w:p>
    <w:p w14:paraId="4F106320">
      <w:pPr>
        <w:jc w:val="center"/>
        <w:rPr>
          <w:rFonts w:ascii="Times New Roman" w:hAnsi="Times New Roman" w:eastAsia="黑体" w:cs="Times New Roman"/>
        </w:rPr>
      </w:pPr>
      <w:r>
        <w:rPr>
          <w:rFonts w:ascii="Times New Roman" w:hAnsi="Times New Roman" w:eastAsia="黑体" w:cs="Times New Roman"/>
        </w:rPr>
        <w:t>表3.2-2  施工期</w:t>
      </w:r>
      <w:r>
        <w:rPr>
          <w:rFonts w:hint="eastAsia" w:ascii="Times New Roman" w:hAnsi="Times New Roman" w:eastAsia="黑体" w:cs="Times New Roman"/>
        </w:rPr>
        <w:t>机械</w:t>
      </w:r>
      <w:r>
        <w:rPr>
          <w:rFonts w:ascii="Times New Roman" w:hAnsi="Times New Roman" w:eastAsia="黑体" w:cs="Times New Roman"/>
        </w:rPr>
        <w:t>燃油污染物排放量</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228"/>
        <w:gridCol w:w="1227"/>
        <w:gridCol w:w="1228"/>
        <w:gridCol w:w="1230"/>
        <w:gridCol w:w="1228"/>
        <w:gridCol w:w="1232"/>
      </w:tblGrid>
      <w:tr w14:paraId="01AF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trPr>
        <w:tc>
          <w:tcPr>
            <w:tcW w:w="677" w:type="pct"/>
            <w:vMerge w:val="restart"/>
            <w:shd w:val="clear" w:color="auto" w:fill="auto"/>
            <w:vAlign w:val="center"/>
          </w:tcPr>
          <w:p w14:paraId="42B79126">
            <w:pPr>
              <w:spacing w:line="240" w:lineRule="exact"/>
              <w:jc w:val="center"/>
              <w:rPr>
                <w:rFonts w:ascii="Times New Roman" w:hAnsi="Times New Roman" w:cs="Times New Roman"/>
                <w:sz w:val="21"/>
                <w:szCs w:val="18"/>
              </w:rPr>
            </w:pPr>
            <w:r>
              <w:rPr>
                <w:rFonts w:ascii="Times New Roman" w:hAnsi="Times New Roman" w:cs="Times New Roman"/>
                <w:sz w:val="21"/>
                <w:szCs w:val="18"/>
              </w:rPr>
              <w:t>种类</w:t>
            </w:r>
          </w:p>
        </w:tc>
        <w:tc>
          <w:tcPr>
            <w:tcW w:w="1439" w:type="pct"/>
            <w:gridSpan w:val="2"/>
            <w:shd w:val="clear" w:color="auto" w:fill="auto"/>
            <w:vAlign w:val="center"/>
          </w:tcPr>
          <w:p w14:paraId="1748466F">
            <w:pPr>
              <w:spacing w:line="240" w:lineRule="exact"/>
              <w:jc w:val="center"/>
              <w:rPr>
                <w:rFonts w:ascii="Times New Roman" w:hAnsi="Times New Roman" w:cs="Times New Roman"/>
                <w:sz w:val="21"/>
                <w:szCs w:val="18"/>
              </w:rPr>
            </w:pPr>
            <w:r>
              <w:rPr>
                <w:rFonts w:ascii="Times New Roman" w:hAnsi="Times New Roman" w:cs="Times New Roman"/>
                <w:sz w:val="21"/>
                <w:szCs w:val="18"/>
              </w:rPr>
              <w:t>NO</w:t>
            </w:r>
            <w:r>
              <w:rPr>
                <w:rFonts w:ascii="Times New Roman" w:hAnsi="Times New Roman" w:cs="Times New Roman"/>
                <w:sz w:val="21"/>
                <w:szCs w:val="18"/>
                <w:vertAlign w:val="subscript"/>
              </w:rPr>
              <w:t>X</w:t>
            </w:r>
          </w:p>
        </w:tc>
        <w:tc>
          <w:tcPr>
            <w:tcW w:w="1441" w:type="pct"/>
            <w:gridSpan w:val="2"/>
            <w:shd w:val="clear" w:color="auto" w:fill="auto"/>
            <w:vAlign w:val="center"/>
          </w:tcPr>
          <w:p w14:paraId="4AC2CBD1">
            <w:pPr>
              <w:spacing w:line="240" w:lineRule="exact"/>
              <w:jc w:val="center"/>
              <w:rPr>
                <w:rFonts w:ascii="Times New Roman" w:hAnsi="Times New Roman" w:cs="Times New Roman"/>
                <w:sz w:val="21"/>
                <w:szCs w:val="18"/>
              </w:rPr>
            </w:pPr>
            <w:r>
              <w:rPr>
                <w:rFonts w:ascii="Times New Roman" w:hAnsi="Times New Roman" w:cs="Times New Roman"/>
                <w:sz w:val="21"/>
                <w:szCs w:val="18"/>
              </w:rPr>
              <w:t>CO</w:t>
            </w:r>
          </w:p>
        </w:tc>
        <w:tc>
          <w:tcPr>
            <w:tcW w:w="1442" w:type="pct"/>
            <w:gridSpan w:val="2"/>
            <w:shd w:val="clear" w:color="auto" w:fill="auto"/>
            <w:vAlign w:val="center"/>
          </w:tcPr>
          <w:p w14:paraId="2E11F34F">
            <w:pPr>
              <w:spacing w:line="240" w:lineRule="exact"/>
              <w:jc w:val="center"/>
              <w:rPr>
                <w:rFonts w:ascii="Times New Roman" w:hAnsi="Times New Roman" w:cs="Times New Roman"/>
                <w:sz w:val="21"/>
                <w:szCs w:val="18"/>
              </w:rPr>
            </w:pPr>
            <w:r>
              <w:rPr>
                <w:rFonts w:ascii="Times New Roman" w:hAnsi="Times New Roman" w:cs="Times New Roman"/>
                <w:sz w:val="21"/>
                <w:szCs w:val="18"/>
              </w:rPr>
              <w:t>THC</w:t>
            </w:r>
          </w:p>
        </w:tc>
      </w:tr>
      <w:tr w14:paraId="721F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exact"/>
        </w:trPr>
        <w:tc>
          <w:tcPr>
            <w:tcW w:w="677" w:type="pct"/>
            <w:vMerge w:val="continue"/>
            <w:shd w:val="clear" w:color="auto" w:fill="auto"/>
            <w:vAlign w:val="center"/>
          </w:tcPr>
          <w:p w14:paraId="53CFBC4D">
            <w:pPr>
              <w:spacing w:line="240" w:lineRule="exact"/>
              <w:jc w:val="center"/>
              <w:rPr>
                <w:rFonts w:ascii="Times New Roman" w:hAnsi="Times New Roman" w:cs="Times New Roman"/>
                <w:sz w:val="21"/>
                <w:szCs w:val="18"/>
              </w:rPr>
            </w:pPr>
          </w:p>
        </w:tc>
        <w:tc>
          <w:tcPr>
            <w:tcW w:w="720" w:type="pct"/>
            <w:shd w:val="clear" w:color="auto" w:fill="auto"/>
            <w:vAlign w:val="center"/>
          </w:tcPr>
          <w:p w14:paraId="6377A88B">
            <w:pPr>
              <w:spacing w:line="240" w:lineRule="exact"/>
              <w:jc w:val="center"/>
              <w:rPr>
                <w:rFonts w:ascii="Times New Roman" w:hAnsi="Times New Roman" w:cs="Times New Roman"/>
                <w:sz w:val="21"/>
                <w:szCs w:val="18"/>
              </w:rPr>
            </w:pPr>
            <w:r>
              <w:rPr>
                <w:rFonts w:ascii="Times New Roman" w:hAnsi="Times New Roman" w:cs="Times New Roman"/>
                <w:sz w:val="21"/>
                <w:szCs w:val="18"/>
              </w:rPr>
              <w:t>日排放量</w:t>
            </w:r>
          </w:p>
          <w:p w14:paraId="0089D3C9">
            <w:pPr>
              <w:spacing w:line="240" w:lineRule="exact"/>
              <w:jc w:val="center"/>
              <w:rPr>
                <w:rFonts w:ascii="Times New Roman" w:hAnsi="Times New Roman" w:cs="Times New Roman"/>
                <w:sz w:val="21"/>
                <w:szCs w:val="18"/>
              </w:rPr>
            </w:pPr>
            <w:r>
              <w:rPr>
                <w:rFonts w:ascii="Times New Roman" w:hAnsi="Times New Roman" w:cs="Times New Roman"/>
                <w:sz w:val="21"/>
                <w:szCs w:val="18"/>
              </w:rPr>
              <w:t>（kg/d）</w:t>
            </w:r>
          </w:p>
        </w:tc>
        <w:tc>
          <w:tcPr>
            <w:tcW w:w="719" w:type="pct"/>
            <w:shd w:val="clear" w:color="auto" w:fill="auto"/>
            <w:vAlign w:val="center"/>
          </w:tcPr>
          <w:p w14:paraId="428E8017">
            <w:pPr>
              <w:spacing w:line="240" w:lineRule="exact"/>
              <w:jc w:val="center"/>
              <w:rPr>
                <w:rFonts w:ascii="Times New Roman" w:hAnsi="Times New Roman" w:cs="Times New Roman"/>
                <w:sz w:val="21"/>
                <w:szCs w:val="18"/>
              </w:rPr>
            </w:pPr>
            <w:r>
              <w:rPr>
                <w:rFonts w:ascii="Times New Roman" w:hAnsi="Times New Roman" w:cs="Times New Roman"/>
                <w:sz w:val="21"/>
                <w:szCs w:val="18"/>
              </w:rPr>
              <w:t>总排放量</w:t>
            </w:r>
          </w:p>
          <w:p w14:paraId="6FD4C36D">
            <w:pPr>
              <w:spacing w:line="240" w:lineRule="exact"/>
              <w:jc w:val="center"/>
              <w:rPr>
                <w:rFonts w:ascii="Times New Roman" w:hAnsi="Times New Roman" w:cs="Times New Roman"/>
                <w:sz w:val="21"/>
                <w:szCs w:val="18"/>
              </w:rPr>
            </w:pPr>
            <w:r>
              <w:rPr>
                <w:rFonts w:ascii="Times New Roman" w:hAnsi="Times New Roman" w:cs="Times New Roman"/>
                <w:sz w:val="21"/>
                <w:szCs w:val="18"/>
              </w:rPr>
              <w:t>（t）</w:t>
            </w:r>
          </w:p>
        </w:tc>
        <w:tc>
          <w:tcPr>
            <w:tcW w:w="720" w:type="pct"/>
            <w:shd w:val="clear" w:color="auto" w:fill="auto"/>
            <w:vAlign w:val="center"/>
          </w:tcPr>
          <w:p w14:paraId="505A266E">
            <w:pPr>
              <w:spacing w:line="240" w:lineRule="exact"/>
              <w:jc w:val="center"/>
              <w:rPr>
                <w:rFonts w:ascii="Times New Roman" w:hAnsi="Times New Roman" w:cs="Times New Roman"/>
                <w:sz w:val="21"/>
                <w:szCs w:val="18"/>
              </w:rPr>
            </w:pPr>
            <w:r>
              <w:rPr>
                <w:rFonts w:ascii="Times New Roman" w:hAnsi="Times New Roman" w:cs="Times New Roman"/>
                <w:sz w:val="21"/>
                <w:szCs w:val="18"/>
              </w:rPr>
              <w:t>日排放量</w:t>
            </w:r>
          </w:p>
          <w:p w14:paraId="2D81314A">
            <w:pPr>
              <w:spacing w:line="240" w:lineRule="exact"/>
              <w:jc w:val="center"/>
              <w:rPr>
                <w:rFonts w:ascii="Times New Roman" w:hAnsi="Times New Roman" w:cs="Times New Roman"/>
                <w:sz w:val="21"/>
                <w:szCs w:val="18"/>
              </w:rPr>
            </w:pPr>
            <w:r>
              <w:rPr>
                <w:rFonts w:ascii="Times New Roman" w:hAnsi="Times New Roman" w:cs="Times New Roman"/>
                <w:sz w:val="21"/>
                <w:szCs w:val="18"/>
              </w:rPr>
              <w:t>（kg/d）</w:t>
            </w:r>
          </w:p>
        </w:tc>
        <w:tc>
          <w:tcPr>
            <w:tcW w:w="721" w:type="pct"/>
            <w:shd w:val="clear" w:color="auto" w:fill="auto"/>
            <w:vAlign w:val="center"/>
          </w:tcPr>
          <w:p w14:paraId="504CA9DD">
            <w:pPr>
              <w:spacing w:line="240" w:lineRule="exact"/>
              <w:jc w:val="center"/>
              <w:rPr>
                <w:rFonts w:ascii="Times New Roman" w:hAnsi="Times New Roman" w:cs="Times New Roman"/>
                <w:sz w:val="21"/>
                <w:szCs w:val="18"/>
              </w:rPr>
            </w:pPr>
            <w:r>
              <w:rPr>
                <w:rFonts w:ascii="Times New Roman" w:hAnsi="Times New Roman" w:cs="Times New Roman"/>
                <w:sz w:val="21"/>
                <w:szCs w:val="18"/>
              </w:rPr>
              <w:t>总排放量</w:t>
            </w:r>
          </w:p>
          <w:p w14:paraId="281D7627">
            <w:pPr>
              <w:spacing w:line="240" w:lineRule="exact"/>
              <w:jc w:val="center"/>
              <w:rPr>
                <w:rFonts w:ascii="Times New Roman" w:hAnsi="Times New Roman" w:cs="Times New Roman"/>
                <w:sz w:val="21"/>
                <w:szCs w:val="18"/>
              </w:rPr>
            </w:pPr>
            <w:r>
              <w:rPr>
                <w:rFonts w:ascii="Times New Roman" w:hAnsi="Times New Roman" w:cs="Times New Roman"/>
                <w:sz w:val="21"/>
                <w:szCs w:val="18"/>
              </w:rPr>
              <w:t>（t）</w:t>
            </w:r>
          </w:p>
        </w:tc>
        <w:tc>
          <w:tcPr>
            <w:tcW w:w="720" w:type="pct"/>
            <w:shd w:val="clear" w:color="auto" w:fill="auto"/>
            <w:vAlign w:val="center"/>
          </w:tcPr>
          <w:p w14:paraId="0D4A7B1B">
            <w:pPr>
              <w:spacing w:line="240" w:lineRule="exact"/>
              <w:jc w:val="center"/>
              <w:rPr>
                <w:rFonts w:ascii="Times New Roman" w:hAnsi="Times New Roman" w:cs="Times New Roman"/>
                <w:sz w:val="21"/>
                <w:szCs w:val="18"/>
              </w:rPr>
            </w:pPr>
            <w:r>
              <w:rPr>
                <w:rFonts w:ascii="Times New Roman" w:hAnsi="Times New Roman" w:cs="Times New Roman"/>
                <w:sz w:val="21"/>
                <w:szCs w:val="18"/>
              </w:rPr>
              <w:t>日排放量</w:t>
            </w:r>
          </w:p>
          <w:p w14:paraId="7D61727A">
            <w:pPr>
              <w:spacing w:line="240" w:lineRule="exact"/>
              <w:jc w:val="center"/>
              <w:rPr>
                <w:rFonts w:ascii="Times New Roman" w:hAnsi="Times New Roman" w:cs="Times New Roman"/>
                <w:sz w:val="21"/>
                <w:szCs w:val="18"/>
              </w:rPr>
            </w:pPr>
            <w:r>
              <w:rPr>
                <w:rFonts w:ascii="Times New Roman" w:hAnsi="Times New Roman" w:cs="Times New Roman"/>
                <w:sz w:val="21"/>
                <w:szCs w:val="18"/>
              </w:rPr>
              <w:t>（kg/d）</w:t>
            </w:r>
          </w:p>
        </w:tc>
        <w:tc>
          <w:tcPr>
            <w:tcW w:w="722" w:type="pct"/>
            <w:shd w:val="clear" w:color="auto" w:fill="auto"/>
            <w:vAlign w:val="center"/>
          </w:tcPr>
          <w:p w14:paraId="1E71B0F4">
            <w:pPr>
              <w:spacing w:line="240" w:lineRule="exact"/>
              <w:jc w:val="center"/>
              <w:rPr>
                <w:rFonts w:ascii="Times New Roman" w:hAnsi="Times New Roman" w:cs="Times New Roman"/>
                <w:sz w:val="21"/>
                <w:szCs w:val="18"/>
              </w:rPr>
            </w:pPr>
            <w:r>
              <w:rPr>
                <w:rFonts w:ascii="Times New Roman" w:hAnsi="Times New Roman" w:cs="Times New Roman"/>
                <w:sz w:val="21"/>
                <w:szCs w:val="18"/>
              </w:rPr>
              <w:t>总排放量</w:t>
            </w:r>
          </w:p>
          <w:p w14:paraId="0A9E3339">
            <w:pPr>
              <w:spacing w:line="240" w:lineRule="exact"/>
              <w:jc w:val="center"/>
              <w:rPr>
                <w:rFonts w:ascii="Times New Roman" w:hAnsi="Times New Roman" w:cs="Times New Roman"/>
                <w:sz w:val="21"/>
                <w:szCs w:val="18"/>
              </w:rPr>
            </w:pPr>
            <w:r>
              <w:rPr>
                <w:rFonts w:ascii="Times New Roman" w:hAnsi="Times New Roman" w:cs="Times New Roman"/>
                <w:sz w:val="21"/>
                <w:szCs w:val="18"/>
              </w:rPr>
              <w:t>（t）</w:t>
            </w:r>
          </w:p>
        </w:tc>
      </w:tr>
      <w:tr w14:paraId="7770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677" w:type="pct"/>
            <w:shd w:val="clear" w:color="auto" w:fill="auto"/>
            <w:vAlign w:val="center"/>
          </w:tcPr>
          <w:p w14:paraId="459AA7BE">
            <w:pPr>
              <w:spacing w:line="240" w:lineRule="exact"/>
              <w:jc w:val="center"/>
              <w:rPr>
                <w:rFonts w:ascii="Times New Roman" w:hAnsi="Times New Roman" w:cs="Times New Roman"/>
                <w:sz w:val="21"/>
                <w:szCs w:val="18"/>
              </w:rPr>
            </w:pPr>
            <w:r>
              <w:rPr>
                <w:rFonts w:ascii="Times New Roman" w:hAnsi="Times New Roman" w:cs="Times New Roman"/>
                <w:sz w:val="21"/>
                <w:szCs w:val="18"/>
              </w:rPr>
              <w:t>载重车辆</w:t>
            </w:r>
          </w:p>
        </w:tc>
        <w:tc>
          <w:tcPr>
            <w:tcW w:w="720" w:type="pct"/>
            <w:shd w:val="clear" w:color="auto" w:fill="auto"/>
            <w:vAlign w:val="center"/>
          </w:tcPr>
          <w:p w14:paraId="5921EDD4">
            <w:pPr>
              <w:spacing w:line="240" w:lineRule="exact"/>
              <w:jc w:val="center"/>
              <w:rPr>
                <w:rFonts w:ascii="Times New Roman" w:hAnsi="Times New Roman" w:cs="Times New Roman"/>
                <w:sz w:val="21"/>
                <w:szCs w:val="18"/>
              </w:rPr>
            </w:pPr>
            <w:r>
              <w:rPr>
                <w:rFonts w:ascii="Times New Roman" w:hAnsi="Times New Roman" w:cs="Times New Roman"/>
                <w:sz w:val="21"/>
                <w:szCs w:val="18"/>
              </w:rPr>
              <w:t>39.96</w:t>
            </w:r>
          </w:p>
        </w:tc>
        <w:tc>
          <w:tcPr>
            <w:tcW w:w="719" w:type="pct"/>
            <w:shd w:val="clear" w:color="auto" w:fill="auto"/>
            <w:vAlign w:val="center"/>
          </w:tcPr>
          <w:p w14:paraId="05ADB4A3">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9.18</w:t>
            </w:r>
          </w:p>
        </w:tc>
        <w:tc>
          <w:tcPr>
            <w:tcW w:w="720" w:type="pct"/>
            <w:shd w:val="clear" w:color="auto" w:fill="auto"/>
            <w:vAlign w:val="center"/>
          </w:tcPr>
          <w:p w14:paraId="73F783CA">
            <w:pPr>
              <w:spacing w:line="240" w:lineRule="exact"/>
              <w:jc w:val="center"/>
              <w:rPr>
                <w:rFonts w:ascii="Times New Roman" w:hAnsi="Times New Roman" w:cs="Times New Roman"/>
                <w:sz w:val="21"/>
                <w:szCs w:val="18"/>
              </w:rPr>
            </w:pPr>
            <w:r>
              <w:rPr>
                <w:rFonts w:ascii="Times New Roman" w:hAnsi="Times New Roman" w:cs="Times New Roman"/>
                <w:sz w:val="21"/>
                <w:szCs w:val="18"/>
              </w:rPr>
              <w:t>24.3</w:t>
            </w:r>
          </w:p>
        </w:tc>
        <w:tc>
          <w:tcPr>
            <w:tcW w:w="721" w:type="pct"/>
            <w:shd w:val="clear" w:color="auto" w:fill="auto"/>
            <w:vAlign w:val="center"/>
          </w:tcPr>
          <w:p w14:paraId="7987CD85">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1.66</w:t>
            </w:r>
          </w:p>
        </w:tc>
        <w:tc>
          <w:tcPr>
            <w:tcW w:w="720" w:type="pct"/>
            <w:shd w:val="clear" w:color="auto" w:fill="auto"/>
            <w:vAlign w:val="center"/>
          </w:tcPr>
          <w:p w14:paraId="69E4724E">
            <w:pPr>
              <w:spacing w:line="240" w:lineRule="exact"/>
              <w:jc w:val="center"/>
              <w:rPr>
                <w:rFonts w:ascii="Times New Roman" w:hAnsi="Times New Roman" w:cs="Times New Roman"/>
                <w:sz w:val="21"/>
                <w:szCs w:val="18"/>
              </w:rPr>
            </w:pPr>
            <w:r>
              <w:rPr>
                <w:rFonts w:ascii="Times New Roman" w:hAnsi="Times New Roman" w:cs="Times New Roman"/>
                <w:sz w:val="21"/>
                <w:szCs w:val="18"/>
              </w:rPr>
              <w:t>3.99</w:t>
            </w:r>
          </w:p>
        </w:tc>
        <w:tc>
          <w:tcPr>
            <w:tcW w:w="722" w:type="pct"/>
            <w:shd w:val="clear" w:color="auto" w:fill="auto"/>
            <w:vAlign w:val="center"/>
          </w:tcPr>
          <w:p w14:paraId="7C021870">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1</w:t>
            </w:r>
            <w:r>
              <w:rPr>
                <w:rFonts w:ascii="Times New Roman" w:hAnsi="Times New Roman" w:cs="Times New Roman"/>
                <w:sz w:val="21"/>
                <w:szCs w:val="18"/>
              </w:rPr>
              <w:t>.92</w:t>
            </w:r>
          </w:p>
        </w:tc>
      </w:tr>
      <w:tr w14:paraId="657E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677" w:type="pct"/>
            <w:shd w:val="clear" w:color="auto" w:fill="auto"/>
            <w:vAlign w:val="center"/>
          </w:tcPr>
          <w:p w14:paraId="3055B070">
            <w:pPr>
              <w:spacing w:line="240" w:lineRule="exact"/>
              <w:jc w:val="center"/>
              <w:rPr>
                <w:rFonts w:ascii="Times New Roman" w:hAnsi="Times New Roman" w:cs="Times New Roman"/>
                <w:sz w:val="21"/>
                <w:szCs w:val="18"/>
              </w:rPr>
            </w:pPr>
            <w:r>
              <w:rPr>
                <w:rFonts w:ascii="Times New Roman" w:hAnsi="Times New Roman" w:cs="Times New Roman"/>
                <w:sz w:val="21"/>
                <w:szCs w:val="18"/>
              </w:rPr>
              <w:t>施工机械</w:t>
            </w:r>
          </w:p>
        </w:tc>
        <w:tc>
          <w:tcPr>
            <w:tcW w:w="720" w:type="pct"/>
            <w:shd w:val="clear" w:color="auto" w:fill="auto"/>
            <w:vAlign w:val="center"/>
          </w:tcPr>
          <w:p w14:paraId="625E8A6F">
            <w:pPr>
              <w:spacing w:line="240" w:lineRule="exact"/>
              <w:jc w:val="center"/>
              <w:rPr>
                <w:rFonts w:ascii="Times New Roman" w:hAnsi="Times New Roman" w:cs="Times New Roman"/>
                <w:sz w:val="21"/>
                <w:szCs w:val="18"/>
              </w:rPr>
            </w:pPr>
            <w:r>
              <w:rPr>
                <w:rFonts w:ascii="Times New Roman" w:hAnsi="Times New Roman" w:cs="Times New Roman"/>
                <w:sz w:val="21"/>
                <w:szCs w:val="18"/>
              </w:rPr>
              <w:t>13.2</w:t>
            </w:r>
          </w:p>
        </w:tc>
        <w:tc>
          <w:tcPr>
            <w:tcW w:w="719" w:type="pct"/>
            <w:shd w:val="clear" w:color="auto" w:fill="auto"/>
            <w:vAlign w:val="center"/>
          </w:tcPr>
          <w:p w14:paraId="5FF1A4AE">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6</w:t>
            </w:r>
            <w:r>
              <w:rPr>
                <w:rFonts w:ascii="Times New Roman" w:hAnsi="Times New Roman" w:cs="Times New Roman"/>
                <w:sz w:val="21"/>
                <w:szCs w:val="18"/>
              </w:rPr>
              <w:t>.34</w:t>
            </w:r>
          </w:p>
        </w:tc>
        <w:tc>
          <w:tcPr>
            <w:tcW w:w="720" w:type="pct"/>
            <w:shd w:val="clear" w:color="auto" w:fill="auto"/>
            <w:vAlign w:val="center"/>
          </w:tcPr>
          <w:p w14:paraId="544797AD">
            <w:pPr>
              <w:spacing w:line="240" w:lineRule="exact"/>
              <w:jc w:val="center"/>
              <w:rPr>
                <w:rFonts w:ascii="Times New Roman" w:hAnsi="Times New Roman" w:cs="Times New Roman"/>
                <w:sz w:val="21"/>
                <w:szCs w:val="18"/>
              </w:rPr>
            </w:pPr>
            <w:r>
              <w:rPr>
                <w:rFonts w:ascii="Times New Roman" w:hAnsi="Times New Roman" w:cs="Times New Roman"/>
                <w:sz w:val="21"/>
                <w:szCs w:val="18"/>
              </w:rPr>
              <w:t>20</w:t>
            </w:r>
          </w:p>
        </w:tc>
        <w:tc>
          <w:tcPr>
            <w:tcW w:w="721" w:type="pct"/>
            <w:shd w:val="clear" w:color="auto" w:fill="auto"/>
            <w:vAlign w:val="center"/>
          </w:tcPr>
          <w:p w14:paraId="5992BA56">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9</w:t>
            </w:r>
            <w:r>
              <w:rPr>
                <w:rFonts w:ascii="Times New Roman" w:hAnsi="Times New Roman" w:cs="Times New Roman"/>
                <w:sz w:val="21"/>
                <w:szCs w:val="18"/>
              </w:rPr>
              <w:t>.60</w:t>
            </w:r>
          </w:p>
        </w:tc>
        <w:tc>
          <w:tcPr>
            <w:tcW w:w="720" w:type="pct"/>
            <w:shd w:val="clear" w:color="auto" w:fill="auto"/>
            <w:vAlign w:val="center"/>
          </w:tcPr>
          <w:p w14:paraId="6D03640F">
            <w:pPr>
              <w:spacing w:line="240" w:lineRule="exact"/>
              <w:jc w:val="center"/>
              <w:rPr>
                <w:rFonts w:ascii="Times New Roman" w:hAnsi="Times New Roman" w:cs="Times New Roman"/>
                <w:sz w:val="21"/>
                <w:szCs w:val="18"/>
              </w:rPr>
            </w:pPr>
            <w:r>
              <w:rPr>
                <w:rFonts w:ascii="Times New Roman" w:hAnsi="Times New Roman" w:cs="Times New Roman"/>
                <w:sz w:val="21"/>
                <w:szCs w:val="18"/>
              </w:rPr>
              <w:t>0.76</w:t>
            </w:r>
          </w:p>
        </w:tc>
        <w:tc>
          <w:tcPr>
            <w:tcW w:w="722" w:type="pct"/>
            <w:shd w:val="clear" w:color="auto" w:fill="auto"/>
            <w:vAlign w:val="center"/>
          </w:tcPr>
          <w:p w14:paraId="36228617">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0</w:t>
            </w:r>
            <w:r>
              <w:rPr>
                <w:rFonts w:ascii="Times New Roman" w:hAnsi="Times New Roman" w:cs="Times New Roman"/>
                <w:sz w:val="21"/>
                <w:szCs w:val="18"/>
              </w:rPr>
              <w:t>.36</w:t>
            </w:r>
          </w:p>
        </w:tc>
      </w:tr>
      <w:tr w14:paraId="6C22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677" w:type="pct"/>
            <w:shd w:val="clear" w:color="auto" w:fill="auto"/>
            <w:vAlign w:val="center"/>
          </w:tcPr>
          <w:p w14:paraId="52D2A787">
            <w:pPr>
              <w:spacing w:line="240" w:lineRule="exact"/>
              <w:jc w:val="center"/>
              <w:rPr>
                <w:rFonts w:ascii="Times New Roman" w:hAnsi="Times New Roman" w:cs="Times New Roman"/>
                <w:sz w:val="21"/>
                <w:szCs w:val="18"/>
              </w:rPr>
            </w:pPr>
            <w:r>
              <w:rPr>
                <w:rFonts w:ascii="Times New Roman" w:hAnsi="Times New Roman" w:cs="Times New Roman"/>
                <w:sz w:val="21"/>
                <w:szCs w:val="18"/>
              </w:rPr>
              <w:t>合计</w:t>
            </w:r>
          </w:p>
        </w:tc>
        <w:tc>
          <w:tcPr>
            <w:tcW w:w="720" w:type="pct"/>
            <w:shd w:val="clear" w:color="auto" w:fill="auto"/>
            <w:vAlign w:val="center"/>
          </w:tcPr>
          <w:p w14:paraId="7671B4F1">
            <w:pPr>
              <w:spacing w:line="240" w:lineRule="exact"/>
              <w:jc w:val="center"/>
              <w:rPr>
                <w:rFonts w:ascii="Times New Roman" w:hAnsi="Times New Roman" w:cs="Times New Roman"/>
                <w:sz w:val="21"/>
                <w:szCs w:val="18"/>
              </w:rPr>
            </w:pPr>
            <w:r>
              <w:rPr>
                <w:rFonts w:ascii="Times New Roman" w:hAnsi="Times New Roman" w:cs="Times New Roman"/>
                <w:sz w:val="21"/>
                <w:szCs w:val="18"/>
              </w:rPr>
              <w:t>——</w:t>
            </w:r>
          </w:p>
        </w:tc>
        <w:tc>
          <w:tcPr>
            <w:tcW w:w="719" w:type="pct"/>
            <w:shd w:val="clear" w:color="auto" w:fill="auto"/>
            <w:vAlign w:val="center"/>
          </w:tcPr>
          <w:p w14:paraId="033765A9">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2</w:t>
            </w:r>
            <w:r>
              <w:rPr>
                <w:rFonts w:ascii="Times New Roman" w:hAnsi="Times New Roman" w:cs="Times New Roman"/>
                <w:sz w:val="21"/>
                <w:szCs w:val="18"/>
              </w:rPr>
              <w:t>5.52</w:t>
            </w:r>
          </w:p>
        </w:tc>
        <w:tc>
          <w:tcPr>
            <w:tcW w:w="720" w:type="pct"/>
            <w:shd w:val="clear" w:color="auto" w:fill="auto"/>
            <w:vAlign w:val="center"/>
          </w:tcPr>
          <w:p w14:paraId="7F43AB47">
            <w:pPr>
              <w:spacing w:line="240" w:lineRule="exact"/>
              <w:jc w:val="center"/>
              <w:rPr>
                <w:rFonts w:ascii="Times New Roman" w:hAnsi="Times New Roman" w:cs="Times New Roman"/>
                <w:sz w:val="21"/>
                <w:szCs w:val="18"/>
              </w:rPr>
            </w:pPr>
            <w:r>
              <w:rPr>
                <w:rFonts w:ascii="Times New Roman" w:hAnsi="Times New Roman" w:cs="Times New Roman"/>
                <w:sz w:val="21"/>
                <w:szCs w:val="18"/>
              </w:rPr>
              <w:t>——</w:t>
            </w:r>
          </w:p>
        </w:tc>
        <w:tc>
          <w:tcPr>
            <w:tcW w:w="721" w:type="pct"/>
            <w:shd w:val="clear" w:color="auto" w:fill="auto"/>
            <w:vAlign w:val="center"/>
          </w:tcPr>
          <w:p w14:paraId="620ECD69">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2</w:t>
            </w:r>
            <w:r>
              <w:rPr>
                <w:rFonts w:ascii="Times New Roman" w:hAnsi="Times New Roman" w:cs="Times New Roman"/>
                <w:sz w:val="21"/>
                <w:szCs w:val="18"/>
              </w:rPr>
              <w:t>1.26</w:t>
            </w:r>
          </w:p>
        </w:tc>
        <w:tc>
          <w:tcPr>
            <w:tcW w:w="720" w:type="pct"/>
            <w:shd w:val="clear" w:color="auto" w:fill="auto"/>
            <w:vAlign w:val="center"/>
          </w:tcPr>
          <w:p w14:paraId="6CEB2768">
            <w:pPr>
              <w:spacing w:line="240" w:lineRule="exact"/>
              <w:jc w:val="center"/>
              <w:rPr>
                <w:rFonts w:ascii="Times New Roman" w:hAnsi="Times New Roman" w:cs="Times New Roman"/>
                <w:sz w:val="21"/>
                <w:szCs w:val="18"/>
              </w:rPr>
            </w:pPr>
            <w:r>
              <w:rPr>
                <w:rFonts w:ascii="Times New Roman" w:hAnsi="Times New Roman" w:cs="Times New Roman"/>
                <w:sz w:val="21"/>
                <w:szCs w:val="18"/>
              </w:rPr>
              <w:t>——</w:t>
            </w:r>
          </w:p>
        </w:tc>
        <w:tc>
          <w:tcPr>
            <w:tcW w:w="722" w:type="pct"/>
            <w:shd w:val="clear" w:color="auto" w:fill="auto"/>
            <w:vAlign w:val="center"/>
          </w:tcPr>
          <w:p w14:paraId="1453C110">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2</w:t>
            </w:r>
            <w:r>
              <w:rPr>
                <w:rFonts w:ascii="Times New Roman" w:hAnsi="Times New Roman" w:cs="Times New Roman"/>
                <w:sz w:val="21"/>
                <w:szCs w:val="18"/>
              </w:rPr>
              <w:t>.28</w:t>
            </w:r>
          </w:p>
        </w:tc>
      </w:tr>
    </w:tbl>
    <w:p w14:paraId="775B889F">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3.2.2.2施工期水环境污染源</w:t>
      </w:r>
    </w:p>
    <w:p w14:paraId="0D9530E1">
      <w:pPr>
        <w:spacing w:line="360" w:lineRule="auto"/>
        <w:ind w:firstLine="480" w:firstLineChars="200"/>
        <w:jc w:val="both"/>
        <w:rPr>
          <w:rFonts w:ascii="Times New Roman" w:hAnsi="Times New Roman" w:cs="Times New Roman"/>
        </w:rPr>
      </w:pPr>
      <w:r>
        <w:rPr>
          <w:rFonts w:ascii="Times New Roman" w:hAnsi="Times New Roman" w:cs="Times New Roman"/>
        </w:rPr>
        <w:t>（1）施工人员生活污水排放源强</w:t>
      </w:r>
    </w:p>
    <w:p w14:paraId="2F80D79E">
      <w:pPr>
        <w:spacing w:line="360" w:lineRule="auto"/>
        <w:ind w:firstLine="480" w:firstLineChars="200"/>
        <w:jc w:val="both"/>
        <w:rPr>
          <w:rFonts w:ascii="Times New Roman" w:hAnsi="Times New Roman" w:cs="Times New Roman"/>
        </w:rPr>
      </w:pPr>
      <w:r>
        <w:rPr>
          <w:rFonts w:ascii="Times New Roman" w:hAnsi="Times New Roman" w:cs="Times New Roman"/>
        </w:rPr>
        <w:t>施工期施工生活污水产生量按下述公式预测：Q</w:t>
      </w:r>
      <w:r>
        <w:rPr>
          <w:rFonts w:ascii="Times New Roman" w:hAnsi="Times New Roman" w:cs="Times New Roman"/>
          <w:vertAlign w:val="subscript"/>
        </w:rPr>
        <w:t>S</w:t>
      </w:r>
      <w:r>
        <w:rPr>
          <w:rFonts w:ascii="Times New Roman" w:hAnsi="Times New Roman" w:cs="Times New Roman"/>
        </w:rPr>
        <w:t>=（k·q·n）/1000</w:t>
      </w:r>
    </w:p>
    <w:p w14:paraId="7CDCA4DB">
      <w:pPr>
        <w:spacing w:line="360" w:lineRule="auto"/>
        <w:ind w:firstLine="480" w:firstLineChars="200"/>
        <w:jc w:val="both"/>
        <w:rPr>
          <w:rFonts w:ascii="Times New Roman" w:hAnsi="Times New Roman" w:cs="Times New Roman"/>
        </w:rPr>
      </w:pPr>
      <w:r>
        <w:rPr>
          <w:rFonts w:ascii="Times New Roman" w:hAnsi="Times New Roman" w:cs="Times New Roman"/>
        </w:rPr>
        <w:t>式中：Q</w:t>
      </w:r>
      <w:r>
        <w:rPr>
          <w:rFonts w:ascii="Times New Roman" w:hAnsi="Times New Roman" w:cs="Times New Roman"/>
          <w:vertAlign w:val="subscript"/>
        </w:rPr>
        <w:t>S</w:t>
      </w:r>
      <w:r>
        <w:rPr>
          <w:rFonts w:ascii="Times New Roman" w:hAnsi="Times New Roman" w:cs="Times New Roman"/>
        </w:rPr>
        <w:t>—生活污水排放量（t/d）；</w:t>
      </w:r>
    </w:p>
    <w:p w14:paraId="37AD6B4E">
      <w:pPr>
        <w:spacing w:line="360" w:lineRule="auto"/>
        <w:ind w:firstLine="1200" w:firstLineChars="500"/>
        <w:jc w:val="both"/>
        <w:rPr>
          <w:rFonts w:ascii="Times New Roman" w:hAnsi="Times New Roman" w:cs="Times New Roman"/>
        </w:rPr>
      </w:pPr>
      <w:r>
        <w:rPr>
          <w:rFonts w:ascii="Times New Roman" w:hAnsi="Times New Roman" w:cs="Times New Roman"/>
        </w:rPr>
        <w:t>k—污水排放系数（0.6～0.9），取0.9</w:t>
      </w:r>
    </w:p>
    <w:p w14:paraId="12FA7205">
      <w:pPr>
        <w:spacing w:line="360" w:lineRule="auto"/>
        <w:ind w:firstLine="1200" w:firstLineChars="500"/>
        <w:jc w:val="both"/>
        <w:rPr>
          <w:rFonts w:ascii="Times New Roman" w:hAnsi="Times New Roman" w:cs="Times New Roman"/>
        </w:rPr>
      </w:pPr>
      <w:r>
        <w:rPr>
          <w:rFonts w:ascii="Times New Roman" w:hAnsi="Times New Roman" w:cs="Times New Roman"/>
        </w:rPr>
        <w:t>q—每人每天生活污水量定额（L/人•d），取80L/人•d；</w:t>
      </w:r>
    </w:p>
    <w:p w14:paraId="2CF4E5C3">
      <w:pPr>
        <w:spacing w:line="360" w:lineRule="auto"/>
        <w:ind w:firstLine="1200" w:firstLineChars="500"/>
        <w:jc w:val="both"/>
        <w:rPr>
          <w:rFonts w:ascii="Times New Roman" w:hAnsi="Times New Roman" w:cs="Times New Roman"/>
        </w:rPr>
      </w:pPr>
      <w:r>
        <w:rPr>
          <w:rFonts w:ascii="Times New Roman" w:hAnsi="Times New Roman" w:cs="Times New Roman"/>
        </w:rPr>
        <w:t>n—施工人数。</w:t>
      </w:r>
    </w:p>
    <w:p w14:paraId="4A1F294E">
      <w:pPr>
        <w:spacing w:line="360" w:lineRule="auto"/>
        <w:ind w:firstLine="480" w:firstLineChars="200"/>
        <w:jc w:val="both"/>
        <w:rPr>
          <w:rFonts w:ascii="Times New Roman" w:hAnsi="Times New Roman" w:eastAsia="黑体" w:cs="Times New Roman"/>
          <w:color w:val="00B050"/>
        </w:rPr>
      </w:pPr>
      <w:r>
        <w:rPr>
          <w:rFonts w:ascii="Times New Roman" w:hAnsi="Times New Roman" w:cs="Times New Roman"/>
        </w:rPr>
        <w:t>根据上式计算得到施工人员每人每天排放的生活污水量约为0.072t。本项目拟设2处施工综合场站，常驻施工人员约为130人/d，则每天产生生活污水约为9.36t。项目</w:t>
      </w:r>
      <w:r>
        <w:rPr>
          <w:rFonts w:hint="eastAsia" w:ascii="Times New Roman" w:hAnsi="Times New Roman" w:cs="Times New Roman"/>
        </w:rPr>
        <w:t>施工天数4</w:t>
      </w:r>
      <w:r>
        <w:rPr>
          <w:rFonts w:ascii="Times New Roman" w:hAnsi="Times New Roman" w:cs="Times New Roman"/>
        </w:rPr>
        <w:t>80d</w:t>
      </w:r>
      <w:r>
        <w:rPr>
          <w:rFonts w:hint="eastAsia" w:ascii="Times New Roman" w:hAnsi="Times New Roman" w:cs="Times New Roman"/>
        </w:rPr>
        <w:t>（每年施工按</w:t>
      </w:r>
      <w:r>
        <w:rPr>
          <w:rFonts w:ascii="Times New Roman" w:hAnsi="Times New Roman" w:cs="Times New Roman"/>
        </w:rPr>
        <w:t>8个月计，共16个月</w:t>
      </w:r>
      <w:r>
        <w:rPr>
          <w:rFonts w:hint="eastAsia" w:ascii="Times New Roman" w:hAnsi="Times New Roman" w:cs="Times New Roman"/>
        </w:rPr>
        <w:t>），</w:t>
      </w:r>
      <w:r>
        <w:rPr>
          <w:rFonts w:ascii="Times New Roman" w:hAnsi="Times New Roman" w:cs="Times New Roman"/>
        </w:rPr>
        <w:t>共产生生活污水约4493t。施工期生活污水的主要</w:t>
      </w:r>
      <w:r>
        <w:rPr>
          <w:rFonts w:hint="eastAsia" w:ascii="Times New Roman" w:hAnsi="Times New Roman" w:cs="Times New Roman"/>
        </w:rPr>
        <w:t>成分</w:t>
      </w:r>
      <w:r>
        <w:rPr>
          <w:rFonts w:ascii="Times New Roman" w:hAnsi="Times New Roman" w:cs="Times New Roman"/>
        </w:rPr>
        <w:t>、浓度及产生量见表3.2-3。</w:t>
      </w:r>
    </w:p>
    <w:p w14:paraId="28806968">
      <w:pPr>
        <w:jc w:val="center"/>
        <w:rPr>
          <w:rFonts w:ascii="Times New Roman" w:hAnsi="Times New Roman" w:eastAsia="黑体" w:cs="Times New Roman"/>
        </w:rPr>
      </w:pPr>
      <w:r>
        <w:rPr>
          <w:rFonts w:ascii="Times New Roman" w:hAnsi="Times New Roman" w:eastAsia="黑体" w:cs="Times New Roman"/>
        </w:rPr>
        <w:t>表3.2-3  施工生活污水成分及浓度</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6"/>
        <w:gridCol w:w="1194"/>
        <w:gridCol w:w="1388"/>
        <w:gridCol w:w="1388"/>
        <w:gridCol w:w="1392"/>
      </w:tblGrid>
      <w:tr w14:paraId="13D5A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exact"/>
          <w:jc w:val="center"/>
        </w:trPr>
        <w:tc>
          <w:tcPr>
            <w:tcW w:w="1856" w:type="pct"/>
            <w:shd w:val="clear" w:color="auto" w:fill="auto"/>
            <w:vAlign w:val="center"/>
          </w:tcPr>
          <w:p w14:paraId="61588CFA">
            <w:pPr>
              <w:jc w:val="center"/>
              <w:rPr>
                <w:rFonts w:ascii="Times New Roman" w:hAnsi="Times New Roman" w:cs="Times New Roman"/>
                <w:sz w:val="21"/>
                <w:szCs w:val="18"/>
              </w:rPr>
            </w:pPr>
            <w:r>
              <w:rPr>
                <w:rFonts w:ascii="Times New Roman" w:hAnsi="Times New Roman" w:cs="Times New Roman"/>
                <w:sz w:val="21"/>
                <w:szCs w:val="18"/>
              </w:rPr>
              <w:t>主要污染物</w:t>
            </w:r>
          </w:p>
        </w:tc>
        <w:tc>
          <w:tcPr>
            <w:tcW w:w="700" w:type="pct"/>
            <w:shd w:val="clear" w:color="auto" w:fill="auto"/>
            <w:vAlign w:val="center"/>
          </w:tcPr>
          <w:p w14:paraId="1D2536A1">
            <w:pPr>
              <w:jc w:val="center"/>
              <w:rPr>
                <w:rFonts w:ascii="Times New Roman" w:hAnsi="Times New Roman" w:cs="Times New Roman"/>
                <w:sz w:val="21"/>
                <w:szCs w:val="18"/>
              </w:rPr>
            </w:pPr>
            <w:r>
              <w:rPr>
                <w:rFonts w:ascii="Times New Roman" w:hAnsi="Times New Roman" w:cs="Times New Roman"/>
                <w:sz w:val="21"/>
                <w:szCs w:val="18"/>
              </w:rPr>
              <w:t>污水量</w:t>
            </w:r>
          </w:p>
        </w:tc>
        <w:tc>
          <w:tcPr>
            <w:tcW w:w="814" w:type="pct"/>
            <w:shd w:val="clear" w:color="auto" w:fill="auto"/>
            <w:vAlign w:val="center"/>
          </w:tcPr>
          <w:p w14:paraId="37AD6FDE">
            <w:pPr>
              <w:jc w:val="center"/>
              <w:rPr>
                <w:rFonts w:ascii="Times New Roman" w:hAnsi="Times New Roman" w:cs="Times New Roman"/>
                <w:sz w:val="21"/>
                <w:szCs w:val="18"/>
              </w:rPr>
            </w:pPr>
            <w:r>
              <w:rPr>
                <w:rFonts w:ascii="Times New Roman" w:hAnsi="Times New Roman" w:cs="Times New Roman"/>
                <w:sz w:val="21"/>
                <w:szCs w:val="18"/>
              </w:rPr>
              <w:t>BOD</w:t>
            </w:r>
            <w:r>
              <w:rPr>
                <w:rFonts w:ascii="Times New Roman" w:hAnsi="Times New Roman" w:cs="Times New Roman"/>
                <w:sz w:val="21"/>
                <w:szCs w:val="18"/>
                <w:vertAlign w:val="subscript"/>
              </w:rPr>
              <w:t>5</w:t>
            </w:r>
          </w:p>
        </w:tc>
        <w:tc>
          <w:tcPr>
            <w:tcW w:w="814" w:type="pct"/>
            <w:shd w:val="clear" w:color="auto" w:fill="auto"/>
            <w:vAlign w:val="center"/>
          </w:tcPr>
          <w:p w14:paraId="13A96607">
            <w:pPr>
              <w:jc w:val="center"/>
              <w:rPr>
                <w:rFonts w:ascii="Times New Roman" w:hAnsi="Times New Roman" w:cs="Times New Roman"/>
                <w:sz w:val="21"/>
                <w:szCs w:val="18"/>
              </w:rPr>
            </w:pPr>
            <w:r>
              <w:rPr>
                <w:rFonts w:ascii="Times New Roman" w:hAnsi="Times New Roman" w:cs="Times New Roman"/>
                <w:sz w:val="21"/>
                <w:szCs w:val="18"/>
              </w:rPr>
              <w:t>COD</w:t>
            </w:r>
          </w:p>
        </w:tc>
        <w:tc>
          <w:tcPr>
            <w:tcW w:w="816" w:type="pct"/>
            <w:shd w:val="clear" w:color="auto" w:fill="auto"/>
            <w:vAlign w:val="center"/>
          </w:tcPr>
          <w:p w14:paraId="64BBCDDE">
            <w:pPr>
              <w:jc w:val="center"/>
              <w:rPr>
                <w:rFonts w:ascii="Times New Roman" w:hAnsi="Times New Roman" w:cs="Times New Roman"/>
                <w:sz w:val="21"/>
                <w:szCs w:val="18"/>
              </w:rPr>
            </w:pPr>
            <w:r>
              <w:rPr>
                <w:rFonts w:ascii="Times New Roman" w:hAnsi="Times New Roman" w:cs="Times New Roman"/>
                <w:sz w:val="21"/>
                <w:szCs w:val="18"/>
              </w:rPr>
              <w:t>SS</w:t>
            </w:r>
          </w:p>
        </w:tc>
      </w:tr>
      <w:tr w14:paraId="4B4C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856" w:type="pct"/>
            <w:shd w:val="clear" w:color="auto" w:fill="auto"/>
            <w:vAlign w:val="center"/>
          </w:tcPr>
          <w:p w14:paraId="06912C06">
            <w:pPr>
              <w:jc w:val="center"/>
              <w:rPr>
                <w:rFonts w:ascii="Times New Roman" w:hAnsi="Times New Roman" w:cs="Times New Roman"/>
                <w:sz w:val="21"/>
                <w:szCs w:val="18"/>
              </w:rPr>
            </w:pPr>
            <w:r>
              <w:rPr>
                <w:rFonts w:ascii="Times New Roman" w:hAnsi="Times New Roman" w:cs="Times New Roman"/>
                <w:sz w:val="21"/>
                <w:szCs w:val="18"/>
              </w:rPr>
              <w:t>浓度(mg/L)</w:t>
            </w:r>
          </w:p>
        </w:tc>
        <w:tc>
          <w:tcPr>
            <w:tcW w:w="700" w:type="pct"/>
            <w:shd w:val="clear" w:color="auto" w:fill="auto"/>
            <w:vAlign w:val="center"/>
          </w:tcPr>
          <w:p w14:paraId="0A52894C">
            <w:pPr>
              <w:jc w:val="center"/>
              <w:rPr>
                <w:rFonts w:ascii="Times New Roman" w:hAnsi="Times New Roman" w:cs="Times New Roman"/>
                <w:sz w:val="21"/>
                <w:szCs w:val="18"/>
              </w:rPr>
            </w:pPr>
            <w:r>
              <w:rPr>
                <w:rFonts w:ascii="Times New Roman" w:hAnsi="Times New Roman" w:cs="Times New Roman"/>
                <w:sz w:val="21"/>
                <w:szCs w:val="18"/>
              </w:rPr>
              <w:t>/</w:t>
            </w:r>
          </w:p>
        </w:tc>
        <w:tc>
          <w:tcPr>
            <w:tcW w:w="814" w:type="pct"/>
            <w:shd w:val="clear" w:color="auto" w:fill="auto"/>
            <w:vAlign w:val="center"/>
          </w:tcPr>
          <w:p w14:paraId="1B69D50B">
            <w:pPr>
              <w:jc w:val="center"/>
              <w:rPr>
                <w:rFonts w:ascii="Times New Roman" w:hAnsi="Times New Roman" w:cs="Times New Roman"/>
                <w:sz w:val="21"/>
                <w:szCs w:val="18"/>
              </w:rPr>
            </w:pPr>
            <w:r>
              <w:rPr>
                <w:rFonts w:ascii="Times New Roman" w:hAnsi="Times New Roman" w:cs="Times New Roman"/>
                <w:sz w:val="21"/>
                <w:szCs w:val="18"/>
              </w:rPr>
              <w:t>250</w:t>
            </w:r>
          </w:p>
        </w:tc>
        <w:tc>
          <w:tcPr>
            <w:tcW w:w="814" w:type="pct"/>
            <w:shd w:val="clear" w:color="auto" w:fill="auto"/>
            <w:vAlign w:val="center"/>
          </w:tcPr>
          <w:p w14:paraId="461ED5D2">
            <w:pPr>
              <w:jc w:val="center"/>
              <w:rPr>
                <w:rFonts w:ascii="Times New Roman" w:hAnsi="Times New Roman" w:cs="Times New Roman"/>
                <w:sz w:val="21"/>
                <w:szCs w:val="18"/>
              </w:rPr>
            </w:pPr>
            <w:r>
              <w:rPr>
                <w:rFonts w:ascii="Times New Roman" w:hAnsi="Times New Roman" w:cs="Times New Roman"/>
                <w:sz w:val="21"/>
                <w:szCs w:val="18"/>
              </w:rPr>
              <w:t>400</w:t>
            </w:r>
          </w:p>
        </w:tc>
        <w:tc>
          <w:tcPr>
            <w:tcW w:w="816" w:type="pct"/>
            <w:shd w:val="clear" w:color="auto" w:fill="auto"/>
            <w:vAlign w:val="center"/>
          </w:tcPr>
          <w:p w14:paraId="27FDB66D">
            <w:pPr>
              <w:jc w:val="center"/>
              <w:rPr>
                <w:rFonts w:ascii="Times New Roman" w:hAnsi="Times New Roman" w:cs="Times New Roman"/>
                <w:sz w:val="21"/>
                <w:szCs w:val="18"/>
              </w:rPr>
            </w:pPr>
            <w:r>
              <w:rPr>
                <w:rFonts w:ascii="Times New Roman" w:hAnsi="Times New Roman" w:cs="Times New Roman"/>
                <w:sz w:val="21"/>
                <w:szCs w:val="18"/>
              </w:rPr>
              <w:t>300</w:t>
            </w:r>
          </w:p>
        </w:tc>
      </w:tr>
      <w:tr w14:paraId="2C38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856" w:type="pct"/>
            <w:shd w:val="clear" w:color="auto" w:fill="auto"/>
            <w:vAlign w:val="center"/>
          </w:tcPr>
          <w:p w14:paraId="47FEC1F9">
            <w:pPr>
              <w:jc w:val="center"/>
              <w:rPr>
                <w:rFonts w:ascii="Times New Roman" w:hAnsi="Times New Roman" w:cs="Times New Roman"/>
                <w:sz w:val="21"/>
                <w:szCs w:val="18"/>
              </w:rPr>
            </w:pPr>
            <w:r>
              <w:rPr>
                <w:rFonts w:ascii="Times New Roman" w:hAnsi="Times New Roman" w:cs="Times New Roman"/>
                <w:sz w:val="21"/>
                <w:szCs w:val="18"/>
              </w:rPr>
              <w:t>污染物产生量t/d</w:t>
            </w:r>
          </w:p>
        </w:tc>
        <w:tc>
          <w:tcPr>
            <w:tcW w:w="700" w:type="pct"/>
            <w:shd w:val="clear" w:color="auto" w:fill="auto"/>
            <w:vAlign w:val="center"/>
          </w:tcPr>
          <w:p w14:paraId="13644C2B">
            <w:pPr>
              <w:jc w:val="center"/>
              <w:rPr>
                <w:rFonts w:ascii="Times New Roman" w:hAnsi="Times New Roman" w:cs="Times New Roman"/>
                <w:sz w:val="21"/>
                <w:szCs w:val="18"/>
              </w:rPr>
            </w:pPr>
            <w:r>
              <w:rPr>
                <w:rFonts w:ascii="Times New Roman" w:hAnsi="Times New Roman" w:cs="Times New Roman"/>
                <w:sz w:val="21"/>
                <w:szCs w:val="18"/>
              </w:rPr>
              <w:t>9.36</w:t>
            </w:r>
          </w:p>
        </w:tc>
        <w:tc>
          <w:tcPr>
            <w:tcW w:w="814" w:type="pct"/>
            <w:shd w:val="clear" w:color="auto" w:fill="auto"/>
            <w:vAlign w:val="center"/>
          </w:tcPr>
          <w:p w14:paraId="09CAD7E1">
            <w:pPr>
              <w:jc w:val="center"/>
              <w:rPr>
                <w:rFonts w:ascii="Times New Roman" w:hAnsi="Times New Roman" w:cs="Times New Roman"/>
                <w:sz w:val="21"/>
                <w:szCs w:val="18"/>
              </w:rPr>
            </w:pPr>
            <w:r>
              <w:rPr>
                <w:rFonts w:ascii="Times New Roman" w:hAnsi="Times New Roman" w:cs="Times New Roman"/>
                <w:sz w:val="21"/>
                <w:szCs w:val="18"/>
              </w:rPr>
              <w:t>2.34×10</w:t>
            </w:r>
            <w:r>
              <w:rPr>
                <w:rFonts w:ascii="Times New Roman" w:hAnsi="Times New Roman" w:cs="Times New Roman"/>
                <w:sz w:val="21"/>
                <w:szCs w:val="18"/>
                <w:vertAlign w:val="superscript"/>
              </w:rPr>
              <w:t>-3</w:t>
            </w:r>
          </w:p>
        </w:tc>
        <w:tc>
          <w:tcPr>
            <w:tcW w:w="814" w:type="pct"/>
            <w:shd w:val="clear" w:color="auto" w:fill="auto"/>
            <w:vAlign w:val="center"/>
          </w:tcPr>
          <w:p w14:paraId="45C88670">
            <w:pPr>
              <w:jc w:val="center"/>
              <w:rPr>
                <w:rFonts w:ascii="Times New Roman" w:hAnsi="Times New Roman" w:cs="Times New Roman"/>
                <w:sz w:val="21"/>
                <w:szCs w:val="18"/>
              </w:rPr>
            </w:pPr>
            <w:r>
              <w:rPr>
                <w:rFonts w:ascii="Times New Roman" w:hAnsi="Times New Roman" w:cs="Times New Roman"/>
                <w:sz w:val="21"/>
                <w:szCs w:val="18"/>
              </w:rPr>
              <w:t>3.74×10</w:t>
            </w:r>
            <w:r>
              <w:rPr>
                <w:rFonts w:ascii="Times New Roman" w:hAnsi="Times New Roman" w:cs="Times New Roman"/>
                <w:sz w:val="21"/>
                <w:szCs w:val="18"/>
                <w:vertAlign w:val="superscript"/>
              </w:rPr>
              <w:t>-3</w:t>
            </w:r>
          </w:p>
        </w:tc>
        <w:tc>
          <w:tcPr>
            <w:tcW w:w="816" w:type="pct"/>
            <w:shd w:val="clear" w:color="auto" w:fill="auto"/>
            <w:vAlign w:val="center"/>
          </w:tcPr>
          <w:p w14:paraId="38DA5D44">
            <w:pPr>
              <w:jc w:val="center"/>
              <w:rPr>
                <w:rFonts w:ascii="Times New Roman" w:hAnsi="Times New Roman" w:cs="Times New Roman"/>
                <w:sz w:val="21"/>
                <w:szCs w:val="18"/>
              </w:rPr>
            </w:pPr>
            <w:r>
              <w:rPr>
                <w:rFonts w:ascii="Times New Roman" w:hAnsi="Times New Roman" w:cs="Times New Roman"/>
                <w:sz w:val="21"/>
                <w:szCs w:val="18"/>
              </w:rPr>
              <w:t>2.81×10</w:t>
            </w:r>
            <w:r>
              <w:rPr>
                <w:rFonts w:ascii="Times New Roman" w:hAnsi="Times New Roman" w:cs="Times New Roman"/>
                <w:sz w:val="21"/>
                <w:szCs w:val="18"/>
                <w:vertAlign w:val="superscript"/>
              </w:rPr>
              <w:t>-3</w:t>
            </w:r>
          </w:p>
        </w:tc>
      </w:tr>
      <w:tr w14:paraId="1D9B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856" w:type="pct"/>
            <w:shd w:val="clear" w:color="auto" w:fill="auto"/>
            <w:vAlign w:val="center"/>
          </w:tcPr>
          <w:p w14:paraId="192CC349">
            <w:pPr>
              <w:jc w:val="center"/>
              <w:rPr>
                <w:rFonts w:ascii="Times New Roman" w:hAnsi="Times New Roman" w:cs="Times New Roman"/>
                <w:sz w:val="21"/>
                <w:szCs w:val="18"/>
              </w:rPr>
            </w:pPr>
            <w:r>
              <w:rPr>
                <w:rFonts w:ascii="Times New Roman" w:hAnsi="Times New Roman" w:cs="Times New Roman"/>
                <w:sz w:val="21"/>
                <w:szCs w:val="18"/>
              </w:rPr>
              <w:t>污染物总产生量t/16个月</w:t>
            </w:r>
          </w:p>
        </w:tc>
        <w:tc>
          <w:tcPr>
            <w:tcW w:w="700" w:type="pct"/>
            <w:shd w:val="clear" w:color="auto" w:fill="auto"/>
            <w:vAlign w:val="center"/>
          </w:tcPr>
          <w:p w14:paraId="654C88B5">
            <w:pPr>
              <w:jc w:val="center"/>
              <w:rPr>
                <w:rFonts w:ascii="Times New Roman" w:hAnsi="Times New Roman" w:cs="Times New Roman"/>
                <w:sz w:val="21"/>
                <w:szCs w:val="18"/>
              </w:rPr>
            </w:pPr>
            <w:r>
              <w:rPr>
                <w:rFonts w:hint="eastAsia" w:ascii="Times New Roman" w:hAnsi="Times New Roman" w:cs="Times New Roman"/>
                <w:sz w:val="21"/>
                <w:szCs w:val="18"/>
              </w:rPr>
              <w:t>4</w:t>
            </w:r>
            <w:r>
              <w:rPr>
                <w:rFonts w:ascii="Times New Roman" w:hAnsi="Times New Roman" w:cs="Times New Roman"/>
                <w:sz w:val="21"/>
                <w:szCs w:val="18"/>
              </w:rPr>
              <w:t>493</w:t>
            </w:r>
          </w:p>
        </w:tc>
        <w:tc>
          <w:tcPr>
            <w:tcW w:w="814" w:type="pct"/>
            <w:shd w:val="clear" w:color="auto" w:fill="auto"/>
            <w:vAlign w:val="center"/>
          </w:tcPr>
          <w:p w14:paraId="442562A4">
            <w:pPr>
              <w:jc w:val="center"/>
              <w:rPr>
                <w:rFonts w:ascii="Times New Roman" w:hAnsi="Times New Roman" w:cs="Times New Roman"/>
                <w:sz w:val="21"/>
                <w:szCs w:val="18"/>
              </w:rPr>
            </w:pPr>
            <w:r>
              <w:rPr>
                <w:rFonts w:ascii="Times New Roman" w:hAnsi="Times New Roman" w:cs="Times New Roman"/>
                <w:sz w:val="21"/>
                <w:szCs w:val="18"/>
              </w:rPr>
              <w:t>1.12</w:t>
            </w:r>
          </w:p>
        </w:tc>
        <w:tc>
          <w:tcPr>
            <w:tcW w:w="814" w:type="pct"/>
            <w:shd w:val="clear" w:color="auto" w:fill="auto"/>
            <w:vAlign w:val="center"/>
          </w:tcPr>
          <w:p w14:paraId="69461414">
            <w:pPr>
              <w:jc w:val="center"/>
              <w:rPr>
                <w:rFonts w:ascii="Times New Roman" w:hAnsi="Times New Roman" w:cs="Times New Roman"/>
                <w:sz w:val="21"/>
                <w:szCs w:val="18"/>
              </w:rPr>
            </w:pPr>
            <w:r>
              <w:rPr>
                <w:rFonts w:ascii="Times New Roman" w:hAnsi="Times New Roman" w:cs="Times New Roman"/>
                <w:sz w:val="21"/>
                <w:szCs w:val="18"/>
              </w:rPr>
              <w:t>1.80</w:t>
            </w:r>
          </w:p>
        </w:tc>
        <w:tc>
          <w:tcPr>
            <w:tcW w:w="816" w:type="pct"/>
            <w:shd w:val="clear" w:color="auto" w:fill="auto"/>
            <w:vAlign w:val="center"/>
          </w:tcPr>
          <w:p w14:paraId="407D2FB0">
            <w:pPr>
              <w:jc w:val="center"/>
              <w:rPr>
                <w:rFonts w:ascii="Times New Roman" w:hAnsi="Times New Roman" w:cs="Times New Roman"/>
                <w:sz w:val="21"/>
                <w:szCs w:val="18"/>
              </w:rPr>
            </w:pPr>
            <w:r>
              <w:rPr>
                <w:rFonts w:ascii="Times New Roman" w:hAnsi="Times New Roman" w:cs="Times New Roman"/>
                <w:sz w:val="21"/>
                <w:szCs w:val="18"/>
              </w:rPr>
              <w:t>1.35</w:t>
            </w:r>
          </w:p>
        </w:tc>
      </w:tr>
    </w:tbl>
    <w:p w14:paraId="68E8EAF5">
      <w:pPr>
        <w:spacing w:before="156" w:beforeLines="50" w:line="360" w:lineRule="auto"/>
        <w:ind w:firstLine="480" w:firstLineChars="200"/>
        <w:jc w:val="both"/>
        <w:rPr>
          <w:rFonts w:ascii="Times New Roman" w:hAnsi="Times New Roman" w:cs="Times New Roman"/>
        </w:rPr>
      </w:pPr>
      <w:r>
        <w:rPr>
          <w:rFonts w:hint="eastAsia" w:ascii="Times New Roman" w:hAnsi="Times New Roman" w:cs="Times New Roman"/>
        </w:rPr>
        <w:t>施工期生活污水采用一体化化粪池处理，满足《污水综合排放标准》（</w:t>
      </w:r>
      <w:r>
        <w:rPr>
          <w:rFonts w:ascii="Times New Roman" w:hAnsi="Times New Roman" w:cs="Times New Roman"/>
        </w:rPr>
        <w:t>GB8978—1996）三级标准</w:t>
      </w:r>
      <w:r>
        <w:rPr>
          <w:rFonts w:hint="eastAsia" w:ascii="Times New Roman" w:hAnsi="Times New Roman" w:cs="Times New Roman"/>
        </w:rPr>
        <w:t>后回用于场地内地面冲洗、抑尘，废水不外排</w:t>
      </w:r>
      <w:r>
        <w:rPr>
          <w:rFonts w:ascii="Times New Roman" w:hAnsi="Times New Roman" w:cs="Times New Roman"/>
        </w:rPr>
        <w:t>。</w:t>
      </w:r>
    </w:p>
    <w:p w14:paraId="4A8A976A">
      <w:pPr>
        <w:spacing w:line="360" w:lineRule="auto"/>
        <w:ind w:firstLine="480" w:firstLineChars="200"/>
        <w:jc w:val="both"/>
        <w:rPr>
          <w:rFonts w:ascii="Times New Roman" w:hAnsi="Times New Roman" w:cs="Times New Roman"/>
        </w:rPr>
      </w:pPr>
      <w:r>
        <w:rPr>
          <w:rFonts w:ascii="Times New Roman" w:hAnsi="Times New Roman" w:cs="Times New Roman"/>
        </w:rPr>
        <w:t>（2）施工生产废水</w:t>
      </w:r>
    </w:p>
    <w:p w14:paraId="41DF9240">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1 \* GB3 </w:instrText>
      </w:r>
      <w:r>
        <w:rPr>
          <w:rFonts w:ascii="Times New Roman" w:hAnsi="Times New Roman" w:cs="Times New Roman"/>
        </w:rPr>
        <w:fldChar w:fldCharType="separate"/>
      </w:r>
      <w:r>
        <w:rPr>
          <w:rFonts w:hint="eastAsia"/>
        </w:rPr>
        <w:t>①</w:t>
      </w:r>
      <w:r>
        <w:rPr>
          <w:rFonts w:ascii="Times New Roman" w:hAnsi="Times New Roman" w:cs="Times New Roman"/>
        </w:rPr>
        <w:fldChar w:fldCharType="end"/>
      </w:r>
      <w:r>
        <w:rPr>
          <w:rFonts w:ascii="Times New Roman" w:hAnsi="Times New Roman" w:cs="Times New Roman"/>
        </w:rPr>
        <w:t>含油废水</w:t>
      </w:r>
    </w:p>
    <w:p w14:paraId="38FA8BCC">
      <w:pPr>
        <w:spacing w:line="360" w:lineRule="auto"/>
        <w:ind w:firstLine="480" w:firstLineChars="200"/>
        <w:jc w:val="both"/>
        <w:rPr>
          <w:rFonts w:ascii="Times New Roman" w:hAnsi="Times New Roman" w:cs="Times New Roman"/>
        </w:rPr>
      </w:pPr>
      <w:r>
        <w:rPr>
          <w:rFonts w:ascii="Times New Roman" w:hAnsi="Times New Roman" w:cs="Times New Roman"/>
        </w:rPr>
        <w:t>施工过程中的含油废水主要是机械设备和运输车辆维修产生的废油、冲洗过程中产生的含油废水。本项目机械及车辆维修依托</w:t>
      </w:r>
      <w:r>
        <w:rPr>
          <w:rFonts w:hint="eastAsia" w:ascii="Times New Roman" w:hAnsi="Times New Roman" w:cs="Times New Roman"/>
        </w:rPr>
        <w:t>草湖镇</w:t>
      </w:r>
      <w:r>
        <w:rPr>
          <w:rFonts w:ascii="Times New Roman" w:hAnsi="Times New Roman" w:cs="Times New Roman"/>
        </w:rPr>
        <w:t>社会资源，施工综合站场不设机械维修站，无废油产生。</w:t>
      </w:r>
    </w:p>
    <w:p w14:paraId="7ED1F62F">
      <w:pPr>
        <w:spacing w:line="360" w:lineRule="auto"/>
        <w:ind w:firstLine="480" w:firstLineChars="200"/>
        <w:jc w:val="both"/>
        <w:rPr>
          <w:rFonts w:ascii="Times New Roman" w:hAnsi="Times New Roman" w:cs="Times New Roman"/>
        </w:rPr>
      </w:pPr>
      <w:r>
        <w:rPr>
          <w:rFonts w:ascii="Times New Roman" w:hAnsi="Times New Roman" w:cs="Times New Roman"/>
        </w:rPr>
        <w:t>项目的含油废水来自机械设备及车辆冲洗废水，主要污染物为石油类和SS，综合场站内均分别设置多个沉淀池对含油废水进行收集，经沉淀处理后泼洒降尘，严禁外排，可以有效降低对区域环境的不利影响。</w:t>
      </w:r>
    </w:p>
    <w:p w14:paraId="57DE6A8D">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2 \* GB3 </w:instrText>
      </w:r>
      <w:r>
        <w:rPr>
          <w:rFonts w:ascii="Times New Roman" w:hAnsi="Times New Roman" w:cs="Times New Roman"/>
        </w:rPr>
        <w:fldChar w:fldCharType="separate"/>
      </w:r>
      <w:r>
        <w:rPr>
          <w:rFonts w:hint="eastAsia"/>
        </w:rPr>
        <w:t>②</w:t>
      </w:r>
      <w:r>
        <w:rPr>
          <w:rFonts w:ascii="Times New Roman" w:hAnsi="Times New Roman" w:cs="Times New Roman"/>
        </w:rPr>
        <w:fldChar w:fldCharType="end"/>
      </w:r>
      <w:r>
        <w:rPr>
          <w:rFonts w:ascii="Times New Roman" w:hAnsi="Times New Roman" w:cs="Times New Roman"/>
        </w:rPr>
        <w:t>搅拌站、预制场生产废水</w:t>
      </w:r>
    </w:p>
    <w:p w14:paraId="0AAA7845">
      <w:pPr>
        <w:spacing w:line="360" w:lineRule="auto"/>
        <w:ind w:firstLine="480" w:firstLineChars="200"/>
        <w:jc w:val="both"/>
        <w:rPr>
          <w:rFonts w:ascii="Times New Roman" w:hAnsi="Times New Roman" w:cs="Times New Roman"/>
        </w:rPr>
      </w:pPr>
      <w:r>
        <w:rPr>
          <w:rFonts w:ascii="Times New Roman" w:hAnsi="Times New Roman" w:cs="Times New Roman"/>
        </w:rPr>
        <w:t>综合场站内的生产废水主要有混凝土搅拌站设备和砼罐车清洗废水、预制场的混凝土养护废水。根据自治区道路施工统计资料，一般每处场地的生产废水量均低于1t/d，主要污染物为SS，浓度可达到3000mg/L～5000mg/L。</w:t>
      </w:r>
    </w:p>
    <w:p w14:paraId="48D4A8C3">
      <w:pPr>
        <w:spacing w:line="360" w:lineRule="auto"/>
        <w:ind w:firstLine="480" w:firstLineChars="200"/>
        <w:jc w:val="both"/>
        <w:rPr>
          <w:rFonts w:ascii="Times New Roman" w:hAnsi="Times New Roman" w:cs="Times New Roman"/>
        </w:rPr>
      </w:pPr>
      <w:r>
        <w:rPr>
          <w:rFonts w:ascii="Times New Roman" w:hAnsi="Times New Roman" w:cs="Times New Roman"/>
        </w:rPr>
        <w:t>项目施工综合场站所需砂石料等均为外购成品砂石料，不涉及场地内砂石料的清洗作业，全部外购符合项目生产所需的成品砂石料，在场地内设封闭式储料棚堆放后直接利用。</w:t>
      </w:r>
    </w:p>
    <w:p w14:paraId="215B1570">
      <w:pPr>
        <w:spacing w:line="360" w:lineRule="auto"/>
        <w:ind w:firstLine="480" w:firstLineChars="200"/>
        <w:jc w:val="both"/>
        <w:rPr>
          <w:rFonts w:ascii="Times New Roman" w:hAnsi="Times New Roman" w:cs="Times New Roman"/>
        </w:rPr>
      </w:pPr>
      <w:r>
        <w:rPr>
          <w:rFonts w:ascii="Times New Roman" w:hAnsi="Times New Roman" w:cs="Times New Roman"/>
        </w:rPr>
        <w:t>本项目拟在综合场站内设沉淀池，废水集中收集，经沉淀处理后回用</w:t>
      </w:r>
      <w:r>
        <w:rPr>
          <w:rFonts w:hint="eastAsia" w:ascii="Times New Roman" w:hAnsi="Times New Roman" w:cs="Times New Roman"/>
        </w:rPr>
        <w:t>作</w:t>
      </w:r>
      <w:r>
        <w:rPr>
          <w:rFonts w:ascii="Times New Roman" w:hAnsi="Times New Roman" w:cs="Times New Roman"/>
        </w:rPr>
        <w:t>降尘用水，不外排，施工结束后将沉淀池覆土掩埋。</w:t>
      </w:r>
    </w:p>
    <w:p w14:paraId="3E521FF0">
      <w:pPr>
        <w:spacing w:line="360" w:lineRule="auto"/>
        <w:ind w:firstLine="480" w:firstLineChars="200"/>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 3 \* GB3 </w:instrText>
      </w:r>
      <w:r>
        <w:rPr>
          <w:rFonts w:ascii="Times New Roman" w:hAnsi="Times New Roman" w:cs="Times New Roman"/>
        </w:rPr>
        <w:fldChar w:fldCharType="separate"/>
      </w:r>
      <w:r>
        <w:rPr>
          <w:rFonts w:hint="eastAsia"/>
        </w:rPr>
        <w:t>③</w:t>
      </w:r>
      <w:r>
        <w:rPr>
          <w:rFonts w:ascii="Times New Roman" w:hAnsi="Times New Roman" w:cs="Times New Roman"/>
        </w:rPr>
        <w:fldChar w:fldCharType="end"/>
      </w:r>
      <w:r>
        <w:rPr>
          <w:rFonts w:ascii="Times New Roman" w:hAnsi="Times New Roman" w:cs="Times New Roman"/>
        </w:rPr>
        <w:t>桥墩施工废水</w:t>
      </w:r>
    </w:p>
    <w:p w14:paraId="6FA00124">
      <w:pPr>
        <w:spacing w:line="360" w:lineRule="auto"/>
        <w:ind w:firstLine="480" w:firstLineChars="200"/>
        <w:jc w:val="both"/>
        <w:rPr>
          <w:rFonts w:ascii="Times New Roman" w:hAnsi="Times New Roman" w:cs="Times New Roman"/>
        </w:rPr>
      </w:pPr>
      <w:r>
        <w:rPr>
          <w:rFonts w:hint="eastAsia" w:ascii="Times New Roman" w:hAnsi="Times New Roman" w:cs="Times New Roman"/>
        </w:rPr>
        <w:t>跨越水体桥梁施工期间，施工生产废水、生活污水可能对局部水域产生污染。施工初期，由于桥墩基础施工，在作业场地周围将会局部的扰动河底，故而会使局部水体中泥砂等悬浮物增加。本项目桥梁墩柱使用钢围堰施工，桥墩桩基施工的弃土及泥浆随意排放，对水体会造成</w:t>
      </w:r>
      <w:r>
        <w:rPr>
          <w:rFonts w:ascii="Times New Roman" w:hAnsi="Times New Roman" w:cs="Times New Roman"/>
        </w:rPr>
        <w:t>一定的影响。桥墩施工对水环境的影响主要表现在桩基泥浆水的泄漏，根据相关研究结论，</w:t>
      </w:r>
      <w:r>
        <w:rPr>
          <w:rFonts w:hint="eastAsia" w:ascii="Times New Roman" w:hAnsi="Times New Roman" w:cs="Times New Roman"/>
        </w:rPr>
        <w:t>桩基泥浆水比重：</w:t>
      </w:r>
      <w:r>
        <w:rPr>
          <w:rFonts w:ascii="Times New Roman" w:hAnsi="Times New Roman" w:cs="Times New Roman"/>
        </w:rPr>
        <w:t>1.20~1.46，含泥量：32%～50%，pH值：6~7。污染物主要以SS为主，其</w:t>
      </w:r>
      <w:r>
        <w:rPr>
          <w:rFonts w:hint="eastAsia" w:ascii="Times New Roman" w:hAnsi="Times New Roman" w:cs="Times New Roman"/>
        </w:rPr>
        <w:t>浓度一般</w:t>
      </w:r>
      <w:r>
        <w:rPr>
          <w:rFonts w:ascii="Times New Roman" w:hAnsi="Times New Roman" w:cs="Times New Roman"/>
        </w:rPr>
        <w:t>为：200-300mg/L。施工期需在施工生产生活区内设置泥浆箱，泥浆水通过管道流入沉淀池沉淀，沉淀后的上清液循环利用，清出的沉淀物运至弃土场。</w:t>
      </w:r>
    </w:p>
    <w:p w14:paraId="6858C2CE">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3.2.2.3施工期噪声污染源</w:t>
      </w:r>
    </w:p>
    <w:p w14:paraId="30363513">
      <w:pPr>
        <w:spacing w:line="360" w:lineRule="auto"/>
        <w:ind w:firstLine="480" w:firstLineChars="200"/>
        <w:jc w:val="both"/>
        <w:rPr>
          <w:rFonts w:ascii="Times New Roman" w:hAnsi="Times New Roman" w:cs="Times New Roman"/>
          <w:snapToGrid w:val="0"/>
          <w:lang w:val="zh-CN"/>
        </w:rPr>
      </w:pPr>
      <w:r>
        <w:rPr>
          <w:rFonts w:ascii="Times New Roman" w:hAnsi="Times New Roman" w:cs="Times New Roman"/>
        </w:rPr>
        <w:t>施工期间的噪声主要来自施工机械作业和运输车辆。根据</w:t>
      </w:r>
      <w:r>
        <w:rPr>
          <w:rFonts w:ascii="Times New Roman" w:hAnsi="Times New Roman" w:cs="Times New Roman"/>
          <w:snapToGrid w:val="0"/>
          <w:lang w:val="zh-CN"/>
        </w:rPr>
        <w:t>《环境影响评价技术导则 公路建设项目》（HJ1358-2024）附录D表D.1工程机械噪声源强和表D.2沥青混凝土搅拌机（以型号为LB30型（西筑）沥青混凝土搅拌机为例）噪声源强，见表3.2-4、表3.2-5。</w:t>
      </w:r>
    </w:p>
    <w:p w14:paraId="2A9EE462">
      <w:pPr>
        <w:pStyle w:val="22"/>
        <w:adjustRightInd w:val="0"/>
        <w:snapToGrid w:val="0"/>
        <w:jc w:val="center"/>
        <w:rPr>
          <w:rFonts w:ascii="Times New Roman" w:hAnsi="Times New Roman" w:cs="Times New Roman"/>
          <w:sz w:val="24"/>
          <w:szCs w:val="24"/>
        </w:rPr>
      </w:pPr>
      <w:r>
        <w:rPr>
          <w:rFonts w:ascii="Times New Roman" w:hAnsi="Times New Roman" w:cs="Times New Roman"/>
          <w:sz w:val="24"/>
          <w:szCs w:val="24"/>
        </w:rPr>
        <w:t xml:space="preserve">表3.2-4  </w:t>
      </w:r>
      <w:r>
        <w:rPr>
          <w:rFonts w:ascii="Times New Roman" w:hAnsi="Times New Roman" w:cs="Times New Roman"/>
          <w:bCs/>
          <w:sz w:val="24"/>
          <w:szCs w:val="24"/>
        </w:rPr>
        <w:t xml:space="preserve">公路施工机械设备声级最大值及范围  </w:t>
      </w:r>
      <w:r>
        <w:rPr>
          <w:rFonts w:ascii="Times New Roman" w:hAnsi="Times New Roman" w:cs="Times New Roman"/>
          <w:sz w:val="24"/>
          <w:szCs w:val="24"/>
        </w:rPr>
        <w:t>单位：dB（A）</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4384"/>
        <w:gridCol w:w="2839"/>
      </w:tblGrid>
      <w:tr w14:paraId="381E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2CAC4C35">
            <w:pPr>
              <w:widowControl w:val="0"/>
              <w:jc w:val="center"/>
              <w:rPr>
                <w:rFonts w:ascii="Times New Roman" w:hAnsi="Times New Roman" w:cs="Times New Roman"/>
                <w:sz w:val="21"/>
                <w:szCs w:val="21"/>
              </w:rPr>
            </w:pPr>
            <w:r>
              <w:rPr>
                <w:rFonts w:ascii="Times New Roman" w:hAnsi="Times New Roman" w:cs="Times New Roman"/>
                <w:sz w:val="21"/>
                <w:szCs w:val="21"/>
              </w:rPr>
              <w:t>序号</w:t>
            </w:r>
          </w:p>
        </w:tc>
        <w:tc>
          <w:tcPr>
            <w:tcW w:w="2570" w:type="pct"/>
            <w:vAlign w:val="center"/>
          </w:tcPr>
          <w:p w14:paraId="68F46777">
            <w:pPr>
              <w:widowControl w:val="0"/>
              <w:jc w:val="center"/>
              <w:rPr>
                <w:rFonts w:ascii="Times New Roman" w:hAnsi="Times New Roman" w:cs="Times New Roman"/>
                <w:sz w:val="21"/>
                <w:szCs w:val="21"/>
              </w:rPr>
            </w:pPr>
            <w:r>
              <w:rPr>
                <w:rFonts w:ascii="Times New Roman" w:hAnsi="Times New Roman" w:cs="Times New Roman"/>
                <w:sz w:val="21"/>
                <w:szCs w:val="21"/>
              </w:rPr>
              <w:t>机械设备</w:t>
            </w:r>
          </w:p>
        </w:tc>
        <w:tc>
          <w:tcPr>
            <w:tcW w:w="1664" w:type="pct"/>
            <w:vAlign w:val="center"/>
          </w:tcPr>
          <w:p w14:paraId="033234BF">
            <w:pPr>
              <w:widowControl w:val="0"/>
              <w:jc w:val="center"/>
              <w:rPr>
                <w:rFonts w:ascii="Times New Roman" w:hAnsi="Times New Roman" w:cs="Times New Roman"/>
                <w:sz w:val="21"/>
                <w:szCs w:val="21"/>
              </w:rPr>
            </w:pPr>
            <w:r>
              <w:rPr>
                <w:rFonts w:ascii="Times New Roman" w:hAnsi="Times New Roman" w:cs="Times New Roman"/>
                <w:sz w:val="21"/>
                <w:szCs w:val="21"/>
              </w:rPr>
              <w:t>距离声源5m</w:t>
            </w:r>
          </w:p>
        </w:tc>
      </w:tr>
      <w:tr w14:paraId="54C8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7CC39015">
            <w:pPr>
              <w:widowControl w:val="0"/>
              <w:jc w:val="center"/>
              <w:rPr>
                <w:rFonts w:ascii="Times New Roman" w:hAnsi="Times New Roman" w:cs="Times New Roman"/>
                <w:sz w:val="21"/>
                <w:szCs w:val="21"/>
              </w:rPr>
            </w:pPr>
            <w:r>
              <w:rPr>
                <w:rFonts w:ascii="Times New Roman" w:hAnsi="Times New Roman" w:cs="Times New Roman"/>
                <w:sz w:val="21"/>
                <w:szCs w:val="21"/>
              </w:rPr>
              <w:t>1</w:t>
            </w:r>
          </w:p>
        </w:tc>
        <w:tc>
          <w:tcPr>
            <w:tcW w:w="2570" w:type="pct"/>
            <w:vAlign w:val="center"/>
          </w:tcPr>
          <w:p w14:paraId="757B6D23">
            <w:pPr>
              <w:widowControl w:val="0"/>
              <w:jc w:val="center"/>
              <w:rPr>
                <w:rFonts w:ascii="Times New Roman" w:hAnsi="Times New Roman" w:cs="Times New Roman"/>
                <w:sz w:val="21"/>
                <w:szCs w:val="21"/>
              </w:rPr>
            </w:pPr>
            <w:r>
              <w:rPr>
                <w:rFonts w:ascii="Times New Roman" w:hAnsi="Times New Roman" w:cs="Times New Roman"/>
                <w:sz w:val="21"/>
                <w:szCs w:val="21"/>
              </w:rPr>
              <w:t>液压挖掘机</w:t>
            </w:r>
          </w:p>
        </w:tc>
        <w:tc>
          <w:tcPr>
            <w:tcW w:w="1664" w:type="pct"/>
            <w:vAlign w:val="center"/>
          </w:tcPr>
          <w:p w14:paraId="1B16CD21">
            <w:pPr>
              <w:widowControl w:val="0"/>
              <w:jc w:val="center"/>
              <w:rPr>
                <w:rFonts w:ascii="Times New Roman" w:hAnsi="Times New Roman" w:cs="Times New Roman"/>
                <w:sz w:val="21"/>
                <w:szCs w:val="21"/>
              </w:rPr>
            </w:pPr>
            <w:r>
              <w:rPr>
                <w:rFonts w:ascii="Times New Roman" w:hAnsi="Times New Roman" w:cs="Times New Roman"/>
                <w:sz w:val="21"/>
                <w:szCs w:val="21"/>
              </w:rPr>
              <w:t>90</w:t>
            </w:r>
          </w:p>
        </w:tc>
      </w:tr>
      <w:tr w14:paraId="71E7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1FE8E301">
            <w:pPr>
              <w:widowControl w:val="0"/>
              <w:jc w:val="center"/>
              <w:rPr>
                <w:rFonts w:ascii="Times New Roman" w:hAnsi="Times New Roman" w:cs="Times New Roman"/>
                <w:sz w:val="21"/>
                <w:szCs w:val="21"/>
              </w:rPr>
            </w:pPr>
            <w:r>
              <w:rPr>
                <w:rFonts w:ascii="Times New Roman" w:hAnsi="Times New Roman" w:cs="Times New Roman"/>
                <w:sz w:val="21"/>
                <w:szCs w:val="21"/>
              </w:rPr>
              <w:t>2</w:t>
            </w:r>
          </w:p>
        </w:tc>
        <w:tc>
          <w:tcPr>
            <w:tcW w:w="2570" w:type="pct"/>
            <w:vAlign w:val="center"/>
          </w:tcPr>
          <w:p w14:paraId="445957E2">
            <w:pPr>
              <w:widowControl w:val="0"/>
              <w:jc w:val="center"/>
              <w:rPr>
                <w:rFonts w:ascii="Times New Roman" w:hAnsi="Times New Roman" w:cs="Times New Roman"/>
                <w:sz w:val="21"/>
                <w:szCs w:val="21"/>
              </w:rPr>
            </w:pPr>
            <w:r>
              <w:rPr>
                <w:rFonts w:ascii="Times New Roman" w:hAnsi="Times New Roman" w:cs="Times New Roman"/>
                <w:sz w:val="21"/>
                <w:szCs w:val="21"/>
              </w:rPr>
              <w:t>电动挖掘机</w:t>
            </w:r>
          </w:p>
        </w:tc>
        <w:tc>
          <w:tcPr>
            <w:tcW w:w="1664" w:type="pct"/>
            <w:vAlign w:val="center"/>
          </w:tcPr>
          <w:p w14:paraId="328D4D9F">
            <w:pPr>
              <w:widowControl w:val="0"/>
              <w:jc w:val="center"/>
              <w:rPr>
                <w:rFonts w:ascii="Times New Roman" w:hAnsi="Times New Roman" w:cs="Times New Roman"/>
                <w:sz w:val="21"/>
                <w:szCs w:val="21"/>
              </w:rPr>
            </w:pPr>
            <w:r>
              <w:rPr>
                <w:rFonts w:ascii="Times New Roman" w:hAnsi="Times New Roman" w:cs="Times New Roman"/>
                <w:sz w:val="21"/>
                <w:szCs w:val="21"/>
              </w:rPr>
              <w:t>86</w:t>
            </w:r>
          </w:p>
        </w:tc>
      </w:tr>
      <w:tr w14:paraId="4C18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5E4E3ADC">
            <w:pPr>
              <w:widowControl w:val="0"/>
              <w:jc w:val="center"/>
              <w:rPr>
                <w:rFonts w:ascii="Times New Roman" w:hAnsi="Times New Roman" w:cs="Times New Roman"/>
                <w:sz w:val="21"/>
                <w:szCs w:val="21"/>
              </w:rPr>
            </w:pPr>
            <w:r>
              <w:rPr>
                <w:rFonts w:ascii="Times New Roman" w:hAnsi="Times New Roman" w:cs="Times New Roman"/>
                <w:sz w:val="21"/>
                <w:szCs w:val="21"/>
              </w:rPr>
              <w:t>3</w:t>
            </w:r>
          </w:p>
        </w:tc>
        <w:tc>
          <w:tcPr>
            <w:tcW w:w="2570" w:type="pct"/>
            <w:vAlign w:val="center"/>
          </w:tcPr>
          <w:p w14:paraId="7A34E40F">
            <w:pPr>
              <w:widowControl w:val="0"/>
              <w:jc w:val="center"/>
              <w:rPr>
                <w:rFonts w:ascii="Times New Roman" w:hAnsi="Times New Roman" w:cs="Times New Roman"/>
                <w:sz w:val="21"/>
                <w:szCs w:val="21"/>
              </w:rPr>
            </w:pPr>
            <w:r>
              <w:rPr>
                <w:rFonts w:ascii="Times New Roman" w:hAnsi="Times New Roman" w:cs="Times New Roman"/>
                <w:sz w:val="21"/>
                <w:szCs w:val="21"/>
              </w:rPr>
              <w:t>轮式装载机</w:t>
            </w:r>
          </w:p>
        </w:tc>
        <w:tc>
          <w:tcPr>
            <w:tcW w:w="1664" w:type="pct"/>
            <w:vAlign w:val="center"/>
          </w:tcPr>
          <w:p w14:paraId="5A1E00FE">
            <w:pPr>
              <w:widowControl w:val="0"/>
              <w:jc w:val="center"/>
              <w:rPr>
                <w:rFonts w:ascii="Times New Roman" w:hAnsi="Times New Roman" w:cs="Times New Roman"/>
                <w:sz w:val="21"/>
                <w:szCs w:val="21"/>
              </w:rPr>
            </w:pPr>
            <w:r>
              <w:rPr>
                <w:rFonts w:ascii="Times New Roman" w:hAnsi="Times New Roman" w:cs="Times New Roman"/>
                <w:sz w:val="21"/>
                <w:szCs w:val="21"/>
              </w:rPr>
              <w:t>95</w:t>
            </w:r>
          </w:p>
        </w:tc>
      </w:tr>
      <w:tr w14:paraId="45F2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761606F5">
            <w:pPr>
              <w:widowControl w:val="0"/>
              <w:jc w:val="center"/>
              <w:rPr>
                <w:rFonts w:ascii="Times New Roman" w:hAnsi="Times New Roman" w:cs="Times New Roman"/>
                <w:sz w:val="21"/>
                <w:szCs w:val="21"/>
              </w:rPr>
            </w:pPr>
            <w:r>
              <w:rPr>
                <w:rFonts w:ascii="Times New Roman" w:hAnsi="Times New Roman" w:cs="Times New Roman"/>
                <w:sz w:val="21"/>
                <w:szCs w:val="21"/>
              </w:rPr>
              <w:t>4</w:t>
            </w:r>
          </w:p>
        </w:tc>
        <w:tc>
          <w:tcPr>
            <w:tcW w:w="2570" w:type="pct"/>
            <w:vAlign w:val="center"/>
          </w:tcPr>
          <w:p w14:paraId="4615E728">
            <w:pPr>
              <w:widowControl w:val="0"/>
              <w:jc w:val="center"/>
              <w:rPr>
                <w:rFonts w:ascii="Times New Roman" w:hAnsi="Times New Roman" w:cs="Times New Roman"/>
                <w:sz w:val="21"/>
                <w:szCs w:val="21"/>
              </w:rPr>
            </w:pPr>
            <w:r>
              <w:rPr>
                <w:rFonts w:ascii="Times New Roman" w:hAnsi="Times New Roman" w:cs="Times New Roman"/>
                <w:sz w:val="21"/>
                <w:szCs w:val="21"/>
              </w:rPr>
              <w:t>推土机</w:t>
            </w:r>
          </w:p>
        </w:tc>
        <w:tc>
          <w:tcPr>
            <w:tcW w:w="1664" w:type="pct"/>
            <w:vAlign w:val="center"/>
          </w:tcPr>
          <w:p w14:paraId="5151B0A3">
            <w:pPr>
              <w:widowControl w:val="0"/>
              <w:jc w:val="center"/>
              <w:rPr>
                <w:rFonts w:ascii="Times New Roman" w:hAnsi="Times New Roman" w:cs="Times New Roman"/>
                <w:sz w:val="21"/>
                <w:szCs w:val="21"/>
              </w:rPr>
            </w:pPr>
            <w:r>
              <w:rPr>
                <w:rFonts w:ascii="Times New Roman" w:hAnsi="Times New Roman" w:cs="Times New Roman"/>
                <w:sz w:val="21"/>
                <w:szCs w:val="21"/>
              </w:rPr>
              <w:t>88</w:t>
            </w:r>
          </w:p>
        </w:tc>
      </w:tr>
      <w:tr w14:paraId="6742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7A61ACCB">
            <w:pPr>
              <w:widowControl w:val="0"/>
              <w:jc w:val="center"/>
              <w:rPr>
                <w:rFonts w:ascii="Times New Roman" w:hAnsi="Times New Roman" w:cs="Times New Roman"/>
                <w:sz w:val="21"/>
                <w:szCs w:val="21"/>
              </w:rPr>
            </w:pPr>
            <w:r>
              <w:rPr>
                <w:rFonts w:ascii="Times New Roman" w:hAnsi="Times New Roman" w:cs="Times New Roman"/>
                <w:sz w:val="21"/>
                <w:szCs w:val="21"/>
              </w:rPr>
              <w:t>5</w:t>
            </w:r>
          </w:p>
        </w:tc>
        <w:tc>
          <w:tcPr>
            <w:tcW w:w="2570" w:type="pct"/>
            <w:vAlign w:val="center"/>
          </w:tcPr>
          <w:p w14:paraId="102EF1C4">
            <w:pPr>
              <w:widowControl w:val="0"/>
              <w:jc w:val="center"/>
              <w:rPr>
                <w:rFonts w:ascii="Times New Roman" w:hAnsi="Times New Roman" w:cs="Times New Roman"/>
                <w:sz w:val="21"/>
                <w:szCs w:val="21"/>
              </w:rPr>
            </w:pPr>
            <w:r>
              <w:rPr>
                <w:rFonts w:ascii="Times New Roman" w:hAnsi="Times New Roman" w:cs="Times New Roman"/>
                <w:sz w:val="21"/>
                <w:szCs w:val="21"/>
              </w:rPr>
              <w:t>移动式发电机</w:t>
            </w:r>
          </w:p>
        </w:tc>
        <w:tc>
          <w:tcPr>
            <w:tcW w:w="1664" w:type="pct"/>
            <w:vAlign w:val="center"/>
          </w:tcPr>
          <w:p w14:paraId="73FDB628">
            <w:pPr>
              <w:widowControl w:val="0"/>
              <w:jc w:val="center"/>
              <w:rPr>
                <w:rFonts w:ascii="Times New Roman" w:hAnsi="Times New Roman" w:cs="Times New Roman"/>
                <w:sz w:val="21"/>
                <w:szCs w:val="21"/>
              </w:rPr>
            </w:pPr>
            <w:r>
              <w:rPr>
                <w:rFonts w:ascii="Times New Roman" w:hAnsi="Times New Roman" w:cs="Times New Roman"/>
                <w:sz w:val="21"/>
                <w:szCs w:val="21"/>
              </w:rPr>
              <w:t>102</w:t>
            </w:r>
          </w:p>
        </w:tc>
      </w:tr>
      <w:tr w14:paraId="151F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6A3079D6">
            <w:pPr>
              <w:widowControl w:val="0"/>
              <w:jc w:val="center"/>
              <w:rPr>
                <w:rFonts w:ascii="Times New Roman" w:hAnsi="Times New Roman" w:cs="Times New Roman"/>
                <w:sz w:val="21"/>
                <w:szCs w:val="21"/>
              </w:rPr>
            </w:pPr>
            <w:r>
              <w:rPr>
                <w:rFonts w:ascii="Times New Roman" w:hAnsi="Times New Roman" w:cs="Times New Roman"/>
                <w:sz w:val="21"/>
                <w:szCs w:val="21"/>
              </w:rPr>
              <w:t>6</w:t>
            </w:r>
          </w:p>
        </w:tc>
        <w:tc>
          <w:tcPr>
            <w:tcW w:w="2570" w:type="pct"/>
            <w:vAlign w:val="center"/>
          </w:tcPr>
          <w:p w14:paraId="60BF0691">
            <w:pPr>
              <w:widowControl w:val="0"/>
              <w:jc w:val="center"/>
              <w:rPr>
                <w:rFonts w:ascii="Times New Roman" w:hAnsi="Times New Roman" w:cs="Times New Roman"/>
                <w:sz w:val="21"/>
                <w:szCs w:val="21"/>
              </w:rPr>
            </w:pPr>
            <w:r>
              <w:rPr>
                <w:rFonts w:ascii="Times New Roman" w:hAnsi="Times New Roman" w:cs="Times New Roman"/>
                <w:sz w:val="21"/>
                <w:szCs w:val="21"/>
              </w:rPr>
              <w:t>各类压路机</w:t>
            </w:r>
          </w:p>
        </w:tc>
        <w:tc>
          <w:tcPr>
            <w:tcW w:w="1664" w:type="pct"/>
            <w:vAlign w:val="center"/>
          </w:tcPr>
          <w:p w14:paraId="1B6BE43C">
            <w:pPr>
              <w:widowControl w:val="0"/>
              <w:jc w:val="center"/>
              <w:rPr>
                <w:rFonts w:ascii="Times New Roman" w:hAnsi="Times New Roman" w:cs="Times New Roman"/>
                <w:sz w:val="21"/>
                <w:szCs w:val="21"/>
              </w:rPr>
            </w:pPr>
            <w:r>
              <w:rPr>
                <w:rFonts w:ascii="Times New Roman" w:hAnsi="Times New Roman" w:cs="Times New Roman"/>
                <w:sz w:val="21"/>
                <w:szCs w:val="21"/>
              </w:rPr>
              <w:t>90</w:t>
            </w:r>
          </w:p>
        </w:tc>
      </w:tr>
      <w:tr w14:paraId="6077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784DDD4F">
            <w:pPr>
              <w:widowControl w:val="0"/>
              <w:jc w:val="center"/>
              <w:rPr>
                <w:rFonts w:ascii="Times New Roman" w:hAnsi="Times New Roman" w:cs="Times New Roman"/>
                <w:sz w:val="21"/>
                <w:szCs w:val="21"/>
              </w:rPr>
            </w:pPr>
            <w:r>
              <w:rPr>
                <w:rFonts w:ascii="Times New Roman" w:hAnsi="Times New Roman" w:cs="Times New Roman"/>
                <w:sz w:val="21"/>
                <w:szCs w:val="21"/>
              </w:rPr>
              <w:t>7</w:t>
            </w:r>
          </w:p>
        </w:tc>
        <w:tc>
          <w:tcPr>
            <w:tcW w:w="2570" w:type="pct"/>
            <w:vAlign w:val="center"/>
          </w:tcPr>
          <w:p w14:paraId="5E30236C">
            <w:pPr>
              <w:widowControl w:val="0"/>
              <w:jc w:val="center"/>
              <w:rPr>
                <w:rFonts w:ascii="Times New Roman" w:hAnsi="Times New Roman" w:cs="Times New Roman"/>
                <w:sz w:val="21"/>
                <w:szCs w:val="21"/>
              </w:rPr>
            </w:pPr>
            <w:r>
              <w:rPr>
                <w:rFonts w:ascii="Times New Roman" w:hAnsi="Times New Roman" w:cs="Times New Roman"/>
                <w:sz w:val="21"/>
                <w:szCs w:val="21"/>
              </w:rPr>
              <w:t>木工电锯</w:t>
            </w:r>
          </w:p>
        </w:tc>
        <w:tc>
          <w:tcPr>
            <w:tcW w:w="1664" w:type="pct"/>
            <w:vAlign w:val="center"/>
          </w:tcPr>
          <w:p w14:paraId="77CBCCA9">
            <w:pPr>
              <w:widowControl w:val="0"/>
              <w:jc w:val="center"/>
              <w:rPr>
                <w:rFonts w:ascii="Times New Roman" w:hAnsi="Times New Roman" w:cs="Times New Roman"/>
                <w:sz w:val="21"/>
                <w:szCs w:val="21"/>
              </w:rPr>
            </w:pPr>
            <w:r>
              <w:rPr>
                <w:rFonts w:ascii="Times New Roman" w:hAnsi="Times New Roman" w:cs="Times New Roman"/>
                <w:sz w:val="21"/>
                <w:szCs w:val="21"/>
              </w:rPr>
              <w:t>99</w:t>
            </w:r>
          </w:p>
        </w:tc>
      </w:tr>
      <w:tr w14:paraId="4FA9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5CFEE092">
            <w:pPr>
              <w:widowControl w:val="0"/>
              <w:jc w:val="center"/>
              <w:rPr>
                <w:rFonts w:ascii="Times New Roman" w:hAnsi="Times New Roman" w:cs="Times New Roman"/>
                <w:sz w:val="21"/>
                <w:szCs w:val="21"/>
              </w:rPr>
            </w:pPr>
            <w:r>
              <w:rPr>
                <w:rFonts w:ascii="Times New Roman" w:hAnsi="Times New Roman" w:cs="Times New Roman"/>
                <w:sz w:val="21"/>
                <w:szCs w:val="21"/>
              </w:rPr>
              <w:t>8</w:t>
            </w:r>
          </w:p>
        </w:tc>
        <w:tc>
          <w:tcPr>
            <w:tcW w:w="2570" w:type="pct"/>
            <w:vAlign w:val="center"/>
          </w:tcPr>
          <w:p w14:paraId="38FA35C7">
            <w:pPr>
              <w:widowControl w:val="0"/>
              <w:jc w:val="center"/>
              <w:rPr>
                <w:rFonts w:ascii="Times New Roman" w:hAnsi="Times New Roman" w:cs="Times New Roman"/>
                <w:sz w:val="21"/>
                <w:szCs w:val="21"/>
              </w:rPr>
            </w:pPr>
            <w:r>
              <w:rPr>
                <w:rFonts w:ascii="Times New Roman" w:hAnsi="Times New Roman" w:cs="Times New Roman"/>
                <w:sz w:val="21"/>
                <w:szCs w:val="21"/>
              </w:rPr>
              <w:t>电锤</w:t>
            </w:r>
          </w:p>
        </w:tc>
        <w:tc>
          <w:tcPr>
            <w:tcW w:w="1664" w:type="pct"/>
            <w:vAlign w:val="center"/>
          </w:tcPr>
          <w:p w14:paraId="71EDECFB">
            <w:pPr>
              <w:widowControl w:val="0"/>
              <w:jc w:val="center"/>
              <w:rPr>
                <w:rFonts w:ascii="Times New Roman" w:hAnsi="Times New Roman" w:cs="Times New Roman"/>
                <w:sz w:val="21"/>
                <w:szCs w:val="21"/>
              </w:rPr>
            </w:pPr>
            <w:r>
              <w:rPr>
                <w:rFonts w:ascii="Times New Roman" w:hAnsi="Times New Roman" w:cs="Times New Roman"/>
                <w:sz w:val="21"/>
                <w:szCs w:val="21"/>
              </w:rPr>
              <w:t>105</w:t>
            </w:r>
          </w:p>
        </w:tc>
      </w:tr>
      <w:tr w14:paraId="4F14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vAlign w:val="center"/>
          </w:tcPr>
          <w:p w14:paraId="2B8702CA">
            <w:pPr>
              <w:widowControl w:val="0"/>
              <w:jc w:val="center"/>
              <w:rPr>
                <w:rFonts w:ascii="Times New Roman" w:hAnsi="Times New Roman" w:cs="Times New Roman"/>
                <w:sz w:val="21"/>
                <w:szCs w:val="21"/>
              </w:rPr>
            </w:pPr>
            <w:r>
              <w:rPr>
                <w:rFonts w:ascii="Times New Roman" w:hAnsi="Times New Roman" w:cs="Times New Roman"/>
                <w:sz w:val="21"/>
                <w:szCs w:val="21"/>
              </w:rPr>
              <w:t>9</w:t>
            </w:r>
          </w:p>
        </w:tc>
        <w:tc>
          <w:tcPr>
            <w:tcW w:w="2570" w:type="pct"/>
            <w:vAlign w:val="center"/>
          </w:tcPr>
          <w:p w14:paraId="7582CCDB">
            <w:pPr>
              <w:widowControl w:val="0"/>
              <w:jc w:val="center"/>
              <w:rPr>
                <w:rFonts w:ascii="Times New Roman" w:hAnsi="Times New Roman" w:cs="Times New Roman"/>
                <w:sz w:val="21"/>
                <w:szCs w:val="21"/>
              </w:rPr>
            </w:pPr>
            <w:r>
              <w:rPr>
                <w:rFonts w:ascii="Times New Roman" w:hAnsi="Times New Roman" w:cs="Times New Roman"/>
                <w:sz w:val="21"/>
                <w:szCs w:val="21"/>
              </w:rPr>
              <w:t>振动夯锤</w:t>
            </w:r>
          </w:p>
        </w:tc>
        <w:tc>
          <w:tcPr>
            <w:tcW w:w="1664" w:type="pct"/>
            <w:vAlign w:val="center"/>
          </w:tcPr>
          <w:p w14:paraId="35F9E6B8">
            <w:pPr>
              <w:widowControl w:val="0"/>
              <w:jc w:val="center"/>
              <w:rPr>
                <w:rFonts w:ascii="Times New Roman" w:hAnsi="Times New Roman" w:cs="Times New Roman"/>
                <w:sz w:val="21"/>
                <w:szCs w:val="21"/>
              </w:rPr>
            </w:pPr>
            <w:r>
              <w:rPr>
                <w:rFonts w:ascii="Times New Roman" w:hAnsi="Times New Roman" w:cs="Times New Roman"/>
                <w:sz w:val="21"/>
                <w:szCs w:val="21"/>
              </w:rPr>
              <w:t>100</w:t>
            </w:r>
          </w:p>
        </w:tc>
      </w:tr>
      <w:tr w14:paraId="6EF9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713E3020">
            <w:pPr>
              <w:widowControl w:val="0"/>
              <w:jc w:val="center"/>
              <w:rPr>
                <w:rFonts w:ascii="Times New Roman" w:hAnsi="Times New Roman" w:cs="Times New Roman"/>
                <w:sz w:val="21"/>
                <w:szCs w:val="21"/>
              </w:rPr>
            </w:pPr>
            <w:r>
              <w:rPr>
                <w:rFonts w:ascii="Times New Roman" w:hAnsi="Times New Roman" w:cs="Times New Roman"/>
                <w:sz w:val="21"/>
                <w:szCs w:val="21"/>
              </w:rPr>
              <w:t>10</w:t>
            </w:r>
          </w:p>
        </w:tc>
        <w:tc>
          <w:tcPr>
            <w:tcW w:w="2570" w:type="pct"/>
          </w:tcPr>
          <w:p w14:paraId="79C92F3C">
            <w:pPr>
              <w:widowControl w:val="0"/>
              <w:jc w:val="center"/>
              <w:rPr>
                <w:rFonts w:ascii="Times New Roman" w:hAnsi="Times New Roman" w:cs="Times New Roman"/>
                <w:sz w:val="21"/>
                <w:szCs w:val="21"/>
              </w:rPr>
            </w:pPr>
            <w:r>
              <w:rPr>
                <w:rFonts w:ascii="Times New Roman" w:hAnsi="Times New Roman" w:cs="Times New Roman"/>
                <w:sz w:val="21"/>
                <w:szCs w:val="21"/>
              </w:rPr>
              <w:t>打桩机</w:t>
            </w:r>
          </w:p>
        </w:tc>
        <w:tc>
          <w:tcPr>
            <w:tcW w:w="1664" w:type="pct"/>
          </w:tcPr>
          <w:p w14:paraId="36261B7D">
            <w:pPr>
              <w:widowControl w:val="0"/>
              <w:jc w:val="center"/>
              <w:rPr>
                <w:rFonts w:ascii="Times New Roman" w:hAnsi="Times New Roman" w:cs="Times New Roman"/>
                <w:sz w:val="21"/>
                <w:szCs w:val="21"/>
              </w:rPr>
            </w:pPr>
            <w:r>
              <w:rPr>
                <w:rFonts w:ascii="Times New Roman" w:hAnsi="Times New Roman" w:cs="Times New Roman"/>
                <w:sz w:val="21"/>
                <w:szCs w:val="21"/>
              </w:rPr>
              <w:t>110</w:t>
            </w:r>
          </w:p>
        </w:tc>
      </w:tr>
      <w:tr w14:paraId="7C32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71C9AE6F">
            <w:pPr>
              <w:widowControl w:val="0"/>
              <w:jc w:val="center"/>
              <w:rPr>
                <w:rFonts w:ascii="Times New Roman" w:hAnsi="Times New Roman" w:cs="Times New Roman"/>
                <w:sz w:val="21"/>
                <w:szCs w:val="21"/>
              </w:rPr>
            </w:pPr>
            <w:r>
              <w:rPr>
                <w:rFonts w:ascii="Times New Roman" w:hAnsi="Times New Roman" w:cs="Times New Roman"/>
                <w:sz w:val="21"/>
                <w:szCs w:val="21"/>
              </w:rPr>
              <w:t>11</w:t>
            </w:r>
          </w:p>
        </w:tc>
        <w:tc>
          <w:tcPr>
            <w:tcW w:w="2570" w:type="pct"/>
          </w:tcPr>
          <w:p w14:paraId="6135D707">
            <w:pPr>
              <w:widowControl w:val="0"/>
              <w:jc w:val="center"/>
              <w:rPr>
                <w:rFonts w:ascii="Times New Roman" w:hAnsi="Times New Roman" w:cs="Times New Roman"/>
                <w:sz w:val="21"/>
                <w:szCs w:val="21"/>
              </w:rPr>
            </w:pPr>
            <w:r>
              <w:rPr>
                <w:rFonts w:ascii="Times New Roman" w:hAnsi="Times New Roman" w:cs="Times New Roman"/>
                <w:sz w:val="21"/>
                <w:szCs w:val="21"/>
              </w:rPr>
              <w:t>静力压桩机</w:t>
            </w:r>
          </w:p>
        </w:tc>
        <w:tc>
          <w:tcPr>
            <w:tcW w:w="1664" w:type="pct"/>
          </w:tcPr>
          <w:p w14:paraId="69870760">
            <w:pPr>
              <w:widowControl w:val="0"/>
              <w:jc w:val="center"/>
              <w:rPr>
                <w:rFonts w:ascii="Times New Roman" w:hAnsi="Times New Roman" w:cs="Times New Roman"/>
                <w:sz w:val="21"/>
                <w:szCs w:val="21"/>
              </w:rPr>
            </w:pPr>
            <w:r>
              <w:rPr>
                <w:rFonts w:ascii="Times New Roman" w:hAnsi="Times New Roman" w:cs="Times New Roman"/>
                <w:sz w:val="21"/>
                <w:szCs w:val="21"/>
              </w:rPr>
              <w:t>75</w:t>
            </w:r>
          </w:p>
        </w:tc>
      </w:tr>
      <w:tr w14:paraId="15338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44F91412">
            <w:pPr>
              <w:widowControl w:val="0"/>
              <w:jc w:val="center"/>
              <w:rPr>
                <w:rFonts w:ascii="Times New Roman" w:hAnsi="Times New Roman" w:cs="Times New Roman"/>
                <w:sz w:val="21"/>
                <w:szCs w:val="21"/>
              </w:rPr>
            </w:pPr>
            <w:r>
              <w:rPr>
                <w:rFonts w:ascii="Times New Roman" w:hAnsi="Times New Roman" w:cs="Times New Roman"/>
                <w:sz w:val="21"/>
                <w:szCs w:val="21"/>
              </w:rPr>
              <w:t>12</w:t>
            </w:r>
          </w:p>
        </w:tc>
        <w:tc>
          <w:tcPr>
            <w:tcW w:w="2570" w:type="pct"/>
          </w:tcPr>
          <w:p w14:paraId="2283E2D0">
            <w:pPr>
              <w:widowControl w:val="0"/>
              <w:jc w:val="center"/>
              <w:rPr>
                <w:rFonts w:ascii="Times New Roman" w:hAnsi="Times New Roman" w:cs="Times New Roman"/>
                <w:sz w:val="21"/>
                <w:szCs w:val="21"/>
              </w:rPr>
            </w:pPr>
            <w:r>
              <w:rPr>
                <w:rFonts w:ascii="Times New Roman" w:hAnsi="Times New Roman" w:cs="Times New Roman"/>
                <w:sz w:val="21"/>
                <w:szCs w:val="21"/>
              </w:rPr>
              <w:t>风镐</w:t>
            </w:r>
          </w:p>
        </w:tc>
        <w:tc>
          <w:tcPr>
            <w:tcW w:w="1664" w:type="pct"/>
          </w:tcPr>
          <w:p w14:paraId="38A10B19">
            <w:pPr>
              <w:widowControl w:val="0"/>
              <w:jc w:val="center"/>
              <w:rPr>
                <w:rFonts w:ascii="Times New Roman" w:hAnsi="Times New Roman" w:cs="Times New Roman"/>
                <w:sz w:val="21"/>
                <w:szCs w:val="21"/>
              </w:rPr>
            </w:pPr>
            <w:r>
              <w:rPr>
                <w:rFonts w:ascii="Times New Roman" w:hAnsi="Times New Roman" w:cs="Times New Roman"/>
                <w:sz w:val="21"/>
                <w:szCs w:val="21"/>
              </w:rPr>
              <w:t>92</w:t>
            </w:r>
          </w:p>
        </w:tc>
      </w:tr>
      <w:tr w14:paraId="7859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74D4275F">
            <w:pPr>
              <w:widowControl w:val="0"/>
              <w:jc w:val="center"/>
              <w:rPr>
                <w:rFonts w:ascii="Times New Roman" w:hAnsi="Times New Roman" w:cs="Times New Roman"/>
                <w:sz w:val="21"/>
                <w:szCs w:val="21"/>
              </w:rPr>
            </w:pPr>
            <w:r>
              <w:rPr>
                <w:rFonts w:ascii="Times New Roman" w:hAnsi="Times New Roman" w:cs="Times New Roman"/>
                <w:sz w:val="21"/>
                <w:szCs w:val="21"/>
              </w:rPr>
              <w:t>13</w:t>
            </w:r>
          </w:p>
        </w:tc>
        <w:tc>
          <w:tcPr>
            <w:tcW w:w="2570" w:type="pct"/>
          </w:tcPr>
          <w:p w14:paraId="09F769AA">
            <w:pPr>
              <w:widowControl w:val="0"/>
              <w:jc w:val="center"/>
              <w:rPr>
                <w:rFonts w:ascii="Times New Roman" w:hAnsi="Times New Roman" w:cs="Times New Roman"/>
                <w:sz w:val="21"/>
                <w:szCs w:val="21"/>
              </w:rPr>
            </w:pPr>
            <w:r>
              <w:rPr>
                <w:rFonts w:ascii="Times New Roman" w:hAnsi="Times New Roman" w:cs="Times New Roman"/>
                <w:sz w:val="21"/>
                <w:szCs w:val="21"/>
              </w:rPr>
              <w:t>混凝土输送泵</w:t>
            </w:r>
          </w:p>
        </w:tc>
        <w:tc>
          <w:tcPr>
            <w:tcW w:w="1664" w:type="pct"/>
          </w:tcPr>
          <w:p w14:paraId="739D65DD">
            <w:pPr>
              <w:widowControl w:val="0"/>
              <w:jc w:val="center"/>
              <w:rPr>
                <w:rFonts w:ascii="Times New Roman" w:hAnsi="Times New Roman" w:cs="Times New Roman"/>
                <w:sz w:val="21"/>
                <w:szCs w:val="21"/>
              </w:rPr>
            </w:pPr>
            <w:r>
              <w:rPr>
                <w:rFonts w:ascii="Times New Roman" w:hAnsi="Times New Roman" w:cs="Times New Roman"/>
                <w:sz w:val="21"/>
                <w:szCs w:val="21"/>
              </w:rPr>
              <w:t>95</w:t>
            </w:r>
          </w:p>
        </w:tc>
      </w:tr>
      <w:tr w14:paraId="161C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24E4C957">
            <w:pPr>
              <w:widowControl w:val="0"/>
              <w:jc w:val="center"/>
              <w:rPr>
                <w:rFonts w:ascii="Times New Roman" w:hAnsi="Times New Roman" w:cs="Times New Roman"/>
                <w:sz w:val="21"/>
                <w:szCs w:val="21"/>
              </w:rPr>
            </w:pPr>
            <w:r>
              <w:rPr>
                <w:rFonts w:ascii="Times New Roman" w:hAnsi="Times New Roman" w:cs="Times New Roman"/>
                <w:sz w:val="21"/>
                <w:szCs w:val="21"/>
              </w:rPr>
              <w:t>14</w:t>
            </w:r>
          </w:p>
        </w:tc>
        <w:tc>
          <w:tcPr>
            <w:tcW w:w="2570" w:type="pct"/>
          </w:tcPr>
          <w:p w14:paraId="780CCBF8">
            <w:pPr>
              <w:widowControl w:val="0"/>
              <w:jc w:val="center"/>
              <w:rPr>
                <w:rFonts w:ascii="Times New Roman" w:hAnsi="Times New Roman" w:cs="Times New Roman"/>
                <w:sz w:val="21"/>
                <w:szCs w:val="21"/>
              </w:rPr>
            </w:pPr>
            <w:r>
              <w:rPr>
                <w:rFonts w:ascii="Times New Roman" w:hAnsi="Times New Roman" w:cs="Times New Roman"/>
                <w:sz w:val="21"/>
                <w:szCs w:val="21"/>
              </w:rPr>
              <w:t>商砼搅拌车</w:t>
            </w:r>
          </w:p>
        </w:tc>
        <w:tc>
          <w:tcPr>
            <w:tcW w:w="1664" w:type="pct"/>
          </w:tcPr>
          <w:p w14:paraId="1DF9E03B">
            <w:pPr>
              <w:widowControl w:val="0"/>
              <w:jc w:val="center"/>
              <w:rPr>
                <w:rFonts w:ascii="Times New Roman" w:hAnsi="Times New Roman" w:cs="Times New Roman"/>
                <w:sz w:val="21"/>
                <w:szCs w:val="21"/>
              </w:rPr>
            </w:pPr>
            <w:r>
              <w:rPr>
                <w:rFonts w:ascii="Times New Roman" w:hAnsi="Times New Roman" w:cs="Times New Roman"/>
                <w:sz w:val="21"/>
                <w:szCs w:val="21"/>
              </w:rPr>
              <w:t>90</w:t>
            </w:r>
          </w:p>
        </w:tc>
      </w:tr>
      <w:tr w14:paraId="57A0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4CBB8884">
            <w:pPr>
              <w:widowControl w:val="0"/>
              <w:jc w:val="center"/>
              <w:rPr>
                <w:rFonts w:ascii="Times New Roman" w:hAnsi="Times New Roman" w:cs="Times New Roman"/>
                <w:sz w:val="21"/>
                <w:szCs w:val="21"/>
              </w:rPr>
            </w:pPr>
            <w:r>
              <w:rPr>
                <w:rFonts w:ascii="Times New Roman" w:hAnsi="Times New Roman" w:cs="Times New Roman"/>
                <w:sz w:val="21"/>
                <w:szCs w:val="21"/>
              </w:rPr>
              <w:t>15</w:t>
            </w:r>
          </w:p>
        </w:tc>
        <w:tc>
          <w:tcPr>
            <w:tcW w:w="2570" w:type="pct"/>
          </w:tcPr>
          <w:p w14:paraId="51711555">
            <w:pPr>
              <w:widowControl w:val="0"/>
              <w:jc w:val="center"/>
              <w:rPr>
                <w:rFonts w:ascii="Times New Roman" w:hAnsi="Times New Roman" w:cs="Times New Roman"/>
                <w:sz w:val="21"/>
                <w:szCs w:val="21"/>
              </w:rPr>
            </w:pPr>
            <w:r>
              <w:rPr>
                <w:rFonts w:ascii="Times New Roman" w:hAnsi="Times New Roman" w:cs="Times New Roman"/>
                <w:sz w:val="21"/>
                <w:szCs w:val="21"/>
              </w:rPr>
              <w:t>混凝土振捣器</w:t>
            </w:r>
          </w:p>
        </w:tc>
        <w:tc>
          <w:tcPr>
            <w:tcW w:w="1664" w:type="pct"/>
          </w:tcPr>
          <w:p w14:paraId="7A4C2E80">
            <w:pPr>
              <w:widowControl w:val="0"/>
              <w:jc w:val="center"/>
              <w:rPr>
                <w:rFonts w:ascii="Times New Roman" w:hAnsi="Times New Roman" w:cs="Times New Roman"/>
                <w:sz w:val="21"/>
                <w:szCs w:val="21"/>
              </w:rPr>
            </w:pPr>
            <w:r>
              <w:rPr>
                <w:rFonts w:ascii="Times New Roman" w:hAnsi="Times New Roman" w:cs="Times New Roman"/>
                <w:sz w:val="21"/>
                <w:szCs w:val="21"/>
              </w:rPr>
              <w:t>88</w:t>
            </w:r>
          </w:p>
        </w:tc>
      </w:tr>
      <w:tr w14:paraId="6010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4F4243DE">
            <w:pPr>
              <w:widowControl w:val="0"/>
              <w:jc w:val="center"/>
              <w:rPr>
                <w:rFonts w:ascii="Times New Roman" w:hAnsi="Times New Roman" w:cs="Times New Roman"/>
                <w:sz w:val="21"/>
                <w:szCs w:val="21"/>
              </w:rPr>
            </w:pPr>
            <w:r>
              <w:rPr>
                <w:rFonts w:ascii="Times New Roman" w:hAnsi="Times New Roman" w:cs="Times New Roman"/>
                <w:sz w:val="21"/>
                <w:szCs w:val="21"/>
              </w:rPr>
              <w:t>16</w:t>
            </w:r>
          </w:p>
        </w:tc>
        <w:tc>
          <w:tcPr>
            <w:tcW w:w="2570" w:type="pct"/>
          </w:tcPr>
          <w:p w14:paraId="3C326920">
            <w:pPr>
              <w:widowControl w:val="0"/>
              <w:jc w:val="center"/>
              <w:rPr>
                <w:rFonts w:ascii="Times New Roman" w:hAnsi="Times New Roman" w:cs="Times New Roman"/>
                <w:sz w:val="21"/>
                <w:szCs w:val="21"/>
              </w:rPr>
            </w:pPr>
            <w:r>
              <w:rPr>
                <w:rFonts w:ascii="Times New Roman" w:hAnsi="Times New Roman" w:cs="Times New Roman"/>
                <w:sz w:val="21"/>
                <w:szCs w:val="21"/>
              </w:rPr>
              <w:t>云石机、角磨机</w:t>
            </w:r>
          </w:p>
        </w:tc>
        <w:tc>
          <w:tcPr>
            <w:tcW w:w="1664" w:type="pct"/>
          </w:tcPr>
          <w:p w14:paraId="74F7C36B">
            <w:pPr>
              <w:widowControl w:val="0"/>
              <w:jc w:val="center"/>
              <w:rPr>
                <w:rFonts w:ascii="Times New Roman" w:hAnsi="Times New Roman" w:cs="Times New Roman"/>
                <w:sz w:val="21"/>
                <w:szCs w:val="21"/>
              </w:rPr>
            </w:pPr>
            <w:r>
              <w:rPr>
                <w:rFonts w:ascii="Times New Roman" w:hAnsi="Times New Roman" w:cs="Times New Roman"/>
                <w:sz w:val="21"/>
                <w:szCs w:val="21"/>
              </w:rPr>
              <w:t>96</w:t>
            </w:r>
          </w:p>
        </w:tc>
      </w:tr>
      <w:tr w14:paraId="5DC7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pct"/>
          </w:tcPr>
          <w:p w14:paraId="00CA7D97">
            <w:pPr>
              <w:widowControl w:val="0"/>
              <w:jc w:val="center"/>
              <w:rPr>
                <w:rFonts w:ascii="Times New Roman" w:hAnsi="Times New Roman" w:cs="Times New Roman"/>
                <w:sz w:val="21"/>
                <w:szCs w:val="21"/>
              </w:rPr>
            </w:pPr>
            <w:r>
              <w:rPr>
                <w:rFonts w:ascii="Times New Roman" w:hAnsi="Times New Roman" w:cs="Times New Roman"/>
                <w:sz w:val="21"/>
                <w:szCs w:val="21"/>
              </w:rPr>
              <w:t>17</w:t>
            </w:r>
          </w:p>
        </w:tc>
        <w:tc>
          <w:tcPr>
            <w:tcW w:w="2570" w:type="pct"/>
          </w:tcPr>
          <w:p w14:paraId="7340B4DD">
            <w:pPr>
              <w:widowControl w:val="0"/>
              <w:jc w:val="center"/>
              <w:rPr>
                <w:rFonts w:ascii="Times New Roman" w:hAnsi="Times New Roman" w:cs="Times New Roman"/>
                <w:sz w:val="21"/>
                <w:szCs w:val="21"/>
              </w:rPr>
            </w:pPr>
            <w:r>
              <w:rPr>
                <w:rFonts w:ascii="Times New Roman" w:hAnsi="Times New Roman" w:cs="Times New Roman"/>
                <w:sz w:val="21"/>
                <w:szCs w:val="21"/>
              </w:rPr>
              <w:t>空压机</w:t>
            </w:r>
          </w:p>
        </w:tc>
        <w:tc>
          <w:tcPr>
            <w:tcW w:w="1664" w:type="pct"/>
          </w:tcPr>
          <w:p w14:paraId="1467662B">
            <w:pPr>
              <w:widowControl w:val="0"/>
              <w:jc w:val="center"/>
              <w:rPr>
                <w:rFonts w:ascii="Times New Roman" w:hAnsi="Times New Roman" w:cs="Times New Roman"/>
                <w:sz w:val="21"/>
                <w:szCs w:val="21"/>
              </w:rPr>
            </w:pPr>
            <w:r>
              <w:rPr>
                <w:rFonts w:ascii="Times New Roman" w:hAnsi="Times New Roman" w:cs="Times New Roman"/>
                <w:sz w:val="21"/>
                <w:szCs w:val="21"/>
              </w:rPr>
              <w:t>92</w:t>
            </w:r>
          </w:p>
        </w:tc>
      </w:tr>
    </w:tbl>
    <w:p w14:paraId="40787B4D">
      <w:pPr>
        <w:spacing w:line="360" w:lineRule="auto"/>
        <w:jc w:val="center"/>
        <w:rPr>
          <w:rFonts w:ascii="黑体" w:hAnsi="黑体" w:eastAsia="黑体" w:cs="Times New Roman"/>
          <w:snapToGrid w:val="0"/>
          <w:lang w:val="zh-CN"/>
        </w:rPr>
      </w:pPr>
      <w:r>
        <w:rPr>
          <w:rFonts w:ascii="黑体" w:hAnsi="黑体" w:eastAsia="黑体" w:cs="Times New Roman"/>
          <w:snapToGrid w:val="0"/>
          <w:lang w:val="zh-CN"/>
        </w:rPr>
        <w:t>表3.2-5  沥青混凝土搅拌机噪声源强</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312"/>
        <w:gridCol w:w="2620"/>
        <w:gridCol w:w="1835"/>
      </w:tblGrid>
      <w:tr w14:paraId="1304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6" w:type="pct"/>
            <w:vAlign w:val="center"/>
          </w:tcPr>
          <w:p w14:paraId="691F2072">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序号</w:t>
            </w:r>
          </w:p>
        </w:tc>
        <w:tc>
          <w:tcPr>
            <w:tcW w:w="1942" w:type="pct"/>
            <w:vAlign w:val="center"/>
          </w:tcPr>
          <w:p w14:paraId="6A2CAFB2">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搅拌机型号</w:t>
            </w:r>
          </w:p>
        </w:tc>
        <w:tc>
          <w:tcPr>
            <w:tcW w:w="1536" w:type="pct"/>
            <w:vAlign w:val="center"/>
          </w:tcPr>
          <w:p w14:paraId="4F5D2A49">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测点距施工机械距离（m）</w:t>
            </w:r>
          </w:p>
        </w:tc>
        <w:tc>
          <w:tcPr>
            <w:tcW w:w="1076" w:type="pct"/>
            <w:vAlign w:val="center"/>
          </w:tcPr>
          <w:p w14:paraId="442C1E91">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最大声级</w:t>
            </w:r>
          </w:p>
          <w:p w14:paraId="6B9D77AA">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Lmax[dB（A）]</w:t>
            </w:r>
          </w:p>
        </w:tc>
      </w:tr>
      <w:tr w14:paraId="333E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46" w:type="pct"/>
            <w:vAlign w:val="center"/>
          </w:tcPr>
          <w:p w14:paraId="35F57AAC">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1</w:t>
            </w:r>
          </w:p>
        </w:tc>
        <w:tc>
          <w:tcPr>
            <w:tcW w:w="1942" w:type="pct"/>
            <w:vAlign w:val="center"/>
          </w:tcPr>
          <w:p w14:paraId="256FD87A">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LB30型（西筑）</w:t>
            </w:r>
          </w:p>
        </w:tc>
        <w:tc>
          <w:tcPr>
            <w:tcW w:w="1536" w:type="pct"/>
            <w:vAlign w:val="center"/>
          </w:tcPr>
          <w:p w14:paraId="4ED07871">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2</w:t>
            </w:r>
          </w:p>
        </w:tc>
        <w:tc>
          <w:tcPr>
            <w:tcW w:w="1076" w:type="pct"/>
            <w:vAlign w:val="center"/>
          </w:tcPr>
          <w:p w14:paraId="2EA962C4">
            <w:pPr>
              <w:widowControl w:val="0"/>
              <w:spacing w:line="240" w:lineRule="exact"/>
              <w:jc w:val="center"/>
              <w:rPr>
                <w:rFonts w:ascii="Times New Roman" w:hAnsi="Times New Roman" w:cs="Times New Roman"/>
                <w:snapToGrid w:val="0"/>
                <w:sz w:val="21"/>
                <w:szCs w:val="18"/>
                <w:lang w:val="zh-CN"/>
              </w:rPr>
            </w:pPr>
            <w:r>
              <w:rPr>
                <w:rFonts w:ascii="Times New Roman" w:hAnsi="Times New Roman" w:cs="Times New Roman"/>
                <w:snapToGrid w:val="0"/>
                <w:sz w:val="21"/>
                <w:szCs w:val="18"/>
                <w:lang w:val="zh-CN"/>
              </w:rPr>
              <w:t>90</w:t>
            </w:r>
          </w:p>
        </w:tc>
      </w:tr>
    </w:tbl>
    <w:p w14:paraId="08564B29">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3.2.2.4施工期固体废物源</w:t>
      </w:r>
    </w:p>
    <w:p w14:paraId="718E151F">
      <w:pPr>
        <w:spacing w:line="360" w:lineRule="auto"/>
        <w:ind w:firstLine="464" w:firstLineChars="200"/>
        <w:jc w:val="both"/>
        <w:rPr>
          <w:rFonts w:ascii="Times New Roman" w:hAnsi="Times New Roman" w:cs="Times New Roman"/>
          <w:spacing w:val="-4"/>
        </w:rPr>
      </w:pPr>
      <w:r>
        <w:rPr>
          <w:rFonts w:ascii="Times New Roman" w:hAnsi="Times New Roman" w:cs="Times New Roman"/>
          <w:spacing w:val="-4"/>
        </w:rPr>
        <w:t>施工过程中固体废物主要一般废物，包括：废弃土石方；施工人员的生活垃圾；沥青拌合站烟气净化设施中的废活性炭。</w:t>
      </w:r>
    </w:p>
    <w:p w14:paraId="72CD2D10">
      <w:pPr>
        <w:spacing w:line="360" w:lineRule="auto"/>
        <w:ind w:firstLine="480" w:firstLineChars="200"/>
        <w:rPr>
          <w:rFonts w:ascii="Times New Roman" w:hAnsi="Times New Roman" w:cs="Times New Roman"/>
        </w:rPr>
      </w:pPr>
      <w:r>
        <w:rPr>
          <w:rFonts w:ascii="Times New Roman" w:hAnsi="Times New Roman" w:cs="Times New Roman"/>
        </w:rPr>
        <w:t>（1）废弃土石方</w:t>
      </w:r>
    </w:p>
    <w:p w14:paraId="4446A0BE">
      <w:pPr>
        <w:spacing w:line="360" w:lineRule="auto"/>
        <w:ind w:firstLine="480" w:firstLineChars="200"/>
        <w:rPr>
          <w:rFonts w:ascii="Times New Roman" w:hAnsi="Times New Roman" w:cs="Times New Roman"/>
        </w:rPr>
      </w:pPr>
      <w:r>
        <w:rPr>
          <w:rFonts w:ascii="Times New Roman" w:hAnsi="Times New Roman" w:cs="Times New Roman"/>
        </w:rPr>
        <w:t>根据本工程可研报告，分析开挖量、回填量与弃渣量的关系，计算出该项目弃渣量。本次废弃土方约51.65万m</w:t>
      </w:r>
      <w:r>
        <w:rPr>
          <w:rFonts w:ascii="Times New Roman" w:hAnsi="Times New Roman" w:cs="Times New Roman"/>
          <w:vertAlign w:val="superscript"/>
        </w:rPr>
        <w:t>3</w:t>
      </w:r>
      <w:r>
        <w:rPr>
          <w:rFonts w:ascii="Times New Roman" w:hAnsi="Times New Roman" w:cs="Times New Roman"/>
        </w:rPr>
        <w:t>。废弃土石方全部运至弃土场。</w:t>
      </w:r>
    </w:p>
    <w:p w14:paraId="64918272">
      <w:pPr>
        <w:spacing w:line="360" w:lineRule="auto"/>
        <w:ind w:firstLine="480" w:firstLineChars="200"/>
        <w:jc w:val="both"/>
        <w:rPr>
          <w:rFonts w:ascii="Times New Roman" w:hAnsi="Times New Roman" w:cs="Times New Roman"/>
        </w:rPr>
      </w:pPr>
      <w:r>
        <w:rPr>
          <w:rFonts w:ascii="Times New Roman" w:hAnsi="Times New Roman" w:cs="Times New Roman"/>
        </w:rPr>
        <w:t>（2）施工人员生活垃圾</w:t>
      </w:r>
    </w:p>
    <w:p w14:paraId="3D463F0F">
      <w:pPr>
        <w:spacing w:line="360" w:lineRule="auto"/>
        <w:ind w:firstLine="480" w:firstLineChars="200"/>
        <w:jc w:val="both"/>
        <w:rPr>
          <w:rFonts w:ascii="Times New Roman" w:hAnsi="Times New Roman" w:cs="Times New Roman"/>
        </w:rPr>
      </w:pPr>
      <w:r>
        <w:rPr>
          <w:rFonts w:ascii="Times New Roman" w:hAnsi="Times New Roman" w:cs="Times New Roman"/>
        </w:rPr>
        <w:t>常驻施工人员按130人计，生活垃圾产生量按0.8kg/人d计，则施工期间产生的生活垃圾为104kg/d，集中收集，送至草湖生活垃圾填埋场处置。</w:t>
      </w:r>
    </w:p>
    <w:p w14:paraId="4AEDEEA7">
      <w:pPr>
        <w:spacing w:line="360" w:lineRule="auto"/>
        <w:ind w:firstLine="480" w:firstLineChars="200"/>
        <w:jc w:val="both"/>
        <w:rPr>
          <w:rFonts w:ascii="Times New Roman" w:hAnsi="Times New Roman" w:cs="Times New Roman"/>
        </w:rPr>
      </w:pPr>
      <w:r>
        <w:rPr>
          <w:rFonts w:ascii="Times New Roman" w:hAnsi="Times New Roman" w:cs="Times New Roman"/>
        </w:rPr>
        <w:t>（3）废活性炭</w:t>
      </w:r>
    </w:p>
    <w:p w14:paraId="24E94C18">
      <w:pPr>
        <w:spacing w:line="360" w:lineRule="auto"/>
        <w:ind w:firstLine="480" w:firstLineChars="200"/>
        <w:jc w:val="both"/>
        <w:rPr>
          <w:rFonts w:ascii="Times New Roman" w:hAnsi="Times New Roman" w:cs="Times New Roman"/>
        </w:rPr>
      </w:pPr>
      <w:r>
        <w:rPr>
          <w:rFonts w:ascii="Times New Roman" w:hAnsi="Times New Roman" w:cs="Times New Roman"/>
        </w:rPr>
        <w:t>本项目涉及的危险废物主要为净化沥青烟气的废活性炭，产生量通常较小，见表3.2-6。</w:t>
      </w:r>
    </w:p>
    <w:p w14:paraId="2518FCE0">
      <w:pPr>
        <w:jc w:val="center"/>
        <w:rPr>
          <w:rFonts w:ascii="Times New Roman" w:hAnsi="Times New Roman" w:eastAsia="黑体" w:cs="Times New Roman"/>
        </w:rPr>
      </w:pPr>
      <w:r>
        <w:rPr>
          <w:rFonts w:ascii="Times New Roman" w:hAnsi="Times New Roman" w:eastAsia="黑体" w:cs="Times New Roman"/>
        </w:rPr>
        <w:t>表3.2-6  危废产生情况一览表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301"/>
        <w:gridCol w:w="1417"/>
        <w:gridCol w:w="1417"/>
        <w:gridCol w:w="1291"/>
        <w:gridCol w:w="2418"/>
      </w:tblGrid>
      <w:tr w14:paraId="1C89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4AA9F424">
            <w:pPr>
              <w:widowControl w:val="0"/>
              <w:jc w:val="center"/>
              <w:rPr>
                <w:rFonts w:ascii="Times New Roman" w:hAnsi="Times New Roman" w:cs="Times New Roman"/>
                <w:sz w:val="21"/>
                <w:szCs w:val="18"/>
              </w:rPr>
            </w:pPr>
            <w:r>
              <w:rPr>
                <w:rFonts w:ascii="Times New Roman" w:hAnsi="Times New Roman" w:cs="Times New Roman"/>
                <w:sz w:val="21"/>
                <w:szCs w:val="18"/>
              </w:rPr>
              <w:t>序号</w:t>
            </w:r>
          </w:p>
        </w:tc>
        <w:tc>
          <w:tcPr>
            <w:tcW w:w="763" w:type="pct"/>
            <w:vAlign w:val="center"/>
          </w:tcPr>
          <w:p w14:paraId="7507EFF4">
            <w:pPr>
              <w:widowControl w:val="0"/>
              <w:jc w:val="center"/>
              <w:rPr>
                <w:rFonts w:ascii="Times New Roman" w:hAnsi="Times New Roman" w:cs="Times New Roman"/>
                <w:sz w:val="21"/>
                <w:szCs w:val="18"/>
              </w:rPr>
            </w:pPr>
            <w:r>
              <w:rPr>
                <w:rFonts w:ascii="Times New Roman" w:hAnsi="Times New Roman" w:cs="Times New Roman"/>
                <w:sz w:val="21"/>
                <w:szCs w:val="18"/>
              </w:rPr>
              <w:t>废物名称</w:t>
            </w:r>
          </w:p>
        </w:tc>
        <w:tc>
          <w:tcPr>
            <w:tcW w:w="831" w:type="pct"/>
            <w:vAlign w:val="center"/>
          </w:tcPr>
          <w:p w14:paraId="4C8D4C8A">
            <w:pPr>
              <w:widowControl w:val="0"/>
              <w:jc w:val="center"/>
              <w:rPr>
                <w:rFonts w:ascii="Times New Roman" w:hAnsi="Times New Roman" w:cs="Times New Roman"/>
                <w:sz w:val="21"/>
                <w:szCs w:val="18"/>
              </w:rPr>
            </w:pPr>
            <w:r>
              <w:rPr>
                <w:rFonts w:ascii="Times New Roman" w:hAnsi="Times New Roman" w:cs="Times New Roman"/>
                <w:sz w:val="21"/>
                <w:szCs w:val="18"/>
              </w:rPr>
              <w:t>废物类别</w:t>
            </w:r>
          </w:p>
        </w:tc>
        <w:tc>
          <w:tcPr>
            <w:tcW w:w="831" w:type="pct"/>
            <w:vAlign w:val="center"/>
          </w:tcPr>
          <w:p w14:paraId="63BE2F5C">
            <w:pPr>
              <w:widowControl w:val="0"/>
              <w:jc w:val="center"/>
              <w:rPr>
                <w:rFonts w:ascii="Times New Roman" w:hAnsi="Times New Roman" w:cs="Times New Roman"/>
                <w:sz w:val="21"/>
                <w:szCs w:val="18"/>
              </w:rPr>
            </w:pPr>
            <w:r>
              <w:rPr>
                <w:rFonts w:ascii="Times New Roman" w:hAnsi="Times New Roman" w:cs="Times New Roman"/>
                <w:sz w:val="21"/>
                <w:szCs w:val="18"/>
              </w:rPr>
              <w:t>危废代码</w:t>
            </w:r>
          </w:p>
        </w:tc>
        <w:tc>
          <w:tcPr>
            <w:tcW w:w="757" w:type="pct"/>
            <w:vAlign w:val="center"/>
          </w:tcPr>
          <w:p w14:paraId="122BC579">
            <w:pPr>
              <w:widowControl w:val="0"/>
              <w:jc w:val="center"/>
              <w:rPr>
                <w:rFonts w:ascii="Times New Roman" w:hAnsi="Times New Roman" w:cs="Times New Roman"/>
                <w:sz w:val="21"/>
                <w:szCs w:val="18"/>
              </w:rPr>
            </w:pPr>
            <w:r>
              <w:rPr>
                <w:rFonts w:ascii="Times New Roman" w:hAnsi="Times New Roman" w:cs="Times New Roman"/>
                <w:sz w:val="21"/>
                <w:szCs w:val="18"/>
              </w:rPr>
              <w:t>产生量（t）</w:t>
            </w:r>
          </w:p>
        </w:tc>
        <w:tc>
          <w:tcPr>
            <w:tcW w:w="1417" w:type="pct"/>
            <w:vAlign w:val="center"/>
          </w:tcPr>
          <w:p w14:paraId="34437FC2">
            <w:pPr>
              <w:widowControl w:val="0"/>
              <w:jc w:val="center"/>
              <w:rPr>
                <w:rFonts w:ascii="Times New Roman" w:hAnsi="Times New Roman" w:cs="Times New Roman"/>
                <w:sz w:val="21"/>
                <w:szCs w:val="18"/>
              </w:rPr>
            </w:pPr>
            <w:r>
              <w:rPr>
                <w:rFonts w:ascii="Times New Roman" w:hAnsi="Times New Roman" w:cs="Times New Roman"/>
                <w:sz w:val="21"/>
                <w:szCs w:val="18"/>
              </w:rPr>
              <w:t>产生环节</w:t>
            </w:r>
          </w:p>
        </w:tc>
      </w:tr>
      <w:tr w14:paraId="6666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1" w:type="pct"/>
            <w:vAlign w:val="center"/>
          </w:tcPr>
          <w:p w14:paraId="5228BC12">
            <w:pPr>
              <w:widowControl w:val="0"/>
              <w:jc w:val="center"/>
              <w:rPr>
                <w:rFonts w:ascii="Times New Roman" w:hAnsi="Times New Roman" w:cs="Times New Roman"/>
                <w:sz w:val="21"/>
                <w:szCs w:val="18"/>
              </w:rPr>
            </w:pPr>
            <w:r>
              <w:rPr>
                <w:rFonts w:ascii="Times New Roman" w:hAnsi="Times New Roman" w:cs="Times New Roman"/>
                <w:sz w:val="21"/>
                <w:szCs w:val="18"/>
              </w:rPr>
              <w:t>1</w:t>
            </w:r>
          </w:p>
        </w:tc>
        <w:tc>
          <w:tcPr>
            <w:tcW w:w="763" w:type="pct"/>
            <w:vAlign w:val="center"/>
          </w:tcPr>
          <w:p w14:paraId="7FC3D84D">
            <w:pPr>
              <w:widowControl w:val="0"/>
              <w:jc w:val="center"/>
              <w:rPr>
                <w:rFonts w:ascii="Times New Roman" w:hAnsi="Times New Roman" w:cs="Times New Roman"/>
                <w:sz w:val="21"/>
                <w:szCs w:val="18"/>
              </w:rPr>
            </w:pPr>
            <w:r>
              <w:rPr>
                <w:rFonts w:ascii="Times New Roman" w:hAnsi="Times New Roman" w:cs="Times New Roman"/>
                <w:sz w:val="21"/>
                <w:szCs w:val="18"/>
              </w:rPr>
              <w:t>废活性炭</w:t>
            </w:r>
          </w:p>
        </w:tc>
        <w:tc>
          <w:tcPr>
            <w:tcW w:w="831" w:type="pct"/>
            <w:vAlign w:val="center"/>
          </w:tcPr>
          <w:p w14:paraId="174DF30B">
            <w:pPr>
              <w:widowControl w:val="0"/>
              <w:jc w:val="center"/>
              <w:rPr>
                <w:rFonts w:ascii="Times New Roman" w:hAnsi="Times New Roman" w:cs="Times New Roman"/>
                <w:sz w:val="21"/>
                <w:szCs w:val="18"/>
              </w:rPr>
            </w:pPr>
            <w:r>
              <w:rPr>
                <w:rFonts w:ascii="Times New Roman" w:hAnsi="Times New Roman" w:cs="Times New Roman"/>
                <w:sz w:val="21"/>
                <w:szCs w:val="18"/>
              </w:rPr>
              <w:t>HW06</w:t>
            </w:r>
          </w:p>
        </w:tc>
        <w:tc>
          <w:tcPr>
            <w:tcW w:w="831" w:type="pct"/>
            <w:vAlign w:val="center"/>
          </w:tcPr>
          <w:p w14:paraId="2471A438">
            <w:pPr>
              <w:widowControl w:val="0"/>
              <w:jc w:val="center"/>
              <w:rPr>
                <w:rFonts w:ascii="Times New Roman" w:hAnsi="Times New Roman" w:cs="Times New Roman"/>
                <w:sz w:val="21"/>
                <w:szCs w:val="18"/>
              </w:rPr>
            </w:pPr>
            <w:r>
              <w:rPr>
                <w:rFonts w:ascii="Times New Roman" w:hAnsi="Times New Roman" w:cs="Times New Roman"/>
                <w:sz w:val="21"/>
                <w:szCs w:val="18"/>
              </w:rPr>
              <w:t>900-405-06</w:t>
            </w:r>
          </w:p>
        </w:tc>
        <w:tc>
          <w:tcPr>
            <w:tcW w:w="757" w:type="pct"/>
            <w:vAlign w:val="center"/>
          </w:tcPr>
          <w:p w14:paraId="36B5CD2A">
            <w:pPr>
              <w:widowControl w:val="0"/>
              <w:jc w:val="center"/>
              <w:rPr>
                <w:rFonts w:ascii="Times New Roman" w:hAnsi="Times New Roman" w:cs="Times New Roman"/>
                <w:sz w:val="21"/>
                <w:szCs w:val="18"/>
              </w:rPr>
            </w:pPr>
            <w:r>
              <w:rPr>
                <w:rFonts w:ascii="Times New Roman" w:hAnsi="Times New Roman" w:cs="Times New Roman"/>
                <w:sz w:val="21"/>
                <w:szCs w:val="18"/>
              </w:rPr>
              <w:t>0.5</w:t>
            </w:r>
          </w:p>
        </w:tc>
        <w:tc>
          <w:tcPr>
            <w:tcW w:w="1417" w:type="pct"/>
            <w:vAlign w:val="center"/>
          </w:tcPr>
          <w:p w14:paraId="778C8F68">
            <w:pPr>
              <w:widowControl w:val="0"/>
              <w:jc w:val="center"/>
              <w:rPr>
                <w:rFonts w:ascii="Times New Roman" w:hAnsi="Times New Roman" w:cs="Times New Roman"/>
                <w:sz w:val="21"/>
                <w:szCs w:val="18"/>
              </w:rPr>
            </w:pPr>
            <w:r>
              <w:rPr>
                <w:rFonts w:ascii="Times New Roman" w:hAnsi="Times New Roman" w:cs="Times New Roman"/>
                <w:sz w:val="21"/>
                <w:szCs w:val="18"/>
              </w:rPr>
              <w:t>沥青拌合沥青烟气净化</w:t>
            </w:r>
          </w:p>
        </w:tc>
      </w:tr>
    </w:tbl>
    <w:p w14:paraId="07B31116">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3.2.2.5生态环境影响</w:t>
      </w:r>
    </w:p>
    <w:p w14:paraId="7BA33216">
      <w:pPr>
        <w:pStyle w:val="397"/>
        <w:spacing w:line="360" w:lineRule="auto"/>
        <w:jc w:val="both"/>
        <w:rPr>
          <w:rFonts w:ascii="Times New Roman" w:hAnsi="Times New Roman" w:cs="Times New Roman"/>
          <w:color w:val="auto"/>
        </w:rPr>
      </w:pPr>
      <w:r>
        <w:rPr>
          <w:rFonts w:ascii="Times New Roman" w:hAnsi="Times New Roman" w:cs="Times New Roman"/>
          <w:color w:val="auto"/>
        </w:rPr>
        <w:t>本工程永久占地面积1232.11</w:t>
      </w:r>
      <w:r>
        <w:rPr>
          <w:rFonts w:hint="eastAsia" w:ascii="Times New Roman" w:hAnsi="Times New Roman" w:cs="Times New Roman"/>
          <w:color w:val="auto"/>
        </w:rPr>
        <w:t>亩</w:t>
      </w:r>
      <w:r>
        <w:rPr>
          <w:rFonts w:ascii="Times New Roman" w:hAnsi="Times New Roman" w:cs="Times New Roman"/>
          <w:color w:val="auto"/>
        </w:rPr>
        <w:t>，临时占地面积481.3</w:t>
      </w:r>
      <w:r>
        <w:rPr>
          <w:rFonts w:hint="eastAsia" w:ascii="Times New Roman" w:hAnsi="Times New Roman" w:cs="Times New Roman"/>
          <w:color w:val="auto"/>
        </w:rPr>
        <w:t>亩</w:t>
      </w:r>
      <w:r>
        <w:rPr>
          <w:rFonts w:ascii="Times New Roman" w:hAnsi="Times New Roman" w:cs="Times New Roman"/>
          <w:color w:val="auto"/>
        </w:rPr>
        <w:t>。</w:t>
      </w:r>
    </w:p>
    <w:p w14:paraId="3EC55F91">
      <w:pPr>
        <w:pStyle w:val="397"/>
        <w:spacing w:line="360" w:lineRule="auto"/>
        <w:jc w:val="both"/>
        <w:rPr>
          <w:rFonts w:ascii="Times New Roman" w:hAnsi="Times New Roman" w:cs="Times New Roman"/>
          <w:color w:val="auto"/>
        </w:rPr>
      </w:pPr>
      <w:r>
        <w:rPr>
          <w:rFonts w:hint="eastAsia" w:ascii="Times New Roman" w:hAnsi="Times New Roman" w:cs="Times New Roman"/>
          <w:color w:val="auto"/>
        </w:rPr>
        <w:t>①路基填挖使沿线的植被遭到破坏，土地被侵占，地表裸露，沿线地区的局部生态结构发生一定的变化，裸露的地面被雨，水冲刷土流失，进而降低土壤肥力。</w:t>
      </w:r>
    </w:p>
    <w:p w14:paraId="34F014F8">
      <w:pPr>
        <w:pStyle w:val="397"/>
        <w:spacing w:line="360" w:lineRule="auto"/>
        <w:jc w:val="both"/>
        <w:rPr>
          <w:rFonts w:ascii="Times New Roman" w:hAnsi="Times New Roman" w:cs="Times New Roman"/>
          <w:color w:val="auto"/>
        </w:rPr>
      </w:pPr>
      <w:r>
        <w:rPr>
          <w:rFonts w:hint="eastAsia" w:ascii="Times New Roman" w:hAnsi="Times New Roman" w:cs="Times New Roman"/>
          <w:color w:val="auto"/>
        </w:rPr>
        <w:t>②工程临时弃渣防护处理不当会造成水土流失。</w:t>
      </w:r>
    </w:p>
    <w:p w14:paraId="79613905">
      <w:pPr>
        <w:pStyle w:val="397"/>
        <w:spacing w:line="360" w:lineRule="auto"/>
        <w:jc w:val="both"/>
        <w:rPr>
          <w:rFonts w:ascii="Times New Roman" w:hAnsi="Times New Roman" w:cs="Times New Roman"/>
          <w:color w:val="auto"/>
        </w:rPr>
      </w:pPr>
      <w:r>
        <w:rPr>
          <w:rFonts w:hint="eastAsia" w:ascii="Times New Roman" w:hAnsi="Times New Roman" w:cs="Times New Roman"/>
          <w:color w:val="auto"/>
        </w:rPr>
        <w:t>③大量的开挖、填筑行为短期内会破坏沿线的自然景观。</w:t>
      </w:r>
    </w:p>
    <w:p w14:paraId="21D5673C">
      <w:pPr>
        <w:pStyle w:val="397"/>
        <w:spacing w:line="360" w:lineRule="auto"/>
        <w:jc w:val="both"/>
        <w:rPr>
          <w:rFonts w:ascii="Times New Roman" w:hAnsi="Times New Roman" w:cs="Times New Roman"/>
          <w:color w:val="auto"/>
        </w:rPr>
      </w:pPr>
      <w:r>
        <w:rPr>
          <w:rFonts w:hint="eastAsia" w:ascii="Times New Roman" w:hAnsi="Times New Roman" w:cs="Times New Roman"/>
          <w:color w:val="auto"/>
        </w:rPr>
        <w:t>④施工行为产生的扬尘，造成自然植被叶面落尘较多，影响植被自然生长。</w:t>
      </w:r>
    </w:p>
    <w:p w14:paraId="12E62A5D">
      <w:pPr>
        <w:pStyle w:val="397"/>
        <w:spacing w:line="360" w:lineRule="auto"/>
        <w:jc w:val="both"/>
        <w:rPr>
          <w:rFonts w:ascii="Times New Roman" w:hAnsi="Times New Roman" w:cs="Times New Roman"/>
          <w:color w:val="auto"/>
        </w:rPr>
      </w:pPr>
      <w:r>
        <w:rPr>
          <w:rFonts w:hint="eastAsia" w:ascii="Times New Roman" w:hAnsi="Times New Roman" w:cs="Times New Roman"/>
          <w:color w:val="auto"/>
        </w:rPr>
        <w:t>⑤工程占用不同类型的土地及覆盖植被，农作物、草地生物量损失等方面，对生态系统功能结构及水土流失等影响。</w:t>
      </w:r>
    </w:p>
    <w:p w14:paraId="22F3E2CA">
      <w:pPr>
        <w:pStyle w:val="397"/>
        <w:spacing w:line="360" w:lineRule="auto"/>
        <w:jc w:val="both"/>
        <w:rPr>
          <w:rFonts w:ascii="Times New Roman" w:hAnsi="Times New Roman" w:cs="Times New Roman"/>
          <w:color w:val="auto"/>
        </w:rPr>
      </w:pPr>
      <w:r>
        <w:rPr>
          <w:rFonts w:hint="eastAsia" w:ascii="Times New Roman" w:hAnsi="Times New Roman" w:cs="Times New Roman"/>
          <w:snapToGrid w:val="0"/>
          <w:color w:val="auto"/>
          <w:lang w:val="zh-CN"/>
        </w:rPr>
        <w:t>⑤</w:t>
      </w:r>
      <w:r>
        <w:rPr>
          <w:rFonts w:ascii="Times New Roman" w:hAnsi="Times New Roman" w:cs="Times New Roman"/>
          <w:snapToGrid w:val="0"/>
          <w:color w:val="auto"/>
          <w:lang w:val="zh-CN"/>
        </w:rPr>
        <w:t>公路</w:t>
      </w:r>
      <w:r>
        <w:rPr>
          <w:rFonts w:hint="eastAsia" w:ascii="Times New Roman" w:hAnsi="Times New Roman" w:cs="Times New Roman"/>
          <w:snapToGrid w:val="0"/>
          <w:color w:val="auto"/>
          <w:lang w:val="zh-CN"/>
        </w:rPr>
        <w:t>建设</w:t>
      </w:r>
      <w:r>
        <w:rPr>
          <w:rFonts w:ascii="Times New Roman" w:hAnsi="Times New Roman" w:cs="Times New Roman"/>
          <w:snapToGrid w:val="0"/>
          <w:color w:val="auto"/>
          <w:lang w:val="zh-CN"/>
        </w:rPr>
        <w:t>对动物的影响主要为项目施工过程中野生动物将被迫离开原来的觅食和活动地带。</w:t>
      </w:r>
    </w:p>
    <w:p w14:paraId="01503149">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3.2.3营运期源强核算</w:t>
      </w:r>
    </w:p>
    <w:p w14:paraId="7C7F5F16">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3.2.3.1 大气污染源</w:t>
      </w:r>
    </w:p>
    <w:p w14:paraId="3D6FB738">
      <w:pPr>
        <w:spacing w:line="360" w:lineRule="auto"/>
        <w:ind w:firstLine="480" w:firstLineChars="200"/>
        <w:jc w:val="both"/>
        <w:rPr>
          <w:rFonts w:ascii="Times New Roman" w:hAnsi="Times New Roman" w:cs="Times New Roman"/>
        </w:rPr>
      </w:pPr>
      <w:r>
        <w:rPr>
          <w:rFonts w:ascii="Times New Roman" w:hAnsi="Times New Roman" w:cs="Times New Roman"/>
        </w:rPr>
        <w:t>本项目公路建成通车后，汽车尾气成为影响沿线环境空气质量的主要污染物。NO</w:t>
      </w:r>
      <w:r>
        <w:rPr>
          <w:rFonts w:ascii="Times New Roman" w:hAnsi="Times New Roman" w:cs="Times New Roman"/>
          <w:vertAlign w:val="subscript"/>
        </w:rPr>
        <w:t>2</w:t>
      </w:r>
      <w:r>
        <w:rPr>
          <w:rFonts w:ascii="Times New Roman" w:hAnsi="Times New Roman" w:cs="Times New Roman"/>
        </w:rPr>
        <w:t>为汽车尾气排放的主要污染物。汽车尾气污染源可模拟为一条连续排放的线性污染源。污染物排放量的大小与交通量的大小密切相关，同时又取决于车辆类型和运行车辆车况。</w:t>
      </w:r>
    </w:p>
    <w:p w14:paraId="01D4B7D7">
      <w:pPr>
        <w:spacing w:line="360" w:lineRule="auto"/>
        <w:ind w:firstLine="480" w:firstLineChars="200"/>
        <w:jc w:val="both"/>
        <w:rPr>
          <w:rFonts w:ascii="Times New Roman" w:hAnsi="Times New Roman" w:cs="Times New Roman"/>
        </w:rPr>
      </w:pPr>
      <w:r>
        <w:rPr>
          <w:rFonts w:ascii="Times New Roman" w:hAnsi="Times New Roman" w:cs="Times New Roman"/>
        </w:rPr>
        <w:t>根据拟建项目预测交通量结果及各特征参数，计算车辆排放污染物线源源强。气态污染物排放源强按下式计算：</w:t>
      </w:r>
    </w:p>
    <w:p w14:paraId="589D5413">
      <w:pPr>
        <w:spacing w:line="360" w:lineRule="auto"/>
        <w:ind w:firstLine="1920" w:firstLineChars="800"/>
        <w:jc w:val="both"/>
        <w:rPr>
          <w:rFonts w:ascii="Times New Roman" w:hAnsi="Times New Roman" w:cs="Times New Roman"/>
        </w:rPr>
      </w:pPr>
      <w:r>
        <w:rPr>
          <w:rFonts w:ascii="Times New Roman" w:hAnsi="Times New Roman" w:cs="Times New Roman"/>
        </w:rPr>
        <w:drawing>
          <wp:inline distT="0" distB="0" distL="0" distR="0">
            <wp:extent cx="1750695" cy="563880"/>
            <wp:effectExtent l="0" t="0" r="1905" b="7620"/>
            <wp:docPr id="3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52407" cy="564960"/>
                    </a:xfrm>
                    <a:prstGeom prst="rect">
                      <a:avLst/>
                    </a:prstGeom>
                    <a:noFill/>
                    <a:ln>
                      <a:noFill/>
                    </a:ln>
                  </pic:spPr>
                </pic:pic>
              </a:graphicData>
            </a:graphic>
          </wp:inline>
        </w:drawing>
      </w:r>
    </w:p>
    <w:p w14:paraId="26AF33C0">
      <w:pPr>
        <w:spacing w:line="360" w:lineRule="auto"/>
        <w:ind w:firstLine="480" w:firstLineChars="200"/>
        <w:jc w:val="both"/>
        <w:rPr>
          <w:rFonts w:ascii="Times New Roman" w:hAnsi="Times New Roman" w:cs="Times New Roman"/>
        </w:rPr>
      </w:pPr>
      <w:r>
        <w:rPr>
          <w:rFonts w:ascii="Times New Roman" w:hAnsi="Times New Roman" w:cs="Times New Roman"/>
        </w:rPr>
        <w:t>式中：Q</w:t>
      </w:r>
      <w:r>
        <w:rPr>
          <w:rFonts w:ascii="Times New Roman" w:hAnsi="Times New Roman" w:cs="Times New Roman"/>
          <w:vertAlign w:val="subscript"/>
        </w:rPr>
        <w:t>j</w:t>
      </w:r>
      <w:r>
        <w:rPr>
          <w:rFonts w:ascii="Times New Roman" w:hAnsi="Times New Roman" w:cs="Times New Roman"/>
        </w:rPr>
        <w:t>—j类气态污染物排放强度，mg/s·m；</w:t>
      </w:r>
    </w:p>
    <w:p w14:paraId="2A6104DF">
      <w:pPr>
        <w:spacing w:line="360" w:lineRule="auto"/>
        <w:ind w:firstLine="1200" w:firstLineChars="500"/>
        <w:jc w:val="both"/>
        <w:rPr>
          <w:rFonts w:ascii="Times New Roman" w:hAnsi="Times New Roman" w:cs="Times New Roman"/>
        </w:rPr>
      </w:pPr>
      <w:r>
        <w:rPr>
          <w:rFonts w:ascii="Times New Roman" w:hAnsi="Times New Roman" w:cs="Times New Roman"/>
        </w:rPr>
        <w:t>A</w:t>
      </w:r>
      <w:r>
        <w:rPr>
          <w:rFonts w:ascii="Times New Roman" w:hAnsi="Times New Roman" w:cs="Times New Roman"/>
          <w:vertAlign w:val="subscript"/>
        </w:rPr>
        <w:t>i</w:t>
      </w:r>
      <w:r>
        <w:rPr>
          <w:rFonts w:ascii="Times New Roman" w:hAnsi="Times New Roman" w:cs="Times New Roman"/>
        </w:rPr>
        <w:t>—i型车预测年的小时交通量，辆/h；</w:t>
      </w:r>
    </w:p>
    <w:p w14:paraId="6704BAB9">
      <w:pPr>
        <w:spacing w:line="360" w:lineRule="auto"/>
        <w:ind w:firstLine="1200" w:firstLineChars="500"/>
        <w:jc w:val="both"/>
        <w:rPr>
          <w:rFonts w:ascii="Times New Roman" w:hAnsi="Times New Roman" w:cs="Times New Roman"/>
        </w:rPr>
      </w:pPr>
      <w:r>
        <w:rPr>
          <w:rFonts w:ascii="Times New Roman" w:hAnsi="Times New Roman" w:cs="Times New Roman"/>
        </w:rPr>
        <w:t>E</w:t>
      </w:r>
      <w:r>
        <w:rPr>
          <w:rFonts w:ascii="Times New Roman" w:hAnsi="Times New Roman" w:cs="Times New Roman"/>
          <w:vertAlign w:val="subscript"/>
        </w:rPr>
        <w:t>ij</w:t>
      </w:r>
      <w:r>
        <w:rPr>
          <w:rFonts w:ascii="Times New Roman" w:hAnsi="Times New Roman" w:cs="Times New Roman"/>
        </w:rPr>
        <w:t>—汽车专用公路运行工况下，i型车j类排放物在预测年的单车排放因子采用《公路建设项目环境影响评价规范》推荐值，见表3.2-7。</w:t>
      </w:r>
    </w:p>
    <w:p w14:paraId="3B7C31A2">
      <w:pPr>
        <w:jc w:val="center"/>
        <w:rPr>
          <w:rFonts w:ascii="Times New Roman" w:hAnsi="Times New Roman" w:eastAsia="黑体" w:cs="Times New Roman"/>
        </w:rPr>
      </w:pPr>
      <w:r>
        <w:rPr>
          <w:rFonts w:ascii="Times New Roman" w:hAnsi="Times New Roman" w:eastAsia="黑体" w:cs="Times New Roman"/>
        </w:rPr>
        <w:t>表3.2-7  车辆单车排放因子推荐值</w:t>
      </w:r>
      <w:r>
        <w:rPr>
          <w:rFonts w:hint="eastAsia" w:ascii="Times New Roman" w:hAnsi="Times New Roman" w:eastAsia="黑体" w:cs="Times New Roman"/>
        </w:rPr>
        <w:t xml:space="preserve"> </w:t>
      </w:r>
      <w:r>
        <w:rPr>
          <w:rFonts w:ascii="Times New Roman" w:hAnsi="Times New Roman" w:eastAsia="黑体" w:cs="Times New Roman"/>
        </w:rPr>
        <w:t xml:space="preserve"> 单位：g/辆</w:t>
      </w:r>
      <w:r>
        <w:rPr>
          <w:rFonts w:hint="eastAsia" w:ascii="Times New Roman" w:hAnsi="Times New Roman" w:eastAsia="黑体" w:cs="Times New Roman"/>
        </w:rPr>
        <w:t>·</w:t>
      </w:r>
      <w:r>
        <w:rPr>
          <w:rFonts w:ascii="Times New Roman" w:hAnsi="Times New Roman" w:eastAsia="黑体" w:cs="Times New Roman"/>
        </w:rPr>
        <w:t>km</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007"/>
        <w:gridCol w:w="1005"/>
        <w:gridCol w:w="1003"/>
        <w:gridCol w:w="1005"/>
        <w:gridCol w:w="1005"/>
        <w:gridCol w:w="1005"/>
        <w:gridCol w:w="1305"/>
      </w:tblGrid>
      <w:tr w14:paraId="6882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trPr>
        <w:tc>
          <w:tcPr>
            <w:tcW w:w="1291" w:type="pct"/>
            <w:gridSpan w:val="2"/>
            <w:shd w:val="clear" w:color="auto" w:fill="auto"/>
            <w:vAlign w:val="center"/>
          </w:tcPr>
          <w:p w14:paraId="2688F94E">
            <w:pPr>
              <w:spacing w:line="240" w:lineRule="exact"/>
              <w:jc w:val="center"/>
              <w:rPr>
                <w:rFonts w:ascii="Times New Roman" w:hAnsi="Times New Roman" w:cs="Times New Roman"/>
                <w:sz w:val="21"/>
                <w:szCs w:val="21"/>
              </w:rPr>
            </w:pPr>
            <w:r>
              <w:rPr>
                <w:rFonts w:ascii="Times New Roman" w:hAnsi="Times New Roman" w:cs="Times New Roman"/>
                <w:sz w:val="21"/>
                <w:szCs w:val="21"/>
              </w:rPr>
              <w:t>平均车速（km/h）</w:t>
            </w:r>
          </w:p>
        </w:tc>
        <w:tc>
          <w:tcPr>
            <w:tcW w:w="589" w:type="pct"/>
            <w:shd w:val="clear" w:color="auto" w:fill="auto"/>
            <w:vAlign w:val="center"/>
          </w:tcPr>
          <w:p w14:paraId="6FD0FCED">
            <w:pPr>
              <w:spacing w:line="240" w:lineRule="exact"/>
              <w:jc w:val="center"/>
              <w:rPr>
                <w:rFonts w:ascii="Times New Roman" w:hAnsi="Times New Roman" w:cs="Times New Roman"/>
                <w:sz w:val="21"/>
                <w:szCs w:val="21"/>
              </w:rPr>
            </w:pPr>
            <w:r>
              <w:rPr>
                <w:rFonts w:ascii="Times New Roman" w:hAnsi="Times New Roman" w:cs="Times New Roman"/>
                <w:sz w:val="21"/>
                <w:szCs w:val="21"/>
              </w:rPr>
              <w:t>50</w:t>
            </w:r>
          </w:p>
        </w:tc>
        <w:tc>
          <w:tcPr>
            <w:tcW w:w="588" w:type="pct"/>
            <w:shd w:val="clear" w:color="auto" w:fill="auto"/>
            <w:vAlign w:val="center"/>
          </w:tcPr>
          <w:p w14:paraId="3F83F6E6">
            <w:pPr>
              <w:spacing w:line="240" w:lineRule="exact"/>
              <w:jc w:val="center"/>
              <w:rPr>
                <w:rFonts w:ascii="Times New Roman" w:hAnsi="Times New Roman" w:cs="Times New Roman"/>
                <w:sz w:val="21"/>
                <w:szCs w:val="21"/>
              </w:rPr>
            </w:pPr>
            <w:r>
              <w:rPr>
                <w:rFonts w:ascii="Times New Roman" w:hAnsi="Times New Roman" w:cs="Times New Roman"/>
                <w:sz w:val="21"/>
                <w:szCs w:val="21"/>
              </w:rPr>
              <w:t>60</w:t>
            </w:r>
          </w:p>
        </w:tc>
        <w:tc>
          <w:tcPr>
            <w:tcW w:w="589" w:type="pct"/>
            <w:shd w:val="clear" w:color="auto" w:fill="auto"/>
            <w:vAlign w:val="center"/>
          </w:tcPr>
          <w:p w14:paraId="44A3B77C">
            <w:pPr>
              <w:spacing w:line="240" w:lineRule="exact"/>
              <w:jc w:val="center"/>
              <w:rPr>
                <w:rFonts w:ascii="Times New Roman" w:hAnsi="Times New Roman" w:cs="Times New Roman"/>
                <w:sz w:val="21"/>
                <w:szCs w:val="21"/>
              </w:rPr>
            </w:pPr>
            <w:r>
              <w:rPr>
                <w:rFonts w:ascii="Times New Roman" w:hAnsi="Times New Roman" w:cs="Times New Roman"/>
                <w:sz w:val="21"/>
                <w:szCs w:val="21"/>
              </w:rPr>
              <w:t>70</w:t>
            </w:r>
          </w:p>
        </w:tc>
        <w:tc>
          <w:tcPr>
            <w:tcW w:w="589" w:type="pct"/>
            <w:shd w:val="clear" w:color="auto" w:fill="auto"/>
            <w:vAlign w:val="center"/>
          </w:tcPr>
          <w:p w14:paraId="57C2F965">
            <w:pPr>
              <w:spacing w:line="240" w:lineRule="exact"/>
              <w:jc w:val="center"/>
              <w:rPr>
                <w:rFonts w:ascii="Times New Roman" w:hAnsi="Times New Roman" w:cs="Times New Roman"/>
                <w:sz w:val="21"/>
                <w:szCs w:val="21"/>
              </w:rPr>
            </w:pPr>
            <w:r>
              <w:rPr>
                <w:rFonts w:ascii="Times New Roman" w:hAnsi="Times New Roman" w:cs="Times New Roman"/>
                <w:sz w:val="21"/>
                <w:szCs w:val="21"/>
              </w:rPr>
              <w:t>80</w:t>
            </w:r>
          </w:p>
        </w:tc>
        <w:tc>
          <w:tcPr>
            <w:tcW w:w="589" w:type="pct"/>
            <w:shd w:val="clear" w:color="auto" w:fill="auto"/>
            <w:vAlign w:val="center"/>
          </w:tcPr>
          <w:p w14:paraId="6DE6805D">
            <w:pPr>
              <w:spacing w:line="240" w:lineRule="exact"/>
              <w:jc w:val="center"/>
              <w:rPr>
                <w:rFonts w:ascii="Times New Roman" w:hAnsi="Times New Roman" w:cs="Times New Roman"/>
                <w:sz w:val="21"/>
                <w:szCs w:val="21"/>
              </w:rPr>
            </w:pPr>
            <w:r>
              <w:rPr>
                <w:rFonts w:ascii="Times New Roman" w:hAnsi="Times New Roman" w:cs="Times New Roman"/>
                <w:sz w:val="21"/>
                <w:szCs w:val="21"/>
              </w:rPr>
              <w:t>90</w:t>
            </w:r>
          </w:p>
        </w:tc>
        <w:tc>
          <w:tcPr>
            <w:tcW w:w="765" w:type="pct"/>
            <w:shd w:val="clear" w:color="auto" w:fill="auto"/>
            <w:vAlign w:val="center"/>
          </w:tcPr>
          <w:p w14:paraId="3ED76679">
            <w:pPr>
              <w:spacing w:line="240" w:lineRule="exact"/>
              <w:jc w:val="center"/>
              <w:rPr>
                <w:rFonts w:ascii="Times New Roman" w:hAnsi="Times New Roman" w:cs="Times New Roman"/>
                <w:sz w:val="21"/>
                <w:szCs w:val="21"/>
              </w:rPr>
            </w:pPr>
            <w:r>
              <w:rPr>
                <w:rFonts w:ascii="Times New Roman" w:hAnsi="Times New Roman" w:cs="Times New Roman"/>
                <w:sz w:val="21"/>
                <w:szCs w:val="21"/>
              </w:rPr>
              <w:t>100</w:t>
            </w:r>
          </w:p>
        </w:tc>
      </w:tr>
      <w:tr w14:paraId="090C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exact"/>
        </w:trPr>
        <w:tc>
          <w:tcPr>
            <w:tcW w:w="700" w:type="pct"/>
            <w:vMerge w:val="restart"/>
            <w:shd w:val="clear" w:color="auto" w:fill="auto"/>
            <w:vAlign w:val="center"/>
          </w:tcPr>
          <w:p w14:paraId="047DBB68">
            <w:pPr>
              <w:spacing w:line="240" w:lineRule="exact"/>
              <w:jc w:val="center"/>
              <w:rPr>
                <w:rFonts w:ascii="Times New Roman" w:hAnsi="Times New Roman" w:cs="Times New Roman"/>
                <w:sz w:val="21"/>
                <w:szCs w:val="21"/>
              </w:rPr>
            </w:pPr>
            <w:r>
              <w:rPr>
                <w:rFonts w:ascii="Times New Roman" w:hAnsi="Times New Roman" w:cs="Times New Roman"/>
                <w:sz w:val="21"/>
                <w:szCs w:val="21"/>
              </w:rPr>
              <w:t>小型车</w:t>
            </w:r>
          </w:p>
        </w:tc>
        <w:tc>
          <w:tcPr>
            <w:tcW w:w="591" w:type="pct"/>
            <w:shd w:val="clear" w:color="auto" w:fill="auto"/>
            <w:vAlign w:val="center"/>
          </w:tcPr>
          <w:p w14:paraId="668B49CA">
            <w:pPr>
              <w:spacing w:line="240" w:lineRule="exact"/>
              <w:jc w:val="center"/>
              <w:rPr>
                <w:rFonts w:ascii="Times New Roman" w:hAnsi="Times New Roman" w:cs="Times New Roman"/>
                <w:sz w:val="21"/>
                <w:szCs w:val="21"/>
              </w:rPr>
            </w:pPr>
            <w:r>
              <w:rPr>
                <w:rFonts w:ascii="Times New Roman" w:hAnsi="Times New Roman" w:cs="Times New Roman"/>
                <w:sz w:val="21"/>
                <w:szCs w:val="21"/>
              </w:rPr>
              <w:t>CO</w:t>
            </w:r>
          </w:p>
        </w:tc>
        <w:tc>
          <w:tcPr>
            <w:tcW w:w="589" w:type="pct"/>
            <w:shd w:val="clear" w:color="auto" w:fill="auto"/>
            <w:vAlign w:val="center"/>
          </w:tcPr>
          <w:p w14:paraId="089AAF64">
            <w:pPr>
              <w:spacing w:line="240" w:lineRule="exact"/>
              <w:jc w:val="center"/>
              <w:rPr>
                <w:rFonts w:ascii="Times New Roman" w:hAnsi="Times New Roman" w:cs="Times New Roman"/>
                <w:sz w:val="21"/>
                <w:szCs w:val="21"/>
              </w:rPr>
            </w:pPr>
            <w:r>
              <w:rPr>
                <w:rFonts w:ascii="Times New Roman" w:hAnsi="Times New Roman" w:cs="Times New Roman"/>
                <w:sz w:val="21"/>
                <w:szCs w:val="21"/>
              </w:rPr>
              <w:t>31.34</w:t>
            </w:r>
          </w:p>
        </w:tc>
        <w:tc>
          <w:tcPr>
            <w:tcW w:w="588" w:type="pct"/>
            <w:shd w:val="clear" w:color="auto" w:fill="auto"/>
            <w:vAlign w:val="center"/>
          </w:tcPr>
          <w:p w14:paraId="31473D1C">
            <w:pPr>
              <w:spacing w:line="240" w:lineRule="exact"/>
              <w:jc w:val="center"/>
              <w:rPr>
                <w:rFonts w:ascii="Times New Roman" w:hAnsi="Times New Roman" w:cs="Times New Roman"/>
                <w:sz w:val="21"/>
                <w:szCs w:val="21"/>
              </w:rPr>
            </w:pPr>
            <w:r>
              <w:rPr>
                <w:rFonts w:ascii="Times New Roman" w:hAnsi="Times New Roman" w:cs="Times New Roman"/>
                <w:sz w:val="21"/>
                <w:szCs w:val="21"/>
              </w:rPr>
              <w:t>23.68</w:t>
            </w:r>
          </w:p>
        </w:tc>
        <w:tc>
          <w:tcPr>
            <w:tcW w:w="589" w:type="pct"/>
            <w:shd w:val="clear" w:color="auto" w:fill="auto"/>
            <w:vAlign w:val="center"/>
          </w:tcPr>
          <w:p w14:paraId="15003457">
            <w:pPr>
              <w:spacing w:line="240" w:lineRule="exact"/>
              <w:jc w:val="center"/>
              <w:rPr>
                <w:rFonts w:ascii="Times New Roman" w:hAnsi="Times New Roman" w:cs="Times New Roman"/>
                <w:sz w:val="21"/>
                <w:szCs w:val="21"/>
              </w:rPr>
            </w:pPr>
            <w:r>
              <w:rPr>
                <w:rFonts w:ascii="Times New Roman" w:hAnsi="Times New Roman" w:cs="Times New Roman"/>
                <w:sz w:val="21"/>
                <w:szCs w:val="21"/>
              </w:rPr>
              <w:t>17.90</w:t>
            </w:r>
          </w:p>
        </w:tc>
        <w:tc>
          <w:tcPr>
            <w:tcW w:w="589" w:type="pct"/>
            <w:shd w:val="clear" w:color="auto" w:fill="auto"/>
            <w:vAlign w:val="center"/>
          </w:tcPr>
          <w:p w14:paraId="43E4A6ED">
            <w:pPr>
              <w:spacing w:line="240" w:lineRule="exact"/>
              <w:jc w:val="center"/>
              <w:rPr>
                <w:rFonts w:ascii="Times New Roman" w:hAnsi="Times New Roman" w:cs="Times New Roman"/>
                <w:sz w:val="21"/>
                <w:szCs w:val="21"/>
              </w:rPr>
            </w:pPr>
            <w:r>
              <w:rPr>
                <w:rFonts w:ascii="Times New Roman" w:hAnsi="Times New Roman" w:cs="Times New Roman"/>
                <w:sz w:val="21"/>
                <w:szCs w:val="21"/>
              </w:rPr>
              <w:t>14.76</w:t>
            </w:r>
          </w:p>
        </w:tc>
        <w:tc>
          <w:tcPr>
            <w:tcW w:w="589" w:type="pct"/>
            <w:shd w:val="clear" w:color="auto" w:fill="auto"/>
            <w:vAlign w:val="center"/>
          </w:tcPr>
          <w:p w14:paraId="35E4AA37">
            <w:pPr>
              <w:spacing w:line="240" w:lineRule="exact"/>
              <w:jc w:val="center"/>
              <w:rPr>
                <w:rFonts w:ascii="Times New Roman" w:hAnsi="Times New Roman" w:cs="Times New Roman"/>
                <w:sz w:val="21"/>
                <w:szCs w:val="21"/>
              </w:rPr>
            </w:pPr>
            <w:r>
              <w:rPr>
                <w:rFonts w:ascii="Times New Roman" w:hAnsi="Times New Roman" w:cs="Times New Roman"/>
                <w:sz w:val="21"/>
                <w:szCs w:val="21"/>
              </w:rPr>
              <w:t>10.24</w:t>
            </w:r>
          </w:p>
        </w:tc>
        <w:tc>
          <w:tcPr>
            <w:tcW w:w="765" w:type="pct"/>
            <w:shd w:val="clear" w:color="auto" w:fill="auto"/>
            <w:vAlign w:val="center"/>
          </w:tcPr>
          <w:p w14:paraId="2062CAD6">
            <w:pPr>
              <w:spacing w:line="240" w:lineRule="exact"/>
              <w:jc w:val="center"/>
              <w:rPr>
                <w:rFonts w:ascii="Times New Roman" w:hAnsi="Times New Roman" w:cs="Times New Roman"/>
                <w:sz w:val="21"/>
                <w:szCs w:val="21"/>
              </w:rPr>
            </w:pPr>
            <w:r>
              <w:rPr>
                <w:rFonts w:ascii="Times New Roman" w:hAnsi="Times New Roman" w:cs="Times New Roman"/>
                <w:sz w:val="21"/>
                <w:szCs w:val="21"/>
              </w:rPr>
              <w:t>7.72</w:t>
            </w:r>
          </w:p>
        </w:tc>
      </w:tr>
      <w:tr w14:paraId="1DB2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exact"/>
        </w:trPr>
        <w:tc>
          <w:tcPr>
            <w:tcW w:w="700" w:type="pct"/>
            <w:vMerge w:val="continue"/>
            <w:shd w:val="clear" w:color="auto" w:fill="auto"/>
            <w:vAlign w:val="center"/>
          </w:tcPr>
          <w:p w14:paraId="34ECE2A0">
            <w:pPr>
              <w:spacing w:line="240" w:lineRule="exact"/>
              <w:jc w:val="center"/>
              <w:rPr>
                <w:rFonts w:ascii="Times New Roman" w:hAnsi="Times New Roman" w:cs="Times New Roman"/>
                <w:sz w:val="21"/>
                <w:szCs w:val="21"/>
              </w:rPr>
            </w:pPr>
          </w:p>
        </w:tc>
        <w:tc>
          <w:tcPr>
            <w:tcW w:w="591" w:type="pct"/>
            <w:shd w:val="clear" w:color="auto" w:fill="auto"/>
            <w:vAlign w:val="center"/>
          </w:tcPr>
          <w:p w14:paraId="7EBEE425">
            <w:pPr>
              <w:spacing w:line="240" w:lineRule="exact"/>
              <w:jc w:val="center"/>
              <w:rPr>
                <w:rFonts w:ascii="Times New Roman" w:hAnsi="Times New Roman" w:cs="Times New Roman"/>
                <w:sz w:val="21"/>
                <w:szCs w:val="21"/>
              </w:rPr>
            </w:pPr>
            <w:r>
              <w:rPr>
                <w:rFonts w:ascii="Times New Roman" w:hAnsi="Times New Roman" w:cs="Times New Roman"/>
                <w:sz w:val="21"/>
                <w:szCs w:val="21"/>
              </w:rPr>
              <w:t>NOx</w:t>
            </w:r>
          </w:p>
        </w:tc>
        <w:tc>
          <w:tcPr>
            <w:tcW w:w="589" w:type="pct"/>
            <w:shd w:val="clear" w:color="auto" w:fill="auto"/>
            <w:vAlign w:val="center"/>
          </w:tcPr>
          <w:p w14:paraId="7C435F57">
            <w:pPr>
              <w:spacing w:line="240" w:lineRule="exact"/>
              <w:jc w:val="center"/>
              <w:rPr>
                <w:rFonts w:ascii="Times New Roman" w:hAnsi="Times New Roman" w:cs="Times New Roman"/>
                <w:sz w:val="21"/>
                <w:szCs w:val="21"/>
              </w:rPr>
            </w:pPr>
            <w:r>
              <w:rPr>
                <w:rFonts w:ascii="Times New Roman" w:hAnsi="Times New Roman" w:cs="Times New Roman"/>
                <w:sz w:val="21"/>
                <w:szCs w:val="21"/>
              </w:rPr>
              <w:t>1.77</w:t>
            </w:r>
          </w:p>
        </w:tc>
        <w:tc>
          <w:tcPr>
            <w:tcW w:w="588" w:type="pct"/>
            <w:shd w:val="clear" w:color="auto" w:fill="auto"/>
            <w:vAlign w:val="center"/>
          </w:tcPr>
          <w:p w14:paraId="3FAD8F35">
            <w:pPr>
              <w:spacing w:line="240" w:lineRule="exact"/>
              <w:jc w:val="center"/>
              <w:rPr>
                <w:rFonts w:ascii="Times New Roman" w:hAnsi="Times New Roman" w:cs="Times New Roman"/>
                <w:sz w:val="21"/>
                <w:szCs w:val="21"/>
              </w:rPr>
            </w:pPr>
            <w:r>
              <w:rPr>
                <w:rFonts w:ascii="Times New Roman" w:hAnsi="Times New Roman" w:cs="Times New Roman"/>
                <w:sz w:val="21"/>
                <w:szCs w:val="21"/>
              </w:rPr>
              <w:t>2.37</w:t>
            </w:r>
          </w:p>
        </w:tc>
        <w:tc>
          <w:tcPr>
            <w:tcW w:w="589" w:type="pct"/>
            <w:shd w:val="clear" w:color="auto" w:fill="auto"/>
            <w:vAlign w:val="center"/>
          </w:tcPr>
          <w:p w14:paraId="005BAED0">
            <w:pPr>
              <w:spacing w:line="240" w:lineRule="exact"/>
              <w:jc w:val="center"/>
              <w:rPr>
                <w:rFonts w:ascii="Times New Roman" w:hAnsi="Times New Roman" w:cs="Times New Roman"/>
                <w:sz w:val="21"/>
                <w:szCs w:val="21"/>
              </w:rPr>
            </w:pPr>
            <w:r>
              <w:rPr>
                <w:rFonts w:ascii="Times New Roman" w:hAnsi="Times New Roman" w:cs="Times New Roman"/>
                <w:sz w:val="21"/>
                <w:szCs w:val="21"/>
              </w:rPr>
              <w:t>2.96</w:t>
            </w:r>
          </w:p>
        </w:tc>
        <w:tc>
          <w:tcPr>
            <w:tcW w:w="589" w:type="pct"/>
            <w:shd w:val="clear" w:color="auto" w:fill="auto"/>
            <w:vAlign w:val="center"/>
          </w:tcPr>
          <w:p w14:paraId="584E0AC6">
            <w:pPr>
              <w:spacing w:line="240" w:lineRule="exact"/>
              <w:jc w:val="center"/>
              <w:rPr>
                <w:rFonts w:ascii="Times New Roman" w:hAnsi="Times New Roman" w:cs="Times New Roman"/>
                <w:sz w:val="21"/>
                <w:szCs w:val="21"/>
              </w:rPr>
            </w:pPr>
            <w:r>
              <w:rPr>
                <w:rFonts w:ascii="Times New Roman" w:hAnsi="Times New Roman" w:cs="Times New Roman"/>
                <w:sz w:val="21"/>
                <w:szCs w:val="21"/>
              </w:rPr>
              <w:t>3.71</w:t>
            </w:r>
          </w:p>
        </w:tc>
        <w:tc>
          <w:tcPr>
            <w:tcW w:w="589" w:type="pct"/>
            <w:shd w:val="clear" w:color="auto" w:fill="auto"/>
            <w:vAlign w:val="center"/>
          </w:tcPr>
          <w:p w14:paraId="45002406">
            <w:pPr>
              <w:spacing w:line="240" w:lineRule="exact"/>
              <w:jc w:val="center"/>
              <w:rPr>
                <w:rFonts w:ascii="Times New Roman" w:hAnsi="Times New Roman" w:cs="Times New Roman"/>
                <w:sz w:val="21"/>
                <w:szCs w:val="21"/>
              </w:rPr>
            </w:pPr>
            <w:r>
              <w:rPr>
                <w:rFonts w:ascii="Times New Roman" w:hAnsi="Times New Roman" w:cs="Times New Roman"/>
                <w:sz w:val="21"/>
                <w:szCs w:val="21"/>
              </w:rPr>
              <w:t>3.85</w:t>
            </w:r>
          </w:p>
        </w:tc>
        <w:tc>
          <w:tcPr>
            <w:tcW w:w="765" w:type="pct"/>
            <w:shd w:val="clear" w:color="auto" w:fill="auto"/>
            <w:vAlign w:val="center"/>
          </w:tcPr>
          <w:p w14:paraId="3172D718">
            <w:pPr>
              <w:spacing w:line="240" w:lineRule="exact"/>
              <w:jc w:val="center"/>
              <w:rPr>
                <w:rFonts w:ascii="Times New Roman" w:hAnsi="Times New Roman" w:cs="Times New Roman"/>
                <w:sz w:val="21"/>
                <w:szCs w:val="21"/>
              </w:rPr>
            </w:pPr>
            <w:r>
              <w:rPr>
                <w:rFonts w:ascii="Times New Roman" w:hAnsi="Times New Roman" w:cs="Times New Roman"/>
                <w:sz w:val="21"/>
                <w:szCs w:val="21"/>
              </w:rPr>
              <w:t>3.99</w:t>
            </w:r>
          </w:p>
        </w:tc>
      </w:tr>
      <w:tr w14:paraId="67C6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exact"/>
        </w:trPr>
        <w:tc>
          <w:tcPr>
            <w:tcW w:w="700" w:type="pct"/>
            <w:vMerge w:val="restart"/>
            <w:shd w:val="clear" w:color="auto" w:fill="auto"/>
            <w:vAlign w:val="center"/>
          </w:tcPr>
          <w:p w14:paraId="6186AB51">
            <w:pPr>
              <w:spacing w:line="240" w:lineRule="exact"/>
              <w:jc w:val="center"/>
              <w:rPr>
                <w:rFonts w:ascii="Times New Roman" w:hAnsi="Times New Roman" w:cs="Times New Roman"/>
                <w:sz w:val="21"/>
                <w:szCs w:val="21"/>
              </w:rPr>
            </w:pPr>
            <w:r>
              <w:rPr>
                <w:rFonts w:ascii="Times New Roman" w:hAnsi="Times New Roman" w:cs="Times New Roman"/>
                <w:sz w:val="21"/>
                <w:szCs w:val="21"/>
              </w:rPr>
              <w:t>中型车</w:t>
            </w:r>
          </w:p>
        </w:tc>
        <w:tc>
          <w:tcPr>
            <w:tcW w:w="591" w:type="pct"/>
            <w:shd w:val="clear" w:color="auto" w:fill="auto"/>
            <w:vAlign w:val="center"/>
          </w:tcPr>
          <w:p w14:paraId="06672004">
            <w:pPr>
              <w:spacing w:line="240" w:lineRule="exact"/>
              <w:jc w:val="center"/>
              <w:rPr>
                <w:rFonts w:ascii="Times New Roman" w:hAnsi="Times New Roman" w:cs="Times New Roman"/>
                <w:sz w:val="21"/>
                <w:szCs w:val="21"/>
              </w:rPr>
            </w:pPr>
            <w:r>
              <w:rPr>
                <w:rFonts w:ascii="Times New Roman" w:hAnsi="Times New Roman" w:cs="Times New Roman"/>
                <w:sz w:val="21"/>
                <w:szCs w:val="21"/>
              </w:rPr>
              <w:t>CO</w:t>
            </w:r>
          </w:p>
        </w:tc>
        <w:tc>
          <w:tcPr>
            <w:tcW w:w="589" w:type="pct"/>
            <w:shd w:val="clear" w:color="auto" w:fill="auto"/>
            <w:vAlign w:val="center"/>
          </w:tcPr>
          <w:p w14:paraId="3D43E7E9">
            <w:pPr>
              <w:spacing w:line="240" w:lineRule="exact"/>
              <w:jc w:val="center"/>
              <w:rPr>
                <w:rFonts w:ascii="Times New Roman" w:hAnsi="Times New Roman" w:cs="Times New Roman"/>
                <w:sz w:val="21"/>
                <w:szCs w:val="21"/>
              </w:rPr>
            </w:pPr>
            <w:r>
              <w:rPr>
                <w:rFonts w:ascii="Times New Roman" w:hAnsi="Times New Roman" w:cs="Times New Roman"/>
                <w:sz w:val="21"/>
                <w:szCs w:val="21"/>
              </w:rPr>
              <w:t>30.18</w:t>
            </w:r>
          </w:p>
        </w:tc>
        <w:tc>
          <w:tcPr>
            <w:tcW w:w="588" w:type="pct"/>
            <w:shd w:val="clear" w:color="auto" w:fill="auto"/>
            <w:vAlign w:val="center"/>
          </w:tcPr>
          <w:p w14:paraId="7124A0CC">
            <w:pPr>
              <w:spacing w:line="240" w:lineRule="exact"/>
              <w:jc w:val="center"/>
              <w:rPr>
                <w:rFonts w:ascii="Times New Roman" w:hAnsi="Times New Roman" w:cs="Times New Roman"/>
                <w:sz w:val="21"/>
                <w:szCs w:val="21"/>
              </w:rPr>
            </w:pPr>
            <w:r>
              <w:rPr>
                <w:rFonts w:ascii="Times New Roman" w:hAnsi="Times New Roman" w:cs="Times New Roman"/>
                <w:sz w:val="21"/>
                <w:szCs w:val="21"/>
              </w:rPr>
              <w:t>26.19</w:t>
            </w:r>
          </w:p>
        </w:tc>
        <w:tc>
          <w:tcPr>
            <w:tcW w:w="589" w:type="pct"/>
            <w:shd w:val="clear" w:color="auto" w:fill="auto"/>
            <w:vAlign w:val="center"/>
          </w:tcPr>
          <w:p w14:paraId="25399312">
            <w:pPr>
              <w:spacing w:line="240" w:lineRule="exact"/>
              <w:jc w:val="center"/>
              <w:rPr>
                <w:rFonts w:ascii="Times New Roman" w:hAnsi="Times New Roman" w:cs="Times New Roman"/>
                <w:sz w:val="21"/>
                <w:szCs w:val="21"/>
              </w:rPr>
            </w:pPr>
            <w:r>
              <w:rPr>
                <w:rFonts w:ascii="Times New Roman" w:hAnsi="Times New Roman" w:cs="Times New Roman"/>
                <w:sz w:val="21"/>
                <w:szCs w:val="21"/>
              </w:rPr>
              <w:t>24.76</w:t>
            </w:r>
          </w:p>
        </w:tc>
        <w:tc>
          <w:tcPr>
            <w:tcW w:w="589" w:type="pct"/>
            <w:shd w:val="clear" w:color="auto" w:fill="auto"/>
            <w:vAlign w:val="center"/>
          </w:tcPr>
          <w:p w14:paraId="2CCBCED1">
            <w:pPr>
              <w:spacing w:line="240" w:lineRule="exact"/>
              <w:jc w:val="center"/>
              <w:rPr>
                <w:rFonts w:ascii="Times New Roman" w:hAnsi="Times New Roman" w:cs="Times New Roman"/>
                <w:sz w:val="21"/>
                <w:szCs w:val="21"/>
              </w:rPr>
            </w:pPr>
            <w:r>
              <w:rPr>
                <w:rFonts w:ascii="Times New Roman" w:hAnsi="Times New Roman" w:cs="Times New Roman"/>
                <w:sz w:val="21"/>
                <w:szCs w:val="21"/>
              </w:rPr>
              <w:t>25.47</w:t>
            </w:r>
          </w:p>
        </w:tc>
        <w:tc>
          <w:tcPr>
            <w:tcW w:w="589" w:type="pct"/>
            <w:shd w:val="clear" w:color="auto" w:fill="auto"/>
            <w:vAlign w:val="center"/>
          </w:tcPr>
          <w:p w14:paraId="21C9E106">
            <w:pPr>
              <w:spacing w:line="240" w:lineRule="exact"/>
              <w:jc w:val="center"/>
              <w:rPr>
                <w:rFonts w:ascii="Times New Roman" w:hAnsi="Times New Roman" w:cs="Times New Roman"/>
                <w:sz w:val="21"/>
                <w:szCs w:val="21"/>
              </w:rPr>
            </w:pPr>
            <w:r>
              <w:rPr>
                <w:rFonts w:ascii="Times New Roman" w:hAnsi="Times New Roman" w:cs="Times New Roman"/>
                <w:sz w:val="21"/>
                <w:szCs w:val="21"/>
              </w:rPr>
              <w:t>28.55</w:t>
            </w:r>
          </w:p>
        </w:tc>
        <w:tc>
          <w:tcPr>
            <w:tcW w:w="765" w:type="pct"/>
            <w:shd w:val="clear" w:color="auto" w:fill="auto"/>
            <w:vAlign w:val="center"/>
          </w:tcPr>
          <w:p w14:paraId="58CA6664">
            <w:pPr>
              <w:spacing w:line="240" w:lineRule="exact"/>
              <w:jc w:val="center"/>
              <w:rPr>
                <w:rFonts w:ascii="Times New Roman" w:hAnsi="Times New Roman" w:cs="Times New Roman"/>
                <w:sz w:val="21"/>
                <w:szCs w:val="21"/>
              </w:rPr>
            </w:pPr>
            <w:r>
              <w:rPr>
                <w:rFonts w:ascii="Times New Roman" w:hAnsi="Times New Roman" w:cs="Times New Roman"/>
                <w:sz w:val="21"/>
                <w:szCs w:val="21"/>
              </w:rPr>
              <w:t>34.78</w:t>
            </w:r>
          </w:p>
        </w:tc>
      </w:tr>
      <w:tr w14:paraId="0BC1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exact"/>
        </w:trPr>
        <w:tc>
          <w:tcPr>
            <w:tcW w:w="700" w:type="pct"/>
            <w:vMerge w:val="continue"/>
            <w:shd w:val="clear" w:color="auto" w:fill="auto"/>
            <w:vAlign w:val="center"/>
          </w:tcPr>
          <w:p w14:paraId="53C77BD2">
            <w:pPr>
              <w:spacing w:line="240" w:lineRule="exact"/>
              <w:jc w:val="center"/>
              <w:rPr>
                <w:rFonts w:ascii="Times New Roman" w:hAnsi="Times New Roman" w:cs="Times New Roman"/>
                <w:sz w:val="21"/>
                <w:szCs w:val="21"/>
              </w:rPr>
            </w:pPr>
          </w:p>
        </w:tc>
        <w:tc>
          <w:tcPr>
            <w:tcW w:w="591" w:type="pct"/>
            <w:shd w:val="clear" w:color="auto" w:fill="auto"/>
            <w:vAlign w:val="center"/>
          </w:tcPr>
          <w:p w14:paraId="26E5F777">
            <w:pPr>
              <w:spacing w:line="240" w:lineRule="exact"/>
              <w:jc w:val="center"/>
              <w:rPr>
                <w:rFonts w:ascii="Times New Roman" w:hAnsi="Times New Roman" w:cs="Times New Roman"/>
                <w:sz w:val="21"/>
                <w:szCs w:val="21"/>
              </w:rPr>
            </w:pPr>
            <w:r>
              <w:rPr>
                <w:rFonts w:ascii="Times New Roman" w:hAnsi="Times New Roman" w:cs="Times New Roman"/>
                <w:sz w:val="21"/>
                <w:szCs w:val="21"/>
              </w:rPr>
              <w:t>NOx</w:t>
            </w:r>
          </w:p>
        </w:tc>
        <w:tc>
          <w:tcPr>
            <w:tcW w:w="589" w:type="pct"/>
            <w:shd w:val="clear" w:color="auto" w:fill="auto"/>
            <w:vAlign w:val="center"/>
          </w:tcPr>
          <w:p w14:paraId="5F535157">
            <w:pPr>
              <w:spacing w:line="240" w:lineRule="exact"/>
              <w:jc w:val="center"/>
              <w:rPr>
                <w:rFonts w:ascii="Times New Roman" w:hAnsi="Times New Roman" w:cs="Times New Roman"/>
                <w:sz w:val="21"/>
                <w:szCs w:val="21"/>
              </w:rPr>
            </w:pPr>
            <w:r>
              <w:rPr>
                <w:rFonts w:ascii="Times New Roman" w:hAnsi="Times New Roman" w:cs="Times New Roman"/>
                <w:sz w:val="21"/>
                <w:szCs w:val="21"/>
              </w:rPr>
              <w:t>5.40</w:t>
            </w:r>
          </w:p>
        </w:tc>
        <w:tc>
          <w:tcPr>
            <w:tcW w:w="588" w:type="pct"/>
            <w:shd w:val="clear" w:color="auto" w:fill="auto"/>
            <w:vAlign w:val="center"/>
          </w:tcPr>
          <w:p w14:paraId="1A6470E4">
            <w:pPr>
              <w:spacing w:line="240" w:lineRule="exact"/>
              <w:jc w:val="center"/>
              <w:rPr>
                <w:rFonts w:ascii="Times New Roman" w:hAnsi="Times New Roman" w:cs="Times New Roman"/>
                <w:sz w:val="21"/>
                <w:szCs w:val="21"/>
              </w:rPr>
            </w:pPr>
            <w:r>
              <w:rPr>
                <w:rFonts w:ascii="Times New Roman" w:hAnsi="Times New Roman" w:cs="Times New Roman"/>
                <w:sz w:val="21"/>
                <w:szCs w:val="21"/>
              </w:rPr>
              <w:t>6.30</w:t>
            </w:r>
          </w:p>
        </w:tc>
        <w:tc>
          <w:tcPr>
            <w:tcW w:w="589" w:type="pct"/>
            <w:shd w:val="clear" w:color="auto" w:fill="auto"/>
            <w:vAlign w:val="center"/>
          </w:tcPr>
          <w:p w14:paraId="1A4B9F17">
            <w:pPr>
              <w:spacing w:line="240" w:lineRule="exact"/>
              <w:jc w:val="center"/>
              <w:rPr>
                <w:rFonts w:ascii="Times New Roman" w:hAnsi="Times New Roman" w:cs="Times New Roman"/>
                <w:sz w:val="21"/>
                <w:szCs w:val="21"/>
              </w:rPr>
            </w:pPr>
            <w:r>
              <w:rPr>
                <w:rFonts w:ascii="Times New Roman" w:hAnsi="Times New Roman" w:cs="Times New Roman"/>
                <w:sz w:val="21"/>
                <w:szCs w:val="21"/>
              </w:rPr>
              <w:t>7.20</w:t>
            </w:r>
          </w:p>
        </w:tc>
        <w:tc>
          <w:tcPr>
            <w:tcW w:w="589" w:type="pct"/>
            <w:shd w:val="clear" w:color="auto" w:fill="auto"/>
            <w:vAlign w:val="center"/>
          </w:tcPr>
          <w:p w14:paraId="6222FB09">
            <w:pPr>
              <w:spacing w:line="240" w:lineRule="exact"/>
              <w:jc w:val="center"/>
              <w:rPr>
                <w:rFonts w:ascii="Times New Roman" w:hAnsi="Times New Roman" w:cs="Times New Roman"/>
                <w:sz w:val="21"/>
                <w:szCs w:val="21"/>
              </w:rPr>
            </w:pPr>
            <w:r>
              <w:rPr>
                <w:rFonts w:ascii="Times New Roman" w:hAnsi="Times New Roman" w:cs="Times New Roman"/>
                <w:sz w:val="21"/>
                <w:szCs w:val="21"/>
              </w:rPr>
              <w:t>8.30</w:t>
            </w:r>
          </w:p>
        </w:tc>
        <w:tc>
          <w:tcPr>
            <w:tcW w:w="589" w:type="pct"/>
            <w:shd w:val="clear" w:color="auto" w:fill="auto"/>
            <w:vAlign w:val="center"/>
          </w:tcPr>
          <w:p w14:paraId="7305859F">
            <w:pPr>
              <w:spacing w:line="240" w:lineRule="exact"/>
              <w:jc w:val="center"/>
              <w:rPr>
                <w:rFonts w:ascii="Times New Roman" w:hAnsi="Times New Roman" w:cs="Times New Roman"/>
                <w:sz w:val="21"/>
                <w:szCs w:val="21"/>
              </w:rPr>
            </w:pPr>
            <w:r>
              <w:rPr>
                <w:rFonts w:ascii="Times New Roman" w:hAnsi="Times New Roman" w:cs="Times New Roman"/>
                <w:sz w:val="21"/>
                <w:szCs w:val="21"/>
              </w:rPr>
              <w:t>8.80</w:t>
            </w:r>
          </w:p>
        </w:tc>
        <w:tc>
          <w:tcPr>
            <w:tcW w:w="765" w:type="pct"/>
            <w:shd w:val="clear" w:color="auto" w:fill="auto"/>
            <w:vAlign w:val="center"/>
          </w:tcPr>
          <w:p w14:paraId="35E4208B">
            <w:pPr>
              <w:spacing w:line="240" w:lineRule="exact"/>
              <w:jc w:val="center"/>
              <w:rPr>
                <w:rFonts w:ascii="Times New Roman" w:hAnsi="Times New Roman" w:cs="Times New Roman"/>
                <w:sz w:val="21"/>
                <w:szCs w:val="21"/>
              </w:rPr>
            </w:pPr>
            <w:r>
              <w:rPr>
                <w:rFonts w:ascii="Times New Roman" w:hAnsi="Times New Roman" w:cs="Times New Roman"/>
                <w:sz w:val="21"/>
                <w:szCs w:val="21"/>
              </w:rPr>
              <w:t>9.30</w:t>
            </w:r>
          </w:p>
        </w:tc>
      </w:tr>
      <w:tr w14:paraId="7601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exact"/>
        </w:trPr>
        <w:tc>
          <w:tcPr>
            <w:tcW w:w="700" w:type="pct"/>
            <w:vMerge w:val="restart"/>
            <w:shd w:val="clear" w:color="auto" w:fill="auto"/>
            <w:vAlign w:val="center"/>
          </w:tcPr>
          <w:p w14:paraId="124E8643">
            <w:pPr>
              <w:spacing w:line="240" w:lineRule="exact"/>
              <w:jc w:val="center"/>
              <w:rPr>
                <w:rFonts w:ascii="Times New Roman" w:hAnsi="Times New Roman" w:cs="Times New Roman"/>
                <w:sz w:val="21"/>
                <w:szCs w:val="21"/>
              </w:rPr>
            </w:pPr>
            <w:r>
              <w:rPr>
                <w:rFonts w:ascii="Times New Roman" w:hAnsi="Times New Roman" w:cs="Times New Roman"/>
                <w:sz w:val="21"/>
                <w:szCs w:val="21"/>
              </w:rPr>
              <w:t>大型车</w:t>
            </w:r>
          </w:p>
        </w:tc>
        <w:tc>
          <w:tcPr>
            <w:tcW w:w="591" w:type="pct"/>
            <w:shd w:val="clear" w:color="auto" w:fill="auto"/>
            <w:vAlign w:val="center"/>
          </w:tcPr>
          <w:p w14:paraId="69817075">
            <w:pPr>
              <w:spacing w:line="240" w:lineRule="exact"/>
              <w:jc w:val="center"/>
              <w:rPr>
                <w:rFonts w:ascii="Times New Roman" w:hAnsi="Times New Roman" w:cs="Times New Roman"/>
                <w:sz w:val="21"/>
                <w:szCs w:val="21"/>
              </w:rPr>
            </w:pPr>
            <w:r>
              <w:rPr>
                <w:rFonts w:ascii="Times New Roman" w:hAnsi="Times New Roman" w:cs="Times New Roman"/>
                <w:sz w:val="21"/>
                <w:szCs w:val="21"/>
              </w:rPr>
              <w:t>CO</w:t>
            </w:r>
          </w:p>
        </w:tc>
        <w:tc>
          <w:tcPr>
            <w:tcW w:w="589" w:type="pct"/>
            <w:shd w:val="clear" w:color="auto" w:fill="auto"/>
            <w:vAlign w:val="center"/>
          </w:tcPr>
          <w:p w14:paraId="25C43A95">
            <w:pPr>
              <w:spacing w:line="240" w:lineRule="exact"/>
              <w:jc w:val="center"/>
              <w:rPr>
                <w:rFonts w:ascii="Times New Roman" w:hAnsi="Times New Roman" w:cs="Times New Roman"/>
                <w:sz w:val="21"/>
                <w:szCs w:val="21"/>
              </w:rPr>
            </w:pPr>
            <w:r>
              <w:rPr>
                <w:rFonts w:ascii="Times New Roman" w:hAnsi="Times New Roman" w:cs="Times New Roman"/>
                <w:sz w:val="21"/>
                <w:szCs w:val="21"/>
              </w:rPr>
              <w:t>5.25</w:t>
            </w:r>
          </w:p>
        </w:tc>
        <w:tc>
          <w:tcPr>
            <w:tcW w:w="588" w:type="pct"/>
            <w:shd w:val="clear" w:color="auto" w:fill="auto"/>
            <w:vAlign w:val="center"/>
          </w:tcPr>
          <w:p w14:paraId="74082631">
            <w:pPr>
              <w:spacing w:line="240" w:lineRule="exact"/>
              <w:jc w:val="center"/>
              <w:rPr>
                <w:rFonts w:ascii="Times New Roman" w:hAnsi="Times New Roman" w:cs="Times New Roman"/>
                <w:sz w:val="21"/>
                <w:szCs w:val="21"/>
              </w:rPr>
            </w:pPr>
            <w:r>
              <w:rPr>
                <w:rFonts w:ascii="Times New Roman" w:hAnsi="Times New Roman" w:cs="Times New Roman"/>
                <w:sz w:val="21"/>
                <w:szCs w:val="21"/>
              </w:rPr>
              <w:t>4.48</w:t>
            </w:r>
          </w:p>
        </w:tc>
        <w:tc>
          <w:tcPr>
            <w:tcW w:w="589" w:type="pct"/>
            <w:shd w:val="clear" w:color="auto" w:fill="auto"/>
            <w:vAlign w:val="center"/>
          </w:tcPr>
          <w:p w14:paraId="77AE0B40">
            <w:pPr>
              <w:spacing w:line="240" w:lineRule="exact"/>
              <w:jc w:val="center"/>
              <w:rPr>
                <w:rFonts w:ascii="Times New Roman" w:hAnsi="Times New Roman" w:cs="Times New Roman"/>
                <w:sz w:val="21"/>
                <w:szCs w:val="21"/>
              </w:rPr>
            </w:pPr>
            <w:r>
              <w:rPr>
                <w:rFonts w:ascii="Times New Roman" w:hAnsi="Times New Roman" w:cs="Times New Roman"/>
                <w:sz w:val="21"/>
                <w:szCs w:val="21"/>
              </w:rPr>
              <w:t>4.10</w:t>
            </w:r>
          </w:p>
        </w:tc>
        <w:tc>
          <w:tcPr>
            <w:tcW w:w="589" w:type="pct"/>
            <w:shd w:val="clear" w:color="auto" w:fill="auto"/>
            <w:vAlign w:val="center"/>
          </w:tcPr>
          <w:p w14:paraId="6AF2945A">
            <w:pPr>
              <w:spacing w:line="240" w:lineRule="exact"/>
              <w:jc w:val="center"/>
              <w:rPr>
                <w:rFonts w:ascii="Times New Roman" w:hAnsi="Times New Roman" w:cs="Times New Roman"/>
                <w:sz w:val="21"/>
                <w:szCs w:val="21"/>
              </w:rPr>
            </w:pPr>
            <w:r>
              <w:rPr>
                <w:rFonts w:ascii="Times New Roman" w:hAnsi="Times New Roman" w:cs="Times New Roman"/>
                <w:sz w:val="21"/>
                <w:szCs w:val="21"/>
              </w:rPr>
              <w:t>4.01</w:t>
            </w:r>
          </w:p>
        </w:tc>
        <w:tc>
          <w:tcPr>
            <w:tcW w:w="589" w:type="pct"/>
            <w:shd w:val="clear" w:color="auto" w:fill="auto"/>
            <w:vAlign w:val="center"/>
          </w:tcPr>
          <w:p w14:paraId="77323581">
            <w:pPr>
              <w:spacing w:line="240" w:lineRule="exact"/>
              <w:jc w:val="center"/>
              <w:rPr>
                <w:rFonts w:ascii="Times New Roman" w:hAnsi="Times New Roman" w:cs="Times New Roman"/>
                <w:sz w:val="21"/>
                <w:szCs w:val="21"/>
              </w:rPr>
            </w:pPr>
            <w:r>
              <w:rPr>
                <w:rFonts w:ascii="Times New Roman" w:hAnsi="Times New Roman" w:cs="Times New Roman"/>
                <w:sz w:val="21"/>
                <w:szCs w:val="21"/>
              </w:rPr>
              <w:t>4.23</w:t>
            </w:r>
          </w:p>
        </w:tc>
        <w:tc>
          <w:tcPr>
            <w:tcW w:w="765" w:type="pct"/>
            <w:shd w:val="clear" w:color="auto" w:fill="auto"/>
            <w:vAlign w:val="center"/>
          </w:tcPr>
          <w:p w14:paraId="5C3B9CF5">
            <w:pPr>
              <w:spacing w:line="240" w:lineRule="exact"/>
              <w:jc w:val="center"/>
              <w:rPr>
                <w:rFonts w:ascii="Times New Roman" w:hAnsi="Times New Roman" w:cs="Times New Roman"/>
                <w:sz w:val="21"/>
                <w:szCs w:val="21"/>
              </w:rPr>
            </w:pPr>
            <w:r>
              <w:rPr>
                <w:rFonts w:ascii="Times New Roman" w:hAnsi="Times New Roman" w:cs="Times New Roman"/>
                <w:sz w:val="21"/>
                <w:szCs w:val="21"/>
              </w:rPr>
              <w:t>4.77</w:t>
            </w:r>
          </w:p>
        </w:tc>
      </w:tr>
      <w:tr w14:paraId="520D1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exact"/>
        </w:trPr>
        <w:tc>
          <w:tcPr>
            <w:tcW w:w="700" w:type="pct"/>
            <w:vMerge w:val="continue"/>
            <w:shd w:val="clear" w:color="auto" w:fill="auto"/>
            <w:vAlign w:val="center"/>
          </w:tcPr>
          <w:p w14:paraId="2B67DB09">
            <w:pPr>
              <w:spacing w:line="240" w:lineRule="exact"/>
              <w:jc w:val="center"/>
              <w:rPr>
                <w:rFonts w:ascii="Times New Roman" w:hAnsi="Times New Roman" w:cs="Times New Roman"/>
                <w:sz w:val="21"/>
                <w:szCs w:val="21"/>
              </w:rPr>
            </w:pPr>
          </w:p>
        </w:tc>
        <w:tc>
          <w:tcPr>
            <w:tcW w:w="591" w:type="pct"/>
            <w:shd w:val="clear" w:color="auto" w:fill="auto"/>
            <w:vAlign w:val="center"/>
          </w:tcPr>
          <w:p w14:paraId="4A4AAEA0">
            <w:pPr>
              <w:spacing w:line="240" w:lineRule="exact"/>
              <w:jc w:val="center"/>
              <w:rPr>
                <w:rFonts w:ascii="Times New Roman" w:hAnsi="Times New Roman" w:cs="Times New Roman"/>
                <w:sz w:val="21"/>
                <w:szCs w:val="21"/>
              </w:rPr>
            </w:pPr>
            <w:r>
              <w:rPr>
                <w:rFonts w:ascii="Times New Roman" w:hAnsi="Times New Roman" w:cs="Times New Roman"/>
                <w:sz w:val="21"/>
                <w:szCs w:val="21"/>
              </w:rPr>
              <w:t>NOx</w:t>
            </w:r>
          </w:p>
        </w:tc>
        <w:tc>
          <w:tcPr>
            <w:tcW w:w="589" w:type="pct"/>
            <w:shd w:val="clear" w:color="auto" w:fill="auto"/>
            <w:vAlign w:val="center"/>
          </w:tcPr>
          <w:p w14:paraId="2E1A1F78">
            <w:pPr>
              <w:spacing w:line="240" w:lineRule="exact"/>
              <w:jc w:val="center"/>
              <w:rPr>
                <w:rFonts w:ascii="Times New Roman" w:hAnsi="Times New Roman" w:cs="Times New Roman"/>
                <w:sz w:val="21"/>
                <w:szCs w:val="21"/>
              </w:rPr>
            </w:pPr>
            <w:r>
              <w:rPr>
                <w:rFonts w:ascii="Times New Roman" w:hAnsi="Times New Roman" w:cs="Times New Roman"/>
                <w:sz w:val="21"/>
                <w:szCs w:val="21"/>
              </w:rPr>
              <w:t>10.44</w:t>
            </w:r>
          </w:p>
        </w:tc>
        <w:tc>
          <w:tcPr>
            <w:tcW w:w="588" w:type="pct"/>
            <w:shd w:val="clear" w:color="auto" w:fill="auto"/>
            <w:vAlign w:val="center"/>
          </w:tcPr>
          <w:p w14:paraId="3B361549">
            <w:pPr>
              <w:spacing w:line="240" w:lineRule="exact"/>
              <w:jc w:val="center"/>
              <w:rPr>
                <w:rFonts w:ascii="Times New Roman" w:hAnsi="Times New Roman" w:cs="Times New Roman"/>
                <w:sz w:val="21"/>
                <w:szCs w:val="21"/>
              </w:rPr>
            </w:pPr>
            <w:r>
              <w:rPr>
                <w:rFonts w:ascii="Times New Roman" w:hAnsi="Times New Roman" w:cs="Times New Roman"/>
                <w:sz w:val="21"/>
                <w:szCs w:val="21"/>
              </w:rPr>
              <w:t>10.48</w:t>
            </w:r>
          </w:p>
        </w:tc>
        <w:tc>
          <w:tcPr>
            <w:tcW w:w="589" w:type="pct"/>
            <w:shd w:val="clear" w:color="auto" w:fill="auto"/>
            <w:vAlign w:val="center"/>
          </w:tcPr>
          <w:p w14:paraId="24DB716E">
            <w:pPr>
              <w:spacing w:line="240" w:lineRule="exact"/>
              <w:jc w:val="center"/>
              <w:rPr>
                <w:rFonts w:ascii="Times New Roman" w:hAnsi="Times New Roman" w:cs="Times New Roman"/>
                <w:sz w:val="21"/>
                <w:szCs w:val="21"/>
              </w:rPr>
            </w:pPr>
            <w:r>
              <w:rPr>
                <w:rFonts w:ascii="Times New Roman" w:hAnsi="Times New Roman" w:cs="Times New Roman"/>
                <w:sz w:val="21"/>
                <w:szCs w:val="21"/>
              </w:rPr>
              <w:t>11.10</w:t>
            </w:r>
          </w:p>
        </w:tc>
        <w:tc>
          <w:tcPr>
            <w:tcW w:w="589" w:type="pct"/>
            <w:shd w:val="clear" w:color="auto" w:fill="auto"/>
            <w:vAlign w:val="center"/>
          </w:tcPr>
          <w:p w14:paraId="119B4F9F">
            <w:pPr>
              <w:spacing w:line="240" w:lineRule="exact"/>
              <w:jc w:val="center"/>
              <w:rPr>
                <w:rFonts w:ascii="Times New Roman" w:hAnsi="Times New Roman" w:cs="Times New Roman"/>
                <w:sz w:val="21"/>
                <w:szCs w:val="21"/>
              </w:rPr>
            </w:pPr>
            <w:r>
              <w:rPr>
                <w:rFonts w:ascii="Times New Roman" w:hAnsi="Times New Roman" w:cs="Times New Roman"/>
                <w:sz w:val="21"/>
                <w:szCs w:val="21"/>
              </w:rPr>
              <w:t>14.71</w:t>
            </w:r>
          </w:p>
        </w:tc>
        <w:tc>
          <w:tcPr>
            <w:tcW w:w="589" w:type="pct"/>
            <w:shd w:val="clear" w:color="auto" w:fill="auto"/>
            <w:vAlign w:val="center"/>
          </w:tcPr>
          <w:p w14:paraId="0E4A4541">
            <w:pPr>
              <w:spacing w:line="240" w:lineRule="exact"/>
              <w:jc w:val="center"/>
              <w:rPr>
                <w:rFonts w:ascii="Times New Roman" w:hAnsi="Times New Roman" w:cs="Times New Roman"/>
                <w:sz w:val="21"/>
                <w:szCs w:val="21"/>
              </w:rPr>
            </w:pPr>
            <w:r>
              <w:rPr>
                <w:rFonts w:ascii="Times New Roman" w:hAnsi="Times New Roman" w:cs="Times New Roman"/>
                <w:sz w:val="21"/>
                <w:szCs w:val="21"/>
              </w:rPr>
              <w:t>15.64</w:t>
            </w:r>
          </w:p>
        </w:tc>
        <w:tc>
          <w:tcPr>
            <w:tcW w:w="765" w:type="pct"/>
            <w:shd w:val="clear" w:color="auto" w:fill="auto"/>
            <w:vAlign w:val="center"/>
          </w:tcPr>
          <w:p w14:paraId="524F94D2">
            <w:pPr>
              <w:spacing w:line="240" w:lineRule="exact"/>
              <w:jc w:val="center"/>
              <w:rPr>
                <w:rFonts w:ascii="Times New Roman" w:hAnsi="Times New Roman" w:cs="Times New Roman"/>
                <w:sz w:val="21"/>
                <w:szCs w:val="21"/>
              </w:rPr>
            </w:pPr>
            <w:r>
              <w:rPr>
                <w:rFonts w:ascii="Times New Roman" w:hAnsi="Times New Roman" w:cs="Times New Roman"/>
                <w:sz w:val="21"/>
                <w:szCs w:val="21"/>
              </w:rPr>
              <w:t>18.38</w:t>
            </w:r>
          </w:p>
        </w:tc>
      </w:tr>
    </w:tbl>
    <w:p w14:paraId="5C391499">
      <w:pPr>
        <w:spacing w:line="360" w:lineRule="auto"/>
        <w:ind w:firstLine="480" w:firstLineChars="200"/>
        <w:jc w:val="both"/>
        <w:rPr>
          <w:rFonts w:ascii="Times New Roman" w:hAnsi="Times New Roman" w:cs="Times New Roman"/>
          <w:snapToGrid w:val="0"/>
          <w:lang w:val="zh-CN"/>
        </w:rPr>
      </w:pPr>
      <w:r>
        <w:rPr>
          <w:rFonts w:ascii="Times New Roman" w:hAnsi="Times New Roman" w:cs="Times New Roman"/>
          <w:snapToGrid w:val="0"/>
          <w:lang w:val="zh-CN"/>
        </w:rPr>
        <w:t>类比济南到泰安公路竣工验收环境空气监测结果，分析本项目营运期对周围空气环境产生的NO</w:t>
      </w:r>
      <w:r>
        <w:rPr>
          <w:rFonts w:ascii="Times New Roman" w:hAnsi="Times New Roman" w:cs="Times New Roman"/>
          <w:snapToGrid w:val="0"/>
          <w:vertAlign w:val="subscript"/>
          <w:lang w:val="zh-CN"/>
        </w:rPr>
        <w:t>2</w:t>
      </w:r>
      <w:r>
        <w:rPr>
          <w:rFonts w:ascii="Times New Roman" w:hAnsi="Times New Roman" w:cs="Times New Roman"/>
          <w:snapToGrid w:val="0"/>
          <w:lang w:val="zh-CN"/>
        </w:rPr>
        <w:t>污染影响。京福国道主干线山东境内的济南到泰安公路机动车尾气中NO</w:t>
      </w:r>
      <w:r>
        <w:rPr>
          <w:rFonts w:ascii="Times New Roman" w:hAnsi="Times New Roman" w:cs="Times New Roman"/>
          <w:snapToGrid w:val="0"/>
          <w:vertAlign w:val="subscript"/>
          <w:lang w:val="zh-CN"/>
        </w:rPr>
        <w:t>2</w:t>
      </w:r>
      <w:r>
        <w:rPr>
          <w:rFonts w:ascii="Times New Roman" w:hAnsi="Times New Roman" w:cs="Times New Roman"/>
          <w:snapToGrid w:val="0"/>
          <w:lang w:val="zh-CN"/>
        </w:rPr>
        <w:t>监测结果见表3.2-8。</w:t>
      </w:r>
    </w:p>
    <w:p w14:paraId="14D810BE">
      <w:pPr>
        <w:jc w:val="center"/>
        <w:rPr>
          <w:rFonts w:ascii="Times New Roman" w:hAnsi="Times New Roman" w:cs="Times New Roman"/>
          <w:b/>
          <w:bCs/>
        </w:rPr>
      </w:pPr>
      <w:r>
        <w:rPr>
          <w:rFonts w:ascii="Times New Roman" w:hAnsi="Times New Roman" w:cs="Times New Roman"/>
          <w:b/>
          <w:bCs/>
        </w:rPr>
        <w:t>表</w:t>
      </w:r>
      <w:r>
        <w:rPr>
          <w:rFonts w:ascii="Times New Roman" w:hAnsi="Times New Roman" w:cs="Times New Roman"/>
          <w:snapToGrid w:val="0"/>
          <w:lang w:val="zh-CN"/>
        </w:rPr>
        <w:t>3.2-8</w:t>
      </w:r>
      <w:r>
        <w:rPr>
          <w:rFonts w:ascii="Times New Roman" w:hAnsi="Times New Roman" w:cs="Times New Roman"/>
          <w:snapToGrid w:val="0"/>
        </w:rPr>
        <w:t xml:space="preserve">  </w:t>
      </w:r>
      <w:r>
        <w:rPr>
          <w:rFonts w:ascii="Times New Roman" w:hAnsi="Times New Roman" w:cs="Times New Roman"/>
          <w:b/>
          <w:bCs/>
        </w:rPr>
        <w:t>济南到泰安公路环境空气监测结果</w:t>
      </w:r>
    </w:p>
    <w:tbl>
      <w:tblPr>
        <w:tblStyle w:val="87"/>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9"/>
        <w:gridCol w:w="1648"/>
        <w:gridCol w:w="1179"/>
        <w:gridCol w:w="943"/>
        <w:gridCol w:w="1689"/>
      </w:tblGrid>
      <w:tr w14:paraId="158946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99" w:type="pct"/>
            <w:vMerge w:val="restart"/>
            <w:tcBorders>
              <w:tl2br w:val="nil"/>
              <w:tr2bl w:val="nil"/>
            </w:tcBorders>
            <w:vAlign w:val="center"/>
          </w:tcPr>
          <w:p w14:paraId="400716B9">
            <w:pPr>
              <w:pStyle w:val="167"/>
              <w:spacing w:before="0" w:after="0" w:line="240" w:lineRule="atLeast"/>
              <w:jc w:val="center"/>
              <w:rPr>
                <w:rFonts w:ascii="Times New Roman" w:hAnsi="Times New Roman" w:cs="Times New Roman" w:eastAsiaTheme="minorEastAsia"/>
                <w:spacing w:val="-1"/>
                <w:sz w:val="21"/>
                <w:szCs w:val="18"/>
              </w:rPr>
            </w:pPr>
            <w:r>
              <w:rPr>
                <w:rFonts w:ascii="Times New Roman" w:hAnsi="Times New Roman" w:cs="Times New Roman" w:eastAsiaTheme="minorEastAsia"/>
                <w:sz w:val="21"/>
                <w:szCs w:val="18"/>
              </w:rPr>
              <w:t>公路名称</w:t>
            </w:r>
          </w:p>
        </w:tc>
        <w:tc>
          <w:tcPr>
            <w:tcW w:w="966" w:type="pct"/>
            <w:vMerge w:val="restart"/>
            <w:tcBorders>
              <w:tl2br w:val="nil"/>
              <w:tr2bl w:val="nil"/>
            </w:tcBorders>
            <w:vAlign w:val="center"/>
          </w:tcPr>
          <w:p w14:paraId="6AFF9EE8">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pacing w:val="-1"/>
                <w:sz w:val="21"/>
                <w:szCs w:val="18"/>
              </w:rPr>
              <w:t>距离（m）</w:t>
            </w:r>
          </w:p>
        </w:tc>
        <w:tc>
          <w:tcPr>
            <w:tcW w:w="1244" w:type="pct"/>
            <w:gridSpan w:val="2"/>
            <w:tcBorders>
              <w:tl2br w:val="nil"/>
              <w:tr2bl w:val="nil"/>
            </w:tcBorders>
            <w:vAlign w:val="center"/>
          </w:tcPr>
          <w:p w14:paraId="6B80131B">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pacing w:val="-1"/>
                <w:sz w:val="21"/>
                <w:szCs w:val="18"/>
              </w:rPr>
              <w:t>NO</w:t>
            </w:r>
            <w:r>
              <w:rPr>
                <w:rFonts w:ascii="Times New Roman" w:hAnsi="Times New Roman" w:cs="Times New Roman" w:eastAsiaTheme="minorEastAsia"/>
                <w:spacing w:val="-1"/>
                <w:position w:val="-2"/>
                <w:sz w:val="21"/>
                <w:szCs w:val="18"/>
              </w:rPr>
              <w:t>2</w:t>
            </w:r>
            <w:r>
              <w:rPr>
                <w:rFonts w:ascii="Times New Roman" w:hAnsi="Times New Roman" w:cs="Times New Roman" w:eastAsiaTheme="minorEastAsia"/>
                <w:spacing w:val="-1"/>
                <w:sz w:val="21"/>
                <w:szCs w:val="18"/>
              </w:rPr>
              <w:t>浓度（mg/m³）</w:t>
            </w:r>
          </w:p>
        </w:tc>
        <w:tc>
          <w:tcPr>
            <w:tcW w:w="990" w:type="pct"/>
            <w:tcBorders>
              <w:tl2br w:val="nil"/>
              <w:tr2bl w:val="nil"/>
            </w:tcBorders>
            <w:vAlign w:val="center"/>
          </w:tcPr>
          <w:p w14:paraId="2B69D125">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交通量</w:t>
            </w:r>
          </w:p>
        </w:tc>
      </w:tr>
      <w:tr w14:paraId="0DAE5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99" w:type="pct"/>
            <w:vMerge w:val="continue"/>
            <w:tcBorders>
              <w:tl2br w:val="nil"/>
              <w:tr2bl w:val="nil"/>
            </w:tcBorders>
            <w:vAlign w:val="center"/>
          </w:tcPr>
          <w:p w14:paraId="4E5A7A85">
            <w:pPr>
              <w:pStyle w:val="167"/>
              <w:spacing w:before="0" w:after="0" w:line="240" w:lineRule="atLeast"/>
              <w:jc w:val="center"/>
              <w:rPr>
                <w:rFonts w:ascii="Times New Roman" w:hAnsi="Times New Roman" w:cs="Times New Roman" w:eastAsiaTheme="minorEastAsia"/>
                <w:sz w:val="21"/>
                <w:szCs w:val="18"/>
              </w:rPr>
            </w:pPr>
          </w:p>
        </w:tc>
        <w:tc>
          <w:tcPr>
            <w:tcW w:w="966" w:type="pct"/>
            <w:vMerge w:val="continue"/>
            <w:tcBorders>
              <w:tl2br w:val="nil"/>
              <w:tr2bl w:val="nil"/>
            </w:tcBorders>
            <w:vAlign w:val="center"/>
          </w:tcPr>
          <w:p w14:paraId="001B20E7">
            <w:pPr>
              <w:pStyle w:val="167"/>
              <w:spacing w:before="0" w:after="0" w:line="240" w:lineRule="atLeast"/>
              <w:jc w:val="center"/>
              <w:rPr>
                <w:rFonts w:ascii="Times New Roman" w:hAnsi="Times New Roman" w:cs="Times New Roman" w:eastAsiaTheme="minorEastAsia"/>
                <w:sz w:val="21"/>
                <w:szCs w:val="18"/>
              </w:rPr>
            </w:pPr>
          </w:p>
        </w:tc>
        <w:tc>
          <w:tcPr>
            <w:tcW w:w="691" w:type="pct"/>
            <w:tcBorders>
              <w:tl2br w:val="nil"/>
              <w:tr2bl w:val="nil"/>
            </w:tcBorders>
            <w:vAlign w:val="center"/>
          </w:tcPr>
          <w:p w14:paraId="2BC9F691">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小时均值</w:t>
            </w:r>
          </w:p>
        </w:tc>
        <w:tc>
          <w:tcPr>
            <w:tcW w:w="553" w:type="pct"/>
            <w:tcBorders>
              <w:tl2br w:val="nil"/>
              <w:tr2bl w:val="nil"/>
            </w:tcBorders>
            <w:vAlign w:val="center"/>
          </w:tcPr>
          <w:p w14:paraId="7E04D870">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日均值</w:t>
            </w:r>
          </w:p>
        </w:tc>
        <w:tc>
          <w:tcPr>
            <w:tcW w:w="990" w:type="pct"/>
            <w:tcBorders>
              <w:tl2br w:val="nil"/>
              <w:tr2bl w:val="nil"/>
            </w:tcBorders>
            <w:vAlign w:val="center"/>
          </w:tcPr>
          <w:p w14:paraId="1AF03F05">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标准车型</w:t>
            </w:r>
            <w:r>
              <w:rPr>
                <w:rFonts w:ascii="Times New Roman" w:hAnsi="Times New Roman" w:cs="Times New Roman" w:eastAsiaTheme="minorEastAsia"/>
                <w:spacing w:val="-1"/>
                <w:sz w:val="21"/>
                <w:szCs w:val="18"/>
              </w:rPr>
              <w:t>pcu/d</w:t>
            </w:r>
          </w:p>
        </w:tc>
      </w:tr>
      <w:tr w14:paraId="4E99C9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99" w:type="pct"/>
            <w:vMerge w:val="restart"/>
            <w:tcBorders>
              <w:tl2br w:val="nil"/>
              <w:tr2bl w:val="nil"/>
            </w:tcBorders>
            <w:vAlign w:val="center"/>
          </w:tcPr>
          <w:p w14:paraId="75A13C5C">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pacing w:val="-1"/>
                <w:sz w:val="21"/>
                <w:szCs w:val="18"/>
              </w:rPr>
              <w:t>济泰公路</w:t>
            </w:r>
          </w:p>
        </w:tc>
        <w:tc>
          <w:tcPr>
            <w:tcW w:w="966" w:type="pct"/>
            <w:tcBorders>
              <w:tl2br w:val="nil"/>
              <w:tr2bl w:val="nil"/>
            </w:tcBorders>
            <w:vAlign w:val="center"/>
          </w:tcPr>
          <w:p w14:paraId="45959EC4">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20</w:t>
            </w:r>
          </w:p>
        </w:tc>
        <w:tc>
          <w:tcPr>
            <w:tcW w:w="691" w:type="pct"/>
            <w:tcBorders>
              <w:tl2br w:val="nil"/>
              <w:tr2bl w:val="nil"/>
            </w:tcBorders>
            <w:vAlign w:val="center"/>
          </w:tcPr>
          <w:p w14:paraId="17F89D19">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0.077</w:t>
            </w:r>
          </w:p>
        </w:tc>
        <w:tc>
          <w:tcPr>
            <w:tcW w:w="553" w:type="pct"/>
            <w:tcBorders>
              <w:tl2br w:val="nil"/>
              <w:tr2bl w:val="nil"/>
            </w:tcBorders>
            <w:vAlign w:val="center"/>
          </w:tcPr>
          <w:p w14:paraId="37AF7E08">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0.017</w:t>
            </w:r>
          </w:p>
        </w:tc>
        <w:tc>
          <w:tcPr>
            <w:tcW w:w="990" w:type="pct"/>
            <w:vMerge w:val="restart"/>
            <w:tcBorders>
              <w:tl2br w:val="nil"/>
              <w:tr2bl w:val="nil"/>
            </w:tcBorders>
            <w:vAlign w:val="center"/>
          </w:tcPr>
          <w:p w14:paraId="6282CA5A">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30000</w:t>
            </w:r>
          </w:p>
        </w:tc>
      </w:tr>
      <w:tr w14:paraId="6D58C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99" w:type="pct"/>
            <w:vMerge w:val="continue"/>
            <w:tcBorders>
              <w:tl2br w:val="nil"/>
              <w:tr2bl w:val="nil"/>
            </w:tcBorders>
            <w:vAlign w:val="center"/>
          </w:tcPr>
          <w:p w14:paraId="7CD5B415">
            <w:pPr>
              <w:pStyle w:val="167"/>
              <w:spacing w:before="0" w:after="0" w:line="240" w:lineRule="atLeast"/>
              <w:jc w:val="center"/>
              <w:rPr>
                <w:rFonts w:ascii="Times New Roman" w:hAnsi="Times New Roman" w:cs="Times New Roman" w:eastAsiaTheme="minorEastAsia"/>
                <w:sz w:val="21"/>
                <w:szCs w:val="18"/>
              </w:rPr>
            </w:pPr>
          </w:p>
        </w:tc>
        <w:tc>
          <w:tcPr>
            <w:tcW w:w="966" w:type="pct"/>
            <w:tcBorders>
              <w:tl2br w:val="nil"/>
              <w:tr2bl w:val="nil"/>
            </w:tcBorders>
            <w:vAlign w:val="center"/>
          </w:tcPr>
          <w:p w14:paraId="2D6A7A9F">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200</w:t>
            </w:r>
          </w:p>
        </w:tc>
        <w:tc>
          <w:tcPr>
            <w:tcW w:w="691" w:type="pct"/>
            <w:tcBorders>
              <w:tl2br w:val="nil"/>
              <w:tr2bl w:val="nil"/>
            </w:tcBorders>
            <w:vAlign w:val="center"/>
          </w:tcPr>
          <w:p w14:paraId="68EEFC4D">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0.058</w:t>
            </w:r>
          </w:p>
        </w:tc>
        <w:tc>
          <w:tcPr>
            <w:tcW w:w="553" w:type="pct"/>
            <w:tcBorders>
              <w:tl2br w:val="nil"/>
              <w:tr2bl w:val="nil"/>
            </w:tcBorders>
            <w:vAlign w:val="center"/>
          </w:tcPr>
          <w:p w14:paraId="33520E4F">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0.062</w:t>
            </w:r>
          </w:p>
        </w:tc>
        <w:tc>
          <w:tcPr>
            <w:tcW w:w="990" w:type="pct"/>
            <w:vMerge w:val="continue"/>
            <w:tcBorders>
              <w:tl2br w:val="nil"/>
              <w:tr2bl w:val="nil"/>
            </w:tcBorders>
            <w:vAlign w:val="center"/>
          </w:tcPr>
          <w:p w14:paraId="6DFBBB99">
            <w:pPr>
              <w:pStyle w:val="167"/>
              <w:spacing w:before="0" w:after="0" w:line="240" w:lineRule="atLeast"/>
              <w:jc w:val="center"/>
              <w:rPr>
                <w:rFonts w:ascii="Times New Roman" w:hAnsi="Times New Roman" w:cs="Times New Roman" w:eastAsiaTheme="minorEastAsia"/>
                <w:sz w:val="21"/>
                <w:szCs w:val="18"/>
              </w:rPr>
            </w:pPr>
          </w:p>
        </w:tc>
      </w:tr>
      <w:tr w14:paraId="6B9A1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2765" w:type="pct"/>
            <w:gridSpan w:val="2"/>
            <w:tcBorders>
              <w:tl2br w:val="nil"/>
              <w:tr2bl w:val="nil"/>
            </w:tcBorders>
          </w:tcPr>
          <w:p w14:paraId="00E4ED31">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pacing w:val="-2"/>
                <w:sz w:val="21"/>
                <w:szCs w:val="18"/>
              </w:rPr>
              <w:t>《环境空气质量标准》二级标准</w:t>
            </w:r>
          </w:p>
        </w:tc>
        <w:tc>
          <w:tcPr>
            <w:tcW w:w="691" w:type="pct"/>
            <w:tcBorders>
              <w:tl2br w:val="nil"/>
              <w:tr2bl w:val="nil"/>
            </w:tcBorders>
            <w:vAlign w:val="center"/>
          </w:tcPr>
          <w:p w14:paraId="696C2EC4">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0.200</w:t>
            </w:r>
          </w:p>
        </w:tc>
        <w:tc>
          <w:tcPr>
            <w:tcW w:w="553" w:type="pct"/>
            <w:tcBorders>
              <w:tl2br w:val="nil"/>
              <w:tr2bl w:val="nil"/>
            </w:tcBorders>
            <w:vAlign w:val="center"/>
          </w:tcPr>
          <w:p w14:paraId="764AF75B">
            <w:pPr>
              <w:pStyle w:val="167"/>
              <w:spacing w:before="0" w:after="0" w:line="240" w:lineRule="atLeast"/>
              <w:jc w:val="center"/>
              <w:rPr>
                <w:rFonts w:ascii="Times New Roman" w:hAnsi="Times New Roman" w:cs="Times New Roman" w:eastAsiaTheme="minorEastAsia"/>
                <w:sz w:val="21"/>
                <w:szCs w:val="18"/>
              </w:rPr>
            </w:pPr>
            <w:r>
              <w:rPr>
                <w:rFonts w:ascii="Times New Roman" w:hAnsi="Times New Roman" w:cs="Times New Roman" w:eastAsiaTheme="minorEastAsia"/>
                <w:sz w:val="21"/>
                <w:szCs w:val="18"/>
              </w:rPr>
              <w:t>0.080</w:t>
            </w:r>
          </w:p>
        </w:tc>
        <w:tc>
          <w:tcPr>
            <w:tcW w:w="990" w:type="pct"/>
            <w:vMerge w:val="continue"/>
            <w:tcBorders>
              <w:tl2br w:val="nil"/>
              <w:tr2bl w:val="nil"/>
            </w:tcBorders>
            <w:vAlign w:val="center"/>
          </w:tcPr>
          <w:p w14:paraId="350067C7">
            <w:pPr>
              <w:pStyle w:val="167"/>
              <w:spacing w:before="0" w:after="0" w:line="240" w:lineRule="atLeast"/>
              <w:jc w:val="center"/>
              <w:rPr>
                <w:rFonts w:ascii="Times New Roman" w:hAnsi="Times New Roman" w:cs="Times New Roman" w:eastAsiaTheme="minorEastAsia"/>
                <w:sz w:val="21"/>
                <w:szCs w:val="18"/>
              </w:rPr>
            </w:pPr>
          </w:p>
        </w:tc>
      </w:tr>
    </w:tbl>
    <w:p w14:paraId="10A74E57">
      <w:pPr>
        <w:spacing w:line="360" w:lineRule="auto"/>
        <w:ind w:firstLine="480" w:firstLineChars="200"/>
        <w:jc w:val="both"/>
        <w:rPr>
          <w:rFonts w:ascii="Times New Roman" w:hAnsi="Times New Roman" w:cs="Times New Roman"/>
          <w:snapToGrid w:val="0"/>
          <w:lang w:val="zh-CN"/>
        </w:rPr>
      </w:pPr>
      <w:r>
        <w:rPr>
          <w:rFonts w:ascii="Times New Roman" w:hAnsi="Times New Roman" w:cs="Times New Roman"/>
          <w:snapToGrid w:val="0"/>
          <w:lang w:val="zh-CN"/>
        </w:rPr>
        <w:t>由监测结果可知，在距离接线20m左右NO</w:t>
      </w:r>
      <w:r>
        <w:rPr>
          <w:rFonts w:ascii="Times New Roman" w:hAnsi="Times New Roman" w:cs="Times New Roman"/>
          <w:snapToGrid w:val="0"/>
          <w:vertAlign w:val="subscript"/>
          <w:lang w:val="zh-CN"/>
        </w:rPr>
        <w:t>2</w:t>
      </w:r>
      <w:r>
        <w:rPr>
          <w:rFonts w:ascii="Times New Roman" w:hAnsi="Times New Roman" w:cs="Times New Roman"/>
          <w:snapToGrid w:val="0"/>
          <w:lang w:val="zh-CN"/>
        </w:rPr>
        <w:t>监测结果能够满足《环境空气质量标准》（GB3095-2012）二级标准。本项目日交通量折算标准</w:t>
      </w:r>
      <w:r>
        <w:rPr>
          <w:rFonts w:hint="eastAsia" w:ascii="Times New Roman" w:hAnsi="Times New Roman" w:cs="Times New Roman"/>
          <w:snapToGrid w:val="0"/>
          <w:lang w:val="zh-CN"/>
        </w:rPr>
        <w:t>最大</w:t>
      </w:r>
      <w:r>
        <w:rPr>
          <w:rFonts w:ascii="Times New Roman" w:hAnsi="Times New Roman" w:cs="Times New Roman"/>
          <w:snapToGrid w:val="0"/>
          <w:lang w:val="zh-CN"/>
        </w:rPr>
        <w:t>车流量</w:t>
      </w:r>
      <w:r>
        <w:rPr>
          <w:rFonts w:hint="eastAsia" w:ascii="Times New Roman" w:hAnsi="Times New Roman" w:cs="Times New Roman"/>
          <w:snapToGrid w:val="0"/>
          <w:lang w:val="zh-CN"/>
        </w:rPr>
        <w:t>（2</w:t>
      </w:r>
      <w:r>
        <w:rPr>
          <w:rFonts w:ascii="Times New Roman" w:hAnsi="Times New Roman" w:cs="Times New Roman"/>
          <w:snapToGrid w:val="0"/>
          <w:lang w:val="zh-CN"/>
        </w:rPr>
        <w:t>040</w:t>
      </w:r>
      <w:r>
        <w:rPr>
          <w:rFonts w:hint="eastAsia" w:ascii="Times New Roman" w:hAnsi="Times New Roman" w:cs="Times New Roman"/>
          <w:snapToGrid w:val="0"/>
          <w:lang w:val="zh-CN"/>
        </w:rPr>
        <w:t>年预测</w:t>
      </w:r>
      <w:r>
        <w:rPr>
          <w:rFonts w:ascii="Times New Roman" w:hAnsi="Times New Roman" w:cs="Times New Roman"/>
          <w:snapToGrid w:val="0"/>
          <w:lang w:val="zh-CN"/>
        </w:rPr>
        <w:t>6591</w:t>
      </w:r>
      <w:r>
        <w:rPr>
          <w:rFonts w:hint="eastAsia" w:ascii="Times New Roman" w:hAnsi="Times New Roman" w:cs="Times New Roman"/>
          <w:snapToGrid w:val="0"/>
          <w:lang w:val="zh-CN"/>
        </w:rPr>
        <w:t>辆）</w:t>
      </w:r>
      <w:r>
        <w:rPr>
          <w:rFonts w:ascii="Times New Roman" w:hAnsi="Times New Roman" w:cs="Times New Roman"/>
          <w:snapToGrid w:val="0"/>
          <w:lang w:val="zh-CN"/>
        </w:rPr>
        <w:t>与济泰公路的日交通量折算标准车流量（30000pcu/d）相比，小于其车流量，</w:t>
      </w:r>
      <w:r>
        <w:rPr>
          <w:rFonts w:hint="eastAsia" w:ascii="Times New Roman" w:hAnsi="Times New Roman" w:cs="Times New Roman"/>
          <w:snapToGrid w:val="0"/>
          <w:lang w:val="zh-CN"/>
        </w:rPr>
        <w:t>且</w:t>
      </w:r>
      <w:r>
        <w:rPr>
          <w:rFonts w:ascii="Times New Roman" w:hAnsi="Times New Roman" w:cs="Times New Roman"/>
          <w:snapToGrid w:val="0"/>
          <w:lang w:val="zh-CN"/>
        </w:rPr>
        <w:t>随着车用燃油标准及机动车污染治理水平的不断提高，同等数量汽车的尾气造成的影响会逐渐降低</w:t>
      </w:r>
      <w:r>
        <w:rPr>
          <w:rFonts w:hint="eastAsia" w:ascii="Times New Roman" w:hAnsi="Times New Roman" w:cs="Times New Roman"/>
          <w:snapToGrid w:val="0"/>
          <w:lang w:val="zh-CN"/>
        </w:rPr>
        <w:t>。由此可见</w:t>
      </w:r>
      <w:r>
        <w:rPr>
          <w:rFonts w:ascii="Times New Roman" w:hAnsi="Times New Roman" w:cs="Times New Roman"/>
          <w:snapToGrid w:val="0"/>
          <w:lang w:val="zh-CN"/>
        </w:rPr>
        <w:t>本项目建成后，汽车尾气中NO</w:t>
      </w:r>
      <w:r>
        <w:rPr>
          <w:rFonts w:ascii="Times New Roman" w:hAnsi="Times New Roman" w:cs="Times New Roman"/>
          <w:snapToGrid w:val="0"/>
          <w:vertAlign w:val="subscript"/>
          <w:lang w:val="zh-CN"/>
        </w:rPr>
        <w:t>2</w:t>
      </w:r>
      <w:r>
        <w:rPr>
          <w:rFonts w:ascii="Times New Roman" w:hAnsi="Times New Roman" w:cs="Times New Roman"/>
          <w:snapToGrid w:val="0"/>
          <w:lang w:val="zh-CN"/>
        </w:rPr>
        <w:t>在距路中心线20m以内就可达到《环境空气质量标准》（GB3095-2012）中二级标准。</w:t>
      </w:r>
    </w:p>
    <w:p w14:paraId="7D750896">
      <w:pPr>
        <w:spacing w:line="360" w:lineRule="auto"/>
        <w:ind w:firstLine="480" w:firstLineChars="200"/>
        <w:jc w:val="both"/>
        <w:rPr>
          <w:rFonts w:ascii="Times New Roman" w:hAnsi="Times New Roman" w:cs="Times New Roman"/>
          <w:snapToGrid w:val="0"/>
          <w:lang w:val="zh-CN"/>
        </w:rPr>
      </w:pPr>
      <w:r>
        <w:rPr>
          <w:rFonts w:ascii="Times New Roman" w:hAnsi="Times New Roman" w:cs="Times New Roman"/>
          <w:snapToGrid w:val="0"/>
          <w:lang w:val="zh-CN"/>
        </w:rPr>
        <w:t>根据全国已建公路环境保护竣工验收调查的结果，日交通量3万辆时路侧CO不超标，随着车用燃油标准及机动车污染治理水平的不断提高，同等数量汽车的尾气造成的影响会逐渐降低，故分析得出沿线路侧CO各期均不超标。</w:t>
      </w:r>
    </w:p>
    <w:p w14:paraId="0DD77069">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3.2.3.2 水污染源</w:t>
      </w:r>
    </w:p>
    <w:p w14:paraId="1D0020D2">
      <w:pPr>
        <w:pStyle w:val="563"/>
        <w:ind w:firstLine="480"/>
        <w:jc w:val="both"/>
        <w:rPr>
          <w:rFonts w:ascii="Times New Roman" w:hAnsi="Times New Roman" w:cs="Times New Roman"/>
        </w:rPr>
      </w:pPr>
      <w:r>
        <w:rPr>
          <w:rFonts w:ascii="Times New Roman" w:hAnsi="Times New Roman" w:cs="Times New Roman"/>
        </w:rPr>
        <w:t>本工程运行产生的水污染源主要来源于降雨冲刷路面产生的路面径流污水，影响因素包括降雨强度、降雨历时、降雨频率、车流量、路面宽度和产污路段长度等。由于项目建设区域是一个干燥、多风少雨的地区，多年平均降水量低，因降雨冲刷路面产生的路面径流污水几乎可以忽略不计。</w:t>
      </w:r>
    </w:p>
    <w:p w14:paraId="28F7E65E">
      <w:pPr>
        <w:spacing w:line="360" w:lineRule="auto"/>
        <w:ind w:firstLine="480" w:firstLineChars="200"/>
        <w:jc w:val="both"/>
        <w:rPr>
          <w:rFonts w:ascii="Times New Roman" w:hAnsi="Times New Roman" w:cs="Times New Roman"/>
          <w:szCs w:val="20"/>
        </w:rPr>
      </w:pPr>
      <w:r>
        <w:rPr>
          <w:rFonts w:ascii="Times New Roman" w:hAnsi="Times New Roman" w:cs="Times New Roman"/>
          <w:szCs w:val="20"/>
        </w:rPr>
        <w:t>另外，装载有毒、有害物质的车辆在交通事故中泄漏或有毒、有害物质落到路面清洗时所产生的废水也会造成一定污染风险。</w:t>
      </w:r>
    </w:p>
    <w:p w14:paraId="494D61F7">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3.2.2.3 噪声污染源强</w:t>
      </w:r>
    </w:p>
    <w:p w14:paraId="38B414F3">
      <w:pPr>
        <w:pStyle w:val="563"/>
        <w:ind w:firstLine="480"/>
        <w:jc w:val="both"/>
        <w:rPr>
          <w:rFonts w:ascii="Times New Roman" w:hAnsi="Times New Roman" w:cs="Times New Roman"/>
          <w:snapToGrid w:val="0"/>
          <w:szCs w:val="24"/>
          <w:lang w:val="zh-CN"/>
        </w:rPr>
      </w:pPr>
      <w:r>
        <w:rPr>
          <w:rFonts w:ascii="Times New Roman" w:hAnsi="Times New Roman" w:cs="Times New Roman"/>
        </w:rPr>
        <w:t>根据</w:t>
      </w:r>
      <w:r>
        <w:rPr>
          <w:rFonts w:ascii="Times New Roman" w:hAnsi="Times New Roman" w:cs="Times New Roman"/>
          <w:snapToGrid w:val="0"/>
          <w:lang w:val="zh-CN"/>
        </w:rPr>
        <w:t>《环境影响评价技术导则 公路建设项目》（HJ1358-2024）附录</w:t>
      </w:r>
      <w:r>
        <w:rPr>
          <w:rFonts w:ascii="Times New Roman" w:hAnsi="Times New Roman" w:cs="Times New Roman"/>
          <w:snapToGrid w:val="0"/>
          <w:szCs w:val="24"/>
          <w:lang w:val="zh-CN"/>
        </w:rPr>
        <w:t>B.1.1.1大、中、小型车平均辐射噪声级（</w:t>
      </w:r>
      <w:r>
        <w:rPr>
          <w:rFonts w:ascii="Times New Roman" w:hAnsi="Times New Roman" w:cs="Times New Roman"/>
          <w:szCs w:val="24"/>
        </w:rPr>
        <w:drawing>
          <wp:inline distT="0" distB="0" distL="0" distR="0">
            <wp:extent cx="501650" cy="2984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01676" cy="298465"/>
                    </a:xfrm>
                    <a:prstGeom prst="rect">
                      <a:avLst/>
                    </a:prstGeom>
                  </pic:spPr>
                </pic:pic>
              </a:graphicData>
            </a:graphic>
          </wp:inline>
        </w:drawing>
      </w:r>
      <w:r>
        <w:rPr>
          <w:rFonts w:ascii="Times New Roman" w:hAnsi="Times New Roman" w:cs="Times New Roman"/>
          <w:snapToGrid w:val="0"/>
          <w:szCs w:val="24"/>
          <w:lang w:val="zh-CN"/>
        </w:rPr>
        <w:t>），</w:t>
      </w:r>
      <w:r>
        <w:rPr>
          <w:rFonts w:ascii="Times New Roman" w:hAnsi="Times New Roman" w:cs="Times New Roman"/>
          <w:spacing w:val="-4"/>
          <w:w w:val="95"/>
          <w:position w:val="2"/>
          <w:szCs w:val="24"/>
        </w:rPr>
        <w:t xml:space="preserve">类型车在距离行车线 </w:t>
      </w:r>
      <w:r>
        <w:rPr>
          <w:rFonts w:ascii="Times New Roman" w:hAnsi="Times New Roman" w:eastAsia="Times New Roman" w:cs="Times New Roman"/>
          <w:w w:val="95"/>
          <w:position w:val="2"/>
          <w:szCs w:val="24"/>
        </w:rPr>
        <w:t>7.5m</w:t>
      </w:r>
      <w:r>
        <w:rPr>
          <w:rFonts w:ascii="Times New Roman" w:hAnsi="Times New Roman" w:eastAsia="Times New Roman" w:cs="Times New Roman"/>
          <w:spacing w:val="4"/>
          <w:position w:val="2"/>
          <w:szCs w:val="24"/>
        </w:rPr>
        <w:t xml:space="preserve"> </w:t>
      </w:r>
      <w:r>
        <w:rPr>
          <w:rFonts w:ascii="Times New Roman" w:hAnsi="Times New Roman" w:cs="Times New Roman"/>
          <w:w w:val="95"/>
          <w:position w:val="2"/>
          <w:szCs w:val="24"/>
        </w:rPr>
        <w:t>处参照点的平均辐射噪声级</w:t>
      </w:r>
      <w:r>
        <w:rPr>
          <w:rFonts w:ascii="Times New Roman" w:hAnsi="Times New Roman" w:cs="Times New Roman"/>
          <w:szCs w:val="24"/>
        </w:rPr>
        <w:drawing>
          <wp:inline distT="0" distB="0" distL="0" distR="0">
            <wp:extent cx="501650" cy="2984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01676" cy="298465"/>
                    </a:xfrm>
                    <a:prstGeom prst="rect">
                      <a:avLst/>
                    </a:prstGeom>
                  </pic:spPr>
                </pic:pic>
              </a:graphicData>
            </a:graphic>
          </wp:inline>
        </w:drawing>
      </w:r>
      <w:r>
        <w:rPr>
          <w:rFonts w:ascii="Times New Roman" w:hAnsi="Times New Roman" w:cs="Times New Roman"/>
          <w:snapToGrid w:val="0"/>
          <w:szCs w:val="24"/>
          <w:lang w:val="zh-CN"/>
        </w:rPr>
        <w:t>：按下列公式计算：</w:t>
      </w:r>
    </w:p>
    <w:p w14:paraId="6F948E68">
      <w:pPr>
        <w:pStyle w:val="563"/>
        <w:ind w:firstLine="438"/>
        <w:jc w:val="both"/>
        <w:rPr>
          <w:rFonts w:ascii="Times New Roman" w:hAnsi="Times New Roman" w:cs="Times New Roman"/>
        </w:rPr>
      </w:pPr>
      <w:r>
        <w:rPr>
          <w:rFonts w:ascii="Times New Roman" w:hAnsi="Times New Roman" w:cs="Times New Roman"/>
          <w:spacing w:val="-4"/>
          <w:w w:val="95"/>
        </w:rPr>
        <w:t>大型车</w:t>
      </w:r>
      <w:r>
        <w:rPr>
          <w:rFonts w:ascii="Times New Roman" w:hAnsi="Times New Roman" w:cs="Times New Roman"/>
          <w:spacing w:val="-4"/>
          <w:w w:val="95"/>
        </w:rPr>
        <w:drawing>
          <wp:inline distT="0" distB="0" distL="0" distR="0">
            <wp:extent cx="438150" cy="2032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ascii="Times New Roman" w:hAnsi="Times New Roman" w:cs="Times New Roman"/>
          <w:spacing w:val="-4"/>
          <w:w w:val="95"/>
          <w:vertAlign w:val="subscript"/>
        </w:rPr>
        <w:t>l</w:t>
      </w:r>
      <w:r>
        <w:rPr>
          <w:rFonts w:ascii="Times New Roman" w:hAnsi="Times New Roman" w:cs="Times New Roman"/>
          <w:spacing w:val="-4"/>
          <w:w w:val="95"/>
        </w:rPr>
        <w:t>=</w:t>
      </w:r>
      <w:r>
        <w:rPr>
          <w:rFonts w:ascii="Times New Roman" w:hAnsi="Times New Roman" w:cs="Times New Roman"/>
        </w:rPr>
        <w:t>22.0+36.32lgV</w:t>
      </w:r>
      <w:r>
        <w:rPr>
          <w:rFonts w:ascii="Times New Roman" w:hAnsi="Times New Roman" w:cs="Times New Roman"/>
          <w:vertAlign w:val="subscript"/>
        </w:rPr>
        <w:t xml:space="preserve">l </w:t>
      </w:r>
      <w:r>
        <w:rPr>
          <w:rFonts w:ascii="Times New Roman" w:hAnsi="Times New Roman" w:cs="Times New Roman"/>
        </w:rPr>
        <w:t>(</w:t>
      </w:r>
      <w:r>
        <w:rPr>
          <w:rFonts w:ascii="Times New Roman" w:hAnsi="Times New Roman" w:cs="Times New Roman"/>
          <w:spacing w:val="-2"/>
          <w:position w:val="2"/>
        </w:rPr>
        <w:t>适用车速范围：</w:t>
      </w:r>
      <w:r>
        <w:rPr>
          <w:rFonts w:ascii="Times New Roman" w:hAnsi="Times New Roman" w:eastAsia="Times New Roman" w:cs="Times New Roman"/>
          <w:spacing w:val="-2"/>
          <w:position w:val="2"/>
        </w:rPr>
        <w:t>48</w:t>
      </w:r>
      <w:r>
        <w:rPr>
          <w:rFonts w:ascii="Times New Roman" w:hAnsi="Times New Roman" w:eastAsia="Times New Roman" w:cs="Times New Roman"/>
          <w:spacing w:val="2"/>
          <w:position w:val="2"/>
        </w:rPr>
        <w:t xml:space="preserve"> </w:t>
      </w:r>
      <w:r>
        <w:rPr>
          <w:rFonts w:ascii="Times New Roman" w:hAnsi="Times New Roman" w:eastAsia="Times New Roman" w:cs="Times New Roman"/>
          <w:spacing w:val="-2"/>
          <w:position w:val="2"/>
        </w:rPr>
        <w:t>km/h</w:t>
      </w:r>
      <w:r>
        <w:rPr>
          <w:rFonts w:ascii="Times New Roman" w:hAnsi="Times New Roman" w:cs="Times New Roman"/>
          <w:spacing w:val="-2"/>
          <w:position w:val="2"/>
        </w:rPr>
        <w:t>～</w:t>
      </w:r>
      <w:r>
        <w:rPr>
          <w:rFonts w:ascii="Times New Roman" w:hAnsi="Times New Roman" w:eastAsia="Times New Roman" w:cs="Times New Roman"/>
          <w:spacing w:val="-2"/>
          <w:position w:val="2"/>
        </w:rPr>
        <w:t>90</w:t>
      </w:r>
      <w:r>
        <w:rPr>
          <w:rFonts w:ascii="Times New Roman" w:hAnsi="Times New Roman" w:eastAsia="Times New Roman" w:cs="Times New Roman"/>
          <w:spacing w:val="-1"/>
          <w:position w:val="2"/>
        </w:rPr>
        <w:t xml:space="preserve"> </w:t>
      </w:r>
      <w:r>
        <w:rPr>
          <w:rFonts w:ascii="Times New Roman" w:hAnsi="Times New Roman" w:eastAsia="Times New Roman" w:cs="Times New Roman"/>
          <w:spacing w:val="-2"/>
          <w:position w:val="2"/>
        </w:rPr>
        <w:t>km/h</w:t>
      </w:r>
      <w:r>
        <w:rPr>
          <w:rFonts w:ascii="Times New Roman" w:hAnsi="Times New Roman" w:cs="Times New Roman"/>
        </w:rPr>
        <w:t>)</w:t>
      </w:r>
    </w:p>
    <w:p w14:paraId="31282DB5">
      <w:pPr>
        <w:pStyle w:val="563"/>
        <w:ind w:firstLine="480"/>
        <w:jc w:val="both"/>
        <w:rPr>
          <w:rFonts w:ascii="Times New Roman" w:hAnsi="Times New Roman" w:cs="Times New Roman"/>
        </w:rPr>
      </w:pPr>
      <w:r>
        <w:rPr>
          <w:rFonts w:ascii="Times New Roman" w:hAnsi="Times New Roman" w:cs="Times New Roman"/>
        </w:rPr>
        <w:t>中型车</w:t>
      </w:r>
      <w:r>
        <w:rPr>
          <w:rFonts w:ascii="Times New Roman" w:hAnsi="Times New Roman" w:cs="Times New Roman"/>
          <w:spacing w:val="-4"/>
          <w:w w:val="95"/>
        </w:rPr>
        <w:drawing>
          <wp:inline distT="0" distB="0" distL="0" distR="0">
            <wp:extent cx="438150" cy="203200"/>
            <wp:effectExtent l="0" t="0" r="0" b="63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ascii="Times New Roman" w:hAnsi="Times New Roman" w:cs="Times New Roman"/>
          <w:vertAlign w:val="subscript"/>
        </w:rPr>
        <w:t>m</w:t>
      </w:r>
      <w:r>
        <w:rPr>
          <w:rFonts w:ascii="Times New Roman" w:hAnsi="Times New Roman" w:cs="Times New Roman"/>
        </w:rPr>
        <w:t>=8.8+40.48lgV</w:t>
      </w:r>
      <w:r>
        <w:rPr>
          <w:rFonts w:ascii="Times New Roman" w:hAnsi="Times New Roman" w:cs="Times New Roman"/>
          <w:vertAlign w:val="subscript"/>
        </w:rPr>
        <w:t xml:space="preserve">m </w:t>
      </w:r>
      <w:r>
        <w:rPr>
          <w:rFonts w:ascii="Times New Roman" w:hAnsi="Times New Roman" w:cs="Times New Roman"/>
        </w:rPr>
        <w:t>(</w:t>
      </w:r>
      <w:r>
        <w:rPr>
          <w:rFonts w:ascii="Times New Roman" w:hAnsi="Times New Roman" w:cs="Times New Roman"/>
          <w:spacing w:val="-2"/>
          <w:position w:val="2"/>
        </w:rPr>
        <w:t>适用车速范围：</w:t>
      </w:r>
      <w:r>
        <w:rPr>
          <w:rFonts w:ascii="Times New Roman" w:hAnsi="Times New Roman" w:eastAsia="Times New Roman" w:cs="Times New Roman"/>
          <w:spacing w:val="-2"/>
          <w:position w:val="2"/>
        </w:rPr>
        <w:t>53</w:t>
      </w:r>
      <w:r>
        <w:rPr>
          <w:rFonts w:ascii="Times New Roman" w:hAnsi="Times New Roman" w:eastAsia="Times New Roman" w:cs="Times New Roman"/>
          <w:spacing w:val="2"/>
          <w:position w:val="2"/>
        </w:rPr>
        <w:t xml:space="preserve"> </w:t>
      </w:r>
      <w:r>
        <w:rPr>
          <w:rFonts w:ascii="Times New Roman" w:hAnsi="Times New Roman" w:eastAsia="Times New Roman" w:cs="Times New Roman"/>
          <w:spacing w:val="-2"/>
          <w:position w:val="2"/>
        </w:rPr>
        <w:t>km/h</w:t>
      </w:r>
      <w:r>
        <w:rPr>
          <w:rFonts w:ascii="Times New Roman" w:hAnsi="Times New Roman" w:cs="Times New Roman"/>
          <w:spacing w:val="-2"/>
          <w:position w:val="2"/>
        </w:rPr>
        <w:t>～</w:t>
      </w:r>
      <w:r>
        <w:rPr>
          <w:rFonts w:ascii="Times New Roman" w:hAnsi="Times New Roman" w:eastAsia="Times New Roman" w:cs="Times New Roman"/>
          <w:spacing w:val="-2"/>
          <w:position w:val="2"/>
        </w:rPr>
        <w:t>100</w:t>
      </w:r>
      <w:r>
        <w:rPr>
          <w:rFonts w:ascii="Times New Roman" w:hAnsi="Times New Roman" w:eastAsia="Times New Roman" w:cs="Times New Roman"/>
          <w:spacing w:val="-1"/>
          <w:position w:val="2"/>
        </w:rPr>
        <w:t xml:space="preserve"> </w:t>
      </w:r>
      <w:r>
        <w:rPr>
          <w:rFonts w:ascii="Times New Roman" w:hAnsi="Times New Roman" w:eastAsia="Times New Roman" w:cs="Times New Roman"/>
          <w:spacing w:val="-2"/>
          <w:position w:val="2"/>
        </w:rPr>
        <w:t>km/h</w:t>
      </w:r>
      <w:r>
        <w:rPr>
          <w:rFonts w:ascii="Times New Roman" w:hAnsi="Times New Roman" w:cs="Times New Roman"/>
        </w:rPr>
        <w:t>)</w:t>
      </w:r>
    </w:p>
    <w:p w14:paraId="6D6E5164">
      <w:pPr>
        <w:pStyle w:val="563"/>
        <w:ind w:firstLine="480"/>
        <w:jc w:val="both"/>
        <w:rPr>
          <w:rFonts w:ascii="Times New Roman" w:hAnsi="Times New Roman" w:cs="Times New Roman"/>
        </w:rPr>
      </w:pPr>
      <w:r>
        <w:rPr>
          <w:rFonts w:ascii="Times New Roman" w:hAnsi="Times New Roman" w:cs="Times New Roman"/>
        </w:rPr>
        <w:t>小型车</w:t>
      </w:r>
      <w:r>
        <w:rPr>
          <w:rFonts w:ascii="Times New Roman" w:hAnsi="Times New Roman" w:cs="Times New Roman"/>
          <w:spacing w:val="-4"/>
          <w:w w:val="95"/>
        </w:rPr>
        <w:drawing>
          <wp:inline distT="0" distB="0" distL="0" distR="0">
            <wp:extent cx="438150" cy="20320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ascii="Times New Roman" w:hAnsi="Times New Roman" w:cs="Times New Roman"/>
        </w:rPr>
        <w:t>s=12.6+34.73lgVs(</w:t>
      </w:r>
      <w:r>
        <w:rPr>
          <w:rFonts w:ascii="Times New Roman" w:hAnsi="Times New Roman" w:cs="Times New Roman"/>
          <w:spacing w:val="-2"/>
          <w:position w:val="2"/>
        </w:rPr>
        <w:t>适用车速范围：</w:t>
      </w:r>
      <w:r>
        <w:rPr>
          <w:rFonts w:ascii="Times New Roman" w:hAnsi="Times New Roman" w:eastAsia="Times New Roman" w:cs="Times New Roman"/>
          <w:spacing w:val="-2"/>
          <w:position w:val="2"/>
        </w:rPr>
        <w:t>63</w:t>
      </w:r>
      <w:r>
        <w:rPr>
          <w:rFonts w:ascii="Times New Roman" w:hAnsi="Times New Roman" w:eastAsia="Times New Roman" w:cs="Times New Roman"/>
          <w:spacing w:val="2"/>
          <w:position w:val="2"/>
        </w:rPr>
        <w:t xml:space="preserve"> </w:t>
      </w:r>
      <w:r>
        <w:rPr>
          <w:rFonts w:ascii="Times New Roman" w:hAnsi="Times New Roman" w:eastAsia="Times New Roman" w:cs="Times New Roman"/>
          <w:spacing w:val="-2"/>
          <w:position w:val="2"/>
        </w:rPr>
        <w:t>km/h</w:t>
      </w:r>
      <w:r>
        <w:rPr>
          <w:rFonts w:ascii="Times New Roman" w:hAnsi="Times New Roman" w:cs="Times New Roman"/>
          <w:spacing w:val="-2"/>
          <w:position w:val="2"/>
        </w:rPr>
        <w:t>～</w:t>
      </w:r>
      <w:r>
        <w:rPr>
          <w:rFonts w:ascii="Times New Roman" w:hAnsi="Times New Roman" w:eastAsia="Times New Roman" w:cs="Times New Roman"/>
          <w:spacing w:val="-2"/>
          <w:position w:val="2"/>
        </w:rPr>
        <w:t>140</w:t>
      </w:r>
      <w:r>
        <w:rPr>
          <w:rFonts w:ascii="Times New Roman" w:hAnsi="Times New Roman" w:eastAsia="Times New Roman" w:cs="Times New Roman"/>
          <w:spacing w:val="-1"/>
          <w:position w:val="2"/>
        </w:rPr>
        <w:t xml:space="preserve"> </w:t>
      </w:r>
      <w:r>
        <w:rPr>
          <w:rFonts w:ascii="Times New Roman" w:hAnsi="Times New Roman" w:eastAsia="Times New Roman" w:cs="Times New Roman"/>
          <w:spacing w:val="-2"/>
          <w:position w:val="2"/>
        </w:rPr>
        <w:t>km/h</w:t>
      </w:r>
      <w:r>
        <w:rPr>
          <w:rFonts w:ascii="Times New Roman" w:hAnsi="Times New Roman" w:cs="Times New Roman"/>
        </w:rPr>
        <w:t>)</w:t>
      </w:r>
    </w:p>
    <w:p w14:paraId="3C3564F6">
      <w:pPr>
        <w:pStyle w:val="563"/>
        <w:ind w:firstLine="480"/>
        <w:jc w:val="both"/>
        <w:rPr>
          <w:rFonts w:ascii="Times New Roman" w:hAnsi="Times New Roman" w:cs="Times New Roman"/>
        </w:rPr>
      </w:pPr>
      <w:r>
        <w:rPr>
          <w:rFonts w:ascii="Times New Roman" w:hAnsi="Times New Roman" w:cs="Times New Roman"/>
        </w:rPr>
        <w:t>式中：</w:t>
      </w:r>
      <w:r>
        <w:rPr>
          <w:rFonts w:ascii="Times New Roman" w:hAnsi="Times New Roman" w:cs="Times New Roman"/>
          <w:spacing w:val="-4"/>
          <w:w w:val="95"/>
        </w:rPr>
        <w:drawing>
          <wp:inline distT="0" distB="0" distL="0" distR="0">
            <wp:extent cx="438150" cy="203200"/>
            <wp:effectExtent l="0" t="0" r="0"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38173" cy="203210"/>
                    </a:xfrm>
                    <a:prstGeom prst="rect">
                      <a:avLst/>
                    </a:prstGeom>
                  </pic:spPr>
                </pic:pic>
              </a:graphicData>
            </a:graphic>
          </wp:inline>
        </w:drawing>
      </w:r>
      <w:r>
        <w:rPr>
          <w:rFonts w:ascii="Times New Roman" w:hAnsi="Times New Roman" w:cs="Times New Roman"/>
          <w:spacing w:val="-4"/>
          <w:w w:val="95"/>
          <w:vertAlign w:val="subscript"/>
        </w:rPr>
        <w:t>l</w:t>
      </w:r>
      <w:r>
        <w:rPr>
          <w:rFonts w:ascii="Times New Roman" w:hAnsi="Times New Roman" w:cs="Times New Roman"/>
          <w:spacing w:val="-4"/>
          <w:w w:val="95"/>
        </w:rPr>
        <w:t>——</w:t>
      </w:r>
      <w:r>
        <w:rPr>
          <w:rFonts w:ascii="Times New Roman" w:hAnsi="Times New Roman" w:cs="Times New Roman"/>
          <w:spacing w:val="-2"/>
          <w:position w:val="2"/>
        </w:rPr>
        <w:t>大型车在参照点处的平均辐射噪声级，dB(A)；</w:t>
      </w:r>
    </w:p>
    <w:p w14:paraId="676F001D">
      <w:pPr>
        <w:pStyle w:val="563"/>
        <w:ind w:firstLine="1200" w:firstLineChars="500"/>
        <w:jc w:val="both"/>
        <w:rPr>
          <w:rFonts w:ascii="Times New Roman" w:hAnsi="Times New Roman" w:cs="Times New Roman"/>
          <w:spacing w:val="-2"/>
          <w:position w:val="2"/>
        </w:rPr>
      </w:pPr>
      <w:r>
        <w:rPr>
          <w:rFonts w:ascii="Times New Roman" w:hAnsi="Times New Roman" w:cs="Times New Roman"/>
        </w:rPr>
        <w:pict>
          <v:shape id="_x0000_i1025" o:spt="75" type="#_x0000_t75" style="height:14.95pt;width:34.95pt;" filled="f" o:preferrelative="t" stroked="f" coordsize="21600,21600">
            <v:path/>
            <v:fill on="f" focussize="0,0"/>
            <v:stroke on="f" joinstyle="miter"/>
            <v:imagedata r:id="rId31" o:title=""/>
            <o:lock v:ext="edit" aspectratio="t"/>
            <w10:wrap type="none"/>
            <w10:anchorlock/>
          </v:shape>
        </w:pict>
      </w:r>
      <w:r>
        <w:rPr>
          <w:rFonts w:ascii="Times New Roman" w:hAnsi="Times New Roman" w:cs="Times New Roman"/>
          <w:vertAlign w:val="subscript"/>
        </w:rPr>
        <w:t>m</w:t>
      </w:r>
      <w:r>
        <w:rPr>
          <w:rFonts w:ascii="Times New Roman" w:hAnsi="Times New Roman" w:cs="Times New Roman"/>
          <w:spacing w:val="-4"/>
          <w:w w:val="95"/>
        </w:rPr>
        <w:t>——中</w:t>
      </w:r>
      <w:r>
        <w:rPr>
          <w:rFonts w:ascii="Times New Roman" w:hAnsi="Times New Roman" w:cs="Times New Roman"/>
          <w:spacing w:val="-2"/>
          <w:position w:val="2"/>
        </w:rPr>
        <w:t>型车在参照点处的平均辐射噪声级，dB(A)；</w:t>
      </w:r>
    </w:p>
    <w:p w14:paraId="28645511">
      <w:pPr>
        <w:pStyle w:val="563"/>
        <w:ind w:firstLine="1200" w:firstLineChars="500"/>
        <w:jc w:val="both"/>
        <w:rPr>
          <w:rFonts w:ascii="Times New Roman" w:hAnsi="Times New Roman" w:cs="Times New Roman"/>
          <w:spacing w:val="-2"/>
          <w:position w:val="2"/>
        </w:rPr>
      </w:pPr>
      <w:r>
        <w:rPr>
          <w:rFonts w:ascii="Times New Roman" w:hAnsi="Times New Roman" w:cs="Times New Roman"/>
        </w:rPr>
        <w:pict>
          <v:shape id="_x0000_i1026" o:spt="75" type="#_x0000_t75" style="height:14.95pt;width:34.95pt;" filled="f" o:preferrelative="t" stroked="f" coordsize="21600,21600">
            <v:path/>
            <v:fill on="f" focussize="0,0"/>
            <v:stroke on="f" joinstyle="miter"/>
            <v:imagedata r:id="rId31" o:title=""/>
            <o:lock v:ext="edit" aspectratio="t"/>
            <w10:wrap type="none"/>
            <w10:anchorlock/>
          </v:shape>
        </w:pict>
      </w:r>
      <w:r>
        <w:rPr>
          <w:rFonts w:ascii="Times New Roman" w:hAnsi="Times New Roman" w:cs="Times New Roman"/>
        </w:rPr>
        <w:t>s</w:t>
      </w:r>
      <w:r>
        <w:rPr>
          <w:rFonts w:ascii="Times New Roman" w:hAnsi="Times New Roman" w:cs="Times New Roman"/>
          <w:spacing w:val="-4"/>
          <w:w w:val="95"/>
        </w:rPr>
        <w:t>——小</w:t>
      </w:r>
      <w:r>
        <w:rPr>
          <w:rFonts w:ascii="Times New Roman" w:hAnsi="Times New Roman" w:cs="Times New Roman"/>
          <w:spacing w:val="-2"/>
          <w:position w:val="2"/>
        </w:rPr>
        <w:t>型车在参照点处的平均辐射噪声级，dB(A)；</w:t>
      </w:r>
    </w:p>
    <w:p w14:paraId="2C2042AC">
      <w:pPr>
        <w:pStyle w:val="563"/>
        <w:spacing w:line="240" w:lineRule="auto"/>
        <w:ind w:firstLine="1180" w:firstLineChars="500"/>
        <w:jc w:val="both"/>
        <w:rPr>
          <w:rFonts w:ascii="Times New Roman" w:hAnsi="Times New Roman" w:cs="Times New Roman"/>
          <w:spacing w:val="-2"/>
          <w:position w:val="2"/>
          <w:szCs w:val="24"/>
        </w:rPr>
      </w:pPr>
      <w:r>
        <w:rPr>
          <w:rFonts w:ascii="Times New Roman" w:hAnsi="Times New Roman" w:eastAsia="Times New Roman" w:cs="Times New Roman"/>
          <w:i/>
          <w:spacing w:val="-2"/>
          <w:position w:val="2"/>
          <w:szCs w:val="24"/>
        </w:rPr>
        <w:t>v</w:t>
      </w:r>
      <w:r>
        <w:rPr>
          <w:rFonts w:ascii="Times New Roman" w:hAnsi="Times New Roman" w:eastAsia="Times New Roman" w:cs="Times New Roman"/>
          <w:spacing w:val="-2"/>
          <w:szCs w:val="24"/>
          <w:vertAlign w:val="subscript"/>
        </w:rPr>
        <w:t>l</w:t>
      </w:r>
      <w:r>
        <w:rPr>
          <w:rFonts w:ascii="Times New Roman" w:hAnsi="Times New Roman" w:eastAsia="Times New Roman" w:cs="Times New Roman"/>
          <w:spacing w:val="-2"/>
          <w:position w:val="2"/>
          <w:szCs w:val="24"/>
        </w:rPr>
        <w:t>——</w:t>
      </w:r>
      <w:r>
        <w:rPr>
          <w:rFonts w:ascii="Times New Roman" w:hAnsi="Times New Roman" w:cs="Times New Roman"/>
          <w:spacing w:val="-2"/>
          <w:position w:val="2"/>
          <w:szCs w:val="24"/>
        </w:rPr>
        <w:t>大型车的平均速度，</w:t>
      </w:r>
      <w:r>
        <w:rPr>
          <w:rFonts w:ascii="Times New Roman" w:hAnsi="Times New Roman" w:eastAsia="Times New Roman" w:cs="Times New Roman"/>
          <w:spacing w:val="-2"/>
          <w:position w:val="2"/>
          <w:szCs w:val="24"/>
        </w:rPr>
        <w:t>km/h</w:t>
      </w:r>
      <w:r>
        <w:rPr>
          <w:rFonts w:ascii="Times New Roman" w:hAnsi="Times New Roman" w:cs="Times New Roman"/>
          <w:spacing w:val="-2"/>
          <w:position w:val="2"/>
          <w:szCs w:val="24"/>
        </w:rPr>
        <w:t>；</w:t>
      </w:r>
    </w:p>
    <w:p w14:paraId="6CAA7DA0">
      <w:pPr>
        <w:pStyle w:val="563"/>
        <w:spacing w:line="240" w:lineRule="auto"/>
        <w:ind w:firstLine="1180" w:firstLineChars="500"/>
        <w:jc w:val="both"/>
        <w:rPr>
          <w:rFonts w:ascii="Times New Roman" w:hAnsi="Times New Roman" w:cs="Times New Roman"/>
          <w:spacing w:val="-2"/>
          <w:position w:val="2"/>
          <w:szCs w:val="24"/>
        </w:rPr>
      </w:pPr>
      <w:r>
        <w:rPr>
          <w:rFonts w:ascii="Times New Roman" w:hAnsi="Times New Roman" w:eastAsia="Times New Roman" w:cs="Times New Roman"/>
          <w:i/>
          <w:spacing w:val="-2"/>
          <w:position w:val="2"/>
          <w:szCs w:val="24"/>
        </w:rPr>
        <w:t>v</w:t>
      </w:r>
      <w:r>
        <w:rPr>
          <w:rFonts w:ascii="Times New Roman" w:hAnsi="Times New Roman" w:eastAsia="Times New Roman" w:cs="Times New Roman"/>
          <w:spacing w:val="-2"/>
          <w:szCs w:val="24"/>
          <w:vertAlign w:val="subscript"/>
        </w:rPr>
        <w:t>m</w:t>
      </w:r>
      <w:r>
        <w:rPr>
          <w:rFonts w:ascii="Times New Roman" w:hAnsi="Times New Roman" w:eastAsia="Times New Roman" w:cs="Times New Roman"/>
          <w:spacing w:val="-2"/>
          <w:position w:val="2"/>
          <w:szCs w:val="24"/>
        </w:rPr>
        <w:t>——</w:t>
      </w:r>
      <w:r>
        <w:rPr>
          <w:rFonts w:ascii="Times New Roman" w:hAnsi="Times New Roman" w:cs="Times New Roman"/>
          <w:spacing w:val="-2"/>
          <w:position w:val="2"/>
          <w:szCs w:val="24"/>
        </w:rPr>
        <w:t>中型车的平均速度，</w:t>
      </w:r>
      <w:r>
        <w:rPr>
          <w:rFonts w:ascii="Times New Roman" w:hAnsi="Times New Roman" w:eastAsia="Times New Roman" w:cs="Times New Roman"/>
          <w:spacing w:val="-2"/>
          <w:position w:val="2"/>
          <w:szCs w:val="24"/>
        </w:rPr>
        <w:t>km/h</w:t>
      </w:r>
      <w:r>
        <w:rPr>
          <w:rFonts w:ascii="Times New Roman" w:hAnsi="Times New Roman" w:cs="Times New Roman"/>
          <w:spacing w:val="-2"/>
          <w:position w:val="2"/>
          <w:szCs w:val="24"/>
        </w:rPr>
        <w:t>；</w:t>
      </w:r>
    </w:p>
    <w:p w14:paraId="63A2455B">
      <w:pPr>
        <w:pStyle w:val="563"/>
        <w:spacing w:line="240" w:lineRule="auto"/>
        <w:ind w:firstLine="1180" w:firstLineChars="500"/>
        <w:jc w:val="both"/>
        <w:rPr>
          <w:rFonts w:ascii="Times New Roman" w:hAnsi="Times New Roman" w:cs="Times New Roman"/>
          <w:spacing w:val="-2"/>
          <w:position w:val="2"/>
          <w:szCs w:val="24"/>
        </w:rPr>
      </w:pPr>
      <w:r>
        <w:rPr>
          <w:rFonts w:ascii="Times New Roman" w:hAnsi="Times New Roman" w:eastAsia="Times New Roman" w:cs="Times New Roman"/>
          <w:i/>
          <w:spacing w:val="-2"/>
          <w:position w:val="2"/>
          <w:szCs w:val="24"/>
        </w:rPr>
        <w:t>v</w:t>
      </w:r>
      <w:r>
        <w:rPr>
          <w:rFonts w:ascii="Times New Roman" w:hAnsi="Times New Roman" w:eastAsia="Times New Roman" w:cs="Times New Roman"/>
          <w:spacing w:val="-2"/>
          <w:szCs w:val="24"/>
          <w:vertAlign w:val="subscript"/>
        </w:rPr>
        <w:t>s</w:t>
      </w:r>
      <w:r>
        <w:rPr>
          <w:rFonts w:ascii="Times New Roman" w:hAnsi="Times New Roman" w:eastAsia="Times New Roman" w:cs="Times New Roman"/>
          <w:spacing w:val="-2"/>
          <w:position w:val="2"/>
          <w:szCs w:val="24"/>
        </w:rPr>
        <w:t>——</w:t>
      </w:r>
      <w:r>
        <w:rPr>
          <w:rFonts w:ascii="Times New Roman" w:hAnsi="Times New Roman" w:cs="Times New Roman"/>
          <w:spacing w:val="-2"/>
          <w:position w:val="2"/>
          <w:szCs w:val="24"/>
        </w:rPr>
        <w:t>小型车的平均速度，</w:t>
      </w:r>
      <w:r>
        <w:rPr>
          <w:rFonts w:ascii="Times New Roman" w:hAnsi="Times New Roman" w:eastAsia="Times New Roman" w:cs="Times New Roman"/>
          <w:spacing w:val="-2"/>
          <w:position w:val="2"/>
          <w:szCs w:val="24"/>
        </w:rPr>
        <w:t>km/h</w:t>
      </w:r>
      <w:r>
        <w:rPr>
          <w:rFonts w:ascii="Times New Roman" w:hAnsi="Times New Roman" w:cs="Times New Roman"/>
          <w:spacing w:val="-2"/>
          <w:position w:val="2"/>
          <w:szCs w:val="24"/>
        </w:rPr>
        <w:t>。</w:t>
      </w:r>
    </w:p>
    <w:p w14:paraId="634B92FE">
      <w:pPr>
        <w:pStyle w:val="563"/>
        <w:spacing w:line="240" w:lineRule="auto"/>
        <w:ind w:firstLine="656" w:firstLineChars="288"/>
        <w:jc w:val="both"/>
        <w:rPr>
          <w:rFonts w:ascii="Times New Roman" w:hAnsi="Times New Roman" w:cs="Times New Roman"/>
          <w:spacing w:val="-10"/>
          <w:w w:val="95"/>
        </w:rPr>
      </w:pPr>
      <w:r>
        <w:rPr>
          <w:rFonts w:ascii="Times New Roman" w:hAnsi="Times New Roman" w:cs="Times New Roman"/>
          <w:w w:val="95"/>
        </w:rPr>
        <w:t>各类型车平均车速计算方法参见附录</w:t>
      </w:r>
      <w:r>
        <w:rPr>
          <w:rFonts w:ascii="Times New Roman" w:hAnsi="Times New Roman" w:eastAsia="Times New Roman" w:cs="Times New Roman"/>
          <w:w w:val="95"/>
        </w:rPr>
        <w:t>C</w:t>
      </w:r>
      <w:r>
        <w:rPr>
          <w:rFonts w:ascii="Times New Roman" w:hAnsi="Times New Roman" w:cs="Times New Roman"/>
          <w:spacing w:val="-10"/>
          <w:w w:val="95"/>
        </w:rPr>
        <w:t>。</w:t>
      </w:r>
    </w:p>
    <w:p w14:paraId="6552F96E">
      <w:pPr>
        <w:pStyle w:val="563"/>
        <w:spacing w:line="240" w:lineRule="auto"/>
        <w:ind w:firstLine="599" w:firstLineChars="288"/>
        <w:jc w:val="both"/>
        <w:rPr>
          <w:rFonts w:ascii="Times New Roman" w:hAnsi="Times New Roman" w:cs="Times New Roman"/>
          <w:spacing w:val="-10"/>
          <w:w w:val="95"/>
        </w:rPr>
      </w:pPr>
    </w:p>
    <w:p w14:paraId="3B37E507">
      <w:pPr>
        <w:pStyle w:val="563"/>
        <w:ind w:firstLine="691" w:firstLineChars="288"/>
        <w:jc w:val="both"/>
        <w:rPr>
          <w:rFonts w:ascii="Times New Roman" w:hAnsi="Times New Roman" w:cs="Times New Roman"/>
        </w:rPr>
      </w:pPr>
      <w:r>
        <w:rPr>
          <w:rFonts w:ascii="Times New Roman" w:hAnsi="Times New Roman" w:cs="Times New Roman"/>
        </w:rPr>
        <w:t>当平均车速超出适用车速范围时，平均辐射噪声级</w:t>
      </w:r>
      <w:r>
        <w:rPr>
          <w:rFonts w:ascii="Times New Roman" w:hAnsi="Times New Roman" w:cs="Times New Roman"/>
        </w:rPr>
        <w:drawing>
          <wp:inline distT="0" distB="0" distL="0" distR="0">
            <wp:extent cx="501650" cy="298450"/>
            <wp:effectExtent l="0" t="0" r="0" b="63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01676" cy="298465"/>
                    </a:xfrm>
                    <a:prstGeom prst="rect">
                      <a:avLst/>
                    </a:prstGeom>
                  </pic:spPr>
                </pic:pic>
              </a:graphicData>
            </a:graphic>
          </wp:inline>
        </w:drawing>
      </w:r>
      <w:r>
        <w:rPr>
          <w:rFonts w:ascii="Times New Roman" w:hAnsi="Times New Roman" w:cs="Times New Roman"/>
        </w:rPr>
        <w:t>可采用类比调查或参考有关研究成果确定。根据上述公式，拟建项目各车型单车交通噪声源强计算表见表3.2-9。</w:t>
      </w:r>
    </w:p>
    <w:p w14:paraId="6A59FEE1">
      <w:pPr>
        <w:spacing w:line="360" w:lineRule="auto"/>
        <w:jc w:val="center"/>
        <w:rPr>
          <w:rFonts w:ascii="Times New Roman" w:hAnsi="Times New Roman" w:eastAsia="黑体" w:cs="Times New Roman"/>
          <w:bCs/>
        </w:rPr>
      </w:pPr>
      <w:r>
        <w:rPr>
          <w:rFonts w:ascii="Times New Roman" w:hAnsi="Times New Roman" w:eastAsia="黑体" w:cs="Times New Roman"/>
          <w:bCs/>
        </w:rPr>
        <w:t>表3.2-9  拟建项目各车型单车交通噪声源强</w:t>
      </w:r>
      <w:r>
        <w:rPr>
          <w:rFonts w:hint="eastAsia" w:ascii="Times New Roman" w:hAnsi="Times New Roman" w:eastAsia="黑体" w:cs="Times New Roman"/>
          <w:bCs/>
        </w:rPr>
        <w:t xml:space="preserve"> </w:t>
      </w:r>
      <w:r>
        <w:rPr>
          <w:rFonts w:ascii="Times New Roman" w:hAnsi="Times New Roman" w:eastAsia="黑体" w:cs="Times New Roman"/>
          <w:bCs/>
        </w:rPr>
        <w:t xml:space="preserve">  </w:t>
      </w:r>
      <w:r>
        <w:rPr>
          <w:rFonts w:hint="eastAsia" w:ascii="Times New Roman" w:hAnsi="Times New Roman" w:eastAsia="黑体" w:cs="Times New Roman"/>
          <w:bCs/>
        </w:rPr>
        <w:t>单位：</w:t>
      </w:r>
      <w:r>
        <w:rPr>
          <w:rFonts w:ascii="Times New Roman" w:hAnsi="Times New Roman" w:eastAsia="黑体" w:cs="Times New Roman"/>
          <w:bCs/>
        </w:rPr>
        <w:t>dB（A）</w:t>
      </w:r>
    </w:p>
    <w:tbl>
      <w:tblPr>
        <w:tblStyle w:val="16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446"/>
        <w:gridCol w:w="1445"/>
        <w:gridCol w:w="2025"/>
        <w:gridCol w:w="1878"/>
      </w:tblGrid>
      <w:tr w14:paraId="0916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17" w:type="pct"/>
            <w:vMerge w:val="restart"/>
            <w:vAlign w:val="center"/>
          </w:tcPr>
          <w:p w14:paraId="1993E691">
            <w:pPr>
              <w:spacing w:line="240" w:lineRule="exact"/>
              <w:jc w:val="center"/>
              <w:rPr>
                <w:rFonts w:ascii="Times New Roman" w:hAnsi="Times New Roman" w:cs="Times New Roman"/>
                <w:sz w:val="21"/>
                <w:szCs w:val="18"/>
              </w:rPr>
            </w:pPr>
            <w:r>
              <w:rPr>
                <w:rFonts w:ascii="Times New Roman" w:hAnsi="Times New Roman" w:cs="Times New Roman"/>
                <w:sz w:val="21"/>
                <w:szCs w:val="18"/>
              </w:rPr>
              <w:t>车型</w:t>
            </w:r>
          </w:p>
        </w:tc>
        <w:tc>
          <w:tcPr>
            <w:tcW w:w="1695" w:type="pct"/>
            <w:gridSpan w:val="2"/>
            <w:vAlign w:val="center"/>
          </w:tcPr>
          <w:p w14:paraId="5A010092">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车速（</w:t>
            </w:r>
            <w:r>
              <w:rPr>
                <w:rFonts w:ascii="Times New Roman" w:hAnsi="Times New Roman" w:cs="Times New Roman"/>
                <w:sz w:val="21"/>
                <w:szCs w:val="18"/>
              </w:rPr>
              <w:t>km/h）</w:t>
            </w:r>
          </w:p>
        </w:tc>
        <w:tc>
          <w:tcPr>
            <w:tcW w:w="2289" w:type="pct"/>
            <w:gridSpan w:val="2"/>
            <w:vAlign w:val="center"/>
          </w:tcPr>
          <w:p w14:paraId="737FCE35">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辐射声级（</w:t>
            </w:r>
            <w:r>
              <w:rPr>
                <w:rFonts w:ascii="Times New Roman" w:hAnsi="Times New Roman" w:cs="Times New Roman"/>
                <w:sz w:val="21"/>
                <w:szCs w:val="18"/>
              </w:rPr>
              <w:t>dB/A）</w:t>
            </w:r>
          </w:p>
        </w:tc>
      </w:tr>
      <w:tr w14:paraId="5D62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17" w:type="pct"/>
            <w:vMerge w:val="continue"/>
            <w:vAlign w:val="center"/>
          </w:tcPr>
          <w:p w14:paraId="47EC1C53">
            <w:pPr>
              <w:spacing w:line="240" w:lineRule="exact"/>
              <w:jc w:val="center"/>
              <w:rPr>
                <w:rFonts w:ascii="Times New Roman" w:hAnsi="Times New Roman" w:cs="Times New Roman"/>
                <w:sz w:val="21"/>
                <w:szCs w:val="18"/>
              </w:rPr>
            </w:pPr>
          </w:p>
        </w:tc>
        <w:tc>
          <w:tcPr>
            <w:tcW w:w="848" w:type="pct"/>
            <w:vAlign w:val="center"/>
          </w:tcPr>
          <w:p w14:paraId="48077E4F">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昼间</w:t>
            </w:r>
          </w:p>
        </w:tc>
        <w:tc>
          <w:tcPr>
            <w:tcW w:w="847" w:type="pct"/>
            <w:vAlign w:val="center"/>
          </w:tcPr>
          <w:p w14:paraId="62857497">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夜间</w:t>
            </w:r>
          </w:p>
        </w:tc>
        <w:tc>
          <w:tcPr>
            <w:tcW w:w="1187" w:type="pct"/>
            <w:vAlign w:val="center"/>
          </w:tcPr>
          <w:p w14:paraId="34D6A12B">
            <w:pPr>
              <w:spacing w:line="240" w:lineRule="exact"/>
              <w:jc w:val="center"/>
              <w:rPr>
                <w:rFonts w:ascii="Times New Roman" w:hAnsi="Times New Roman" w:cs="Times New Roman"/>
                <w:sz w:val="21"/>
                <w:szCs w:val="18"/>
              </w:rPr>
            </w:pPr>
            <w:r>
              <w:rPr>
                <w:rFonts w:ascii="Times New Roman" w:hAnsi="Times New Roman" w:cs="Times New Roman"/>
                <w:sz w:val="21"/>
                <w:szCs w:val="18"/>
              </w:rPr>
              <w:t>昼间</w:t>
            </w:r>
          </w:p>
        </w:tc>
        <w:tc>
          <w:tcPr>
            <w:tcW w:w="1102" w:type="pct"/>
            <w:vAlign w:val="center"/>
          </w:tcPr>
          <w:p w14:paraId="28F1C012">
            <w:pPr>
              <w:spacing w:line="240" w:lineRule="exact"/>
              <w:jc w:val="center"/>
              <w:rPr>
                <w:rFonts w:ascii="Times New Roman" w:hAnsi="Times New Roman" w:cs="Times New Roman"/>
                <w:sz w:val="21"/>
                <w:szCs w:val="18"/>
              </w:rPr>
            </w:pPr>
            <w:r>
              <w:rPr>
                <w:rFonts w:ascii="Times New Roman" w:hAnsi="Times New Roman" w:cs="Times New Roman"/>
                <w:sz w:val="21"/>
                <w:szCs w:val="18"/>
              </w:rPr>
              <w:t>夜间</w:t>
            </w:r>
          </w:p>
        </w:tc>
      </w:tr>
      <w:tr w14:paraId="1CC6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17" w:type="pct"/>
            <w:vAlign w:val="center"/>
          </w:tcPr>
          <w:p w14:paraId="1BE5BBC5">
            <w:pPr>
              <w:spacing w:line="240" w:lineRule="exact"/>
              <w:jc w:val="center"/>
              <w:rPr>
                <w:rFonts w:ascii="Times New Roman" w:hAnsi="Times New Roman" w:cs="Times New Roman"/>
                <w:sz w:val="21"/>
                <w:szCs w:val="18"/>
              </w:rPr>
            </w:pPr>
            <w:r>
              <w:rPr>
                <w:rFonts w:ascii="Times New Roman" w:hAnsi="Times New Roman" w:cs="Times New Roman"/>
                <w:sz w:val="21"/>
                <w:szCs w:val="18"/>
              </w:rPr>
              <w:t>小型车</w:t>
            </w:r>
          </w:p>
        </w:tc>
        <w:tc>
          <w:tcPr>
            <w:tcW w:w="848" w:type="pct"/>
            <w:vAlign w:val="center"/>
          </w:tcPr>
          <w:p w14:paraId="57613F32">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8</w:t>
            </w:r>
            <w:r>
              <w:rPr>
                <w:rFonts w:ascii="Times New Roman" w:hAnsi="Times New Roman" w:cs="Times New Roman"/>
                <w:sz w:val="21"/>
                <w:szCs w:val="18"/>
              </w:rPr>
              <w:t>0</w:t>
            </w:r>
          </w:p>
        </w:tc>
        <w:tc>
          <w:tcPr>
            <w:tcW w:w="847" w:type="pct"/>
            <w:vAlign w:val="center"/>
          </w:tcPr>
          <w:p w14:paraId="48C237B5">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7</w:t>
            </w:r>
            <w:r>
              <w:rPr>
                <w:rFonts w:ascii="Times New Roman" w:hAnsi="Times New Roman" w:cs="Times New Roman"/>
                <w:sz w:val="21"/>
                <w:szCs w:val="18"/>
              </w:rPr>
              <w:t>2</w:t>
            </w:r>
          </w:p>
        </w:tc>
        <w:tc>
          <w:tcPr>
            <w:tcW w:w="1187" w:type="pct"/>
            <w:vAlign w:val="center"/>
          </w:tcPr>
          <w:p w14:paraId="5DDFECB9">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7</w:t>
            </w:r>
            <w:r>
              <w:rPr>
                <w:rFonts w:ascii="Times New Roman" w:hAnsi="Times New Roman" w:cs="Times New Roman"/>
                <w:sz w:val="21"/>
                <w:szCs w:val="18"/>
              </w:rPr>
              <w:t>8.7</w:t>
            </w:r>
          </w:p>
        </w:tc>
        <w:tc>
          <w:tcPr>
            <w:tcW w:w="1102" w:type="pct"/>
            <w:vAlign w:val="center"/>
          </w:tcPr>
          <w:p w14:paraId="72896A78">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7</w:t>
            </w:r>
            <w:r>
              <w:rPr>
                <w:rFonts w:ascii="Times New Roman" w:hAnsi="Times New Roman" w:cs="Times New Roman"/>
                <w:sz w:val="21"/>
                <w:szCs w:val="18"/>
              </w:rPr>
              <w:t>7.1</w:t>
            </w:r>
          </w:p>
        </w:tc>
      </w:tr>
      <w:tr w14:paraId="4916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17" w:type="pct"/>
            <w:vAlign w:val="center"/>
          </w:tcPr>
          <w:p w14:paraId="019EDD48">
            <w:pPr>
              <w:spacing w:line="240" w:lineRule="exact"/>
              <w:jc w:val="center"/>
              <w:rPr>
                <w:rFonts w:ascii="Times New Roman" w:hAnsi="Times New Roman" w:cs="Times New Roman"/>
                <w:sz w:val="21"/>
                <w:szCs w:val="18"/>
              </w:rPr>
            </w:pPr>
            <w:r>
              <w:rPr>
                <w:rFonts w:ascii="Times New Roman" w:hAnsi="Times New Roman" w:cs="Times New Roman"/>
                <w:sz w:val="21"/>
                <w:szCs w:val="18"/>
              </w:rPr>
              <w:t>中型车</w:t>
            </w:r>
          </w:p>
        </w:tc>
        <w:tc>
          <w:tcPr>
            <w:tcW w:w="848" w:type="pct"/>
            <w:vAlign w:val="center"/>
          </w:tcPr>
          <w:p w14:paraId="469BD10C">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6</w:t>
            </w:r>
            <w:r>
              <w:rPr>
                <w:rFonts w:ascii="Times New Roman" w:hAnsi="Times New Roman" w:cs="Times New Roman"/>
                <w:sz w:val="21"/>
                <w:szCs w:val="18"/>
              </w:rPr>
              <w:t>5</w:t>
            </w:r>
          </w:p>
        </w:tc>
        <w:tc>
          <w:tcPr>
            <w:tcW w:w="847" w:type="pct"/>
            <w:vAlign w:val="center"/>
          </w:tcPr>
          <w:p w14:paraId="62AF948C">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5</w:t>
            </w:r>
            <w:r>
              <w:rPr>
                <w:rFonts w:ascii="Times New Roman" w:hAnsi="Times New Roman" w:cs="Times New Roman"/>
                <w:sz w:val="21"/>
                <w:szCs w:val="18"/>
              </w:rPr>
              <w:t>8</w:t>
            </w:r>
          </w:p>
        </w:tc>
        <w:tc>
          <w:tcPr>
            <w:tcW w:w="1187" w:type="pct"/>
            <w:vAlign w:val="center"/>
          </w:tcPr>
          <w:p w14:paraId="04E2A657">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8</w:t>
            </w:r>
            <w:r>
              <w:rPr>
                <w:rFonts w:ascii="Times New Roman" w:hAnsi="Times New Roman" w:cs="Times New Roman"/>
                <w:sz w:val="21"/>
                <w:szCs w:val="18"/>
              </w:rPr>
              <w:t>2.2</w:t>
            </w:r>
          </w:p>
        </w:tc>
        <w:tc>
          <w:tcPr>
            <w:tcW w:w="1102" w:type="pct"/>
            <w:vAlign w:val="center"/>
          </w:tcPr>
          <w:p w14:paraId="0614052A">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8</w:t>
            </w:r>
            <w:r>
              <w:rPr>
                <w:rFonts w:ascii="Times New Roman" w:hAnsi="Times New Roman" w:cs="Times New Roman"/>
                <w:sz w:val="21"/>
                <w:szCs w:val="18"/>
              </w:rPr>
              <w:t>0.2</w:t>
            </w:r>
          </w:p>
        </w:tc>
      </w:tr>
      <w:tr w14:paraId="46AA3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17" w:type="pct"/>
            <w:vAlign w:val="center"/>
          </w:tcPr>
          <w:p w14:paraId="0DB01401">
            <w:pPr>
              <w:spacing w:line="240" w:lineRule="exact"/>
              <w:jc w:val="center"/>
              <w:rPr>
                <w:rFonts w:ascii="Times New Roman" w:hAnsi="Times New Roman" w:cs="Times New Roman"/>
                <w:sz w:val="21"/>
                <w:szCs w:val="18"/>
              </w:rPr>
            </w:pPr>
            <w:r>
              <w:rPr>
                <w:rFonts w:ascii="Times New Roman" w:hAnsi="Times New Roman" w:cs="Times New Roman"/>
                <w:sz w:val="21"/>
                <w:szCs w:val="18"/>
              </w:rPr>
              <w:t>大型车</w:t>
            </w:r>
          </w:p>
        </w:tc>
        <w:tc>
          <w:tcPr>
            <w:tcW w:w="848" w:type="pct"/>
            <w:vAlign w:val="center"/>
          </w:tcPr>
          <w:p w14:paraId="36FC1AFE">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6</w:t>
            </w:r>
            <w:r>
              <w:rPr>
                <w:rFonts w:ascii="Times New Roman" w:hAnsi="Times New Roman" w:cs="Times New Roman"/>
                <w:sz w:val="21"/>
                <w:szCs w:val="18"/>
              </w:rPr>
              <w:t>5</w:t>
            </w:r>
          </w:p>
        </w:tc>
        <w:tc>
          <w:tcPr>
            <w:tcW w:w="847" w:type="pct"/>
            <w:vAlign w:val="center"/>
          </w:tcPr>
          <w:p w14:paraId="00A457B2">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5</w:t>
            </w:r>
            <w:r>
              <w:rPr>
                <w:rFonts w:ascii="Times New Roman" w:hAnsi="Times New Roman" w:cs="Times New Roman"/>
                <w:sz w:val="21"/>
                <w:szCs w:val="18"/>
              </w:rPr>
              <w:t>8</w:t>
            </w:r>
          </w:p>
        </w:tc>
        <w:tc>
          <w:tcPr>
            <w:tcW w:w="1187" w:type="pct"/>
            <w:vAlign w:val="center"/>
          </w:tcPr>
          <w:p w14:paraId="3BC4FDD6">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8</w:t>
            </w:r>
            <w:r>
              <w:rPr>
                <w:rFonts w:ascii="Times New Roman" w:hAnsi="Times New Roman" w:cs="Times New Roman"/>
                <w:sz w:val="21"/>
                <w:szCs w:val="18"/>
              </w:rPr>
              <w:t>7.8</w:t>
            </w:r>
          </w:p>
        </w:tc>
        <w:tc>
          <w:tcPr>
            <w:tcW w:w="1102" w:type="pct"/>
            <w:vAlign w:val="center"/>
          </w:tcPr>
          <w:p w14:paraId="0F4AE119">
            <w:pPr>
              <w:spacing w:line="240" w:lineRule="exact"/>
              <w:jc w:val="center"/>
              <w:rPr>
                <w:rFonts w:ascii="Times New Roman" w:hAnsi="Times New Roman" w:cs="Times New Roman"/>
                <w:sz w:val="21"/>
                <w:szCs w:val="18"/>
              </w:rPr>
            </w:pPr>
            <w:r>
              <w:rPr>
                <w:rFonts w:hint="eastAsia" w:ascii="Times New Roman" w:hAnsi="Times New Roman" w:cs="Times New Roman"/>
                <w:sz w:val="21"/>
                <w:szCs w:val="18"/>
              </w:rPr>
              <w:t>8</w:t>
            </w:r>
            <w:r>
              <w:rPr>
                <w:rFonts w:ascii="Times New Roman" w:hAnsi="Times New Roman" w:cs="Times New Roman"/>
                <w:sz w:val="21"/>
                <w:szCs w:val="18"/>
              </w:rPr>
              <w:t>6.0</w:t>
            </w:r>
          </w:p>
        </w:tc>
      </w:tr>
    </w:tbl>
    <w:p w14:paraId="0C5956D2">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3.2.3.4 固体废物</w:t>
      </w:r>
    </w:p>
    <w:p w14:paraId="5A6465A4">
      <w:pPr>
        <w:spacing w:line="360" w:lineRule="auto"/>
        <w:ind w:firstLine="480" w:firstLineChars="200"/>
        <w:jc w:val="both"/>
        <w:rPr>
          <w:rFonts w:ascii="Times New Roman" w:hAnsi="Times New Roman" w:cs="Times New Roman"/>
        </w:rPr>
      </w:pPr>
      <w:r>
        <w:rPr>
          <w:rFonts w:hint="eastAsia" w:ascii="Times New Roman" w:hAnsi="Times New Roman" w:cs="Times New Roman"/>
        </w:rPr>
        <w:t>本项目不涉及收费站、服务区等辅助设施，不产生固体废物，但会有少量司乘人员生活垃圾，需加强宣传教育，不随地乱弃；公路养护产生的少量沥青废渣，送至具有废旧沥青回收处理资质的单位进行处理；路面垃圾由环卫工人对道路及时进行清理。</w:t>
      </w:r>
    </w:p>
    <w:p w14:paraId="589C3CFD">
      <w:pPr>
        <w:pStyle w:val="5"/>
        <w:snapToGrid w:val="0"/>
        <w:spacing w:before="156" w:after="156" w:line="240" w:lineRule="auto"/>
        <w:rPr>
          <w:rFonts w:ascii="Times New Roman" w:hAnsi="Times New Roman" w:cs="Times New Roman"/>
          <w:i w:val="0"/>
        </w:rPr>
      </w:pPr>
      <w:r>
        <w:rPr>
          <w:rFonts w:hint="eastAsia" w:ascii="Times New Roman" w:hAnsi="Times New Roman" w:cs="Times New Roman"/>
          <w:i w:val="0"/>
        </w:rPr>
        <w:t>3</w:t>
      </w:r>
      <w:r>
        <w:rPr>
          <w:rFonts w:ascii="Times New Roman" w:hAnsi="Times New Roman" w:cs="Times New Roman"/>
          <w:i w:val="0"/>
        </w:rPr>
        <w:t>.2.3.5 事故风险分析</w:t>
      </w:r>
    </w:p>
    <w:p w14:paraId="7CDC8BC6">
      <w:pPr>
        <w:spacing w:line="360" w:lineRule="auto"/>
        <w:ind w:firstLine="480" w:firstLineChars="200"/>
        <w:jc w:val="both"/>
        <w:rPr>
          <w:rFonts w:ascii="Times New Roman" w:hAnsi="Times New Roman" w:cs="Times New Roman"/>
        </w:rPr>
      </w:pPr>
      <w:r>
        <w:rPr>
          <w:rFonts w:hint="eastAsia" w:ascii="Times New Roman" w:hAnsi="Times New Roman" w:cs="Times New Roman"/>
        </w:rPr>
        <w:t>装载有毒、有害物质的车辆因交通事故泄露或洒落后若排到附近水体将污染附近地表水体的局部水域。</w:t>
      </w:r>
    </w:p>
    <w:p w14:paraId="33EB3147">
      <w:pPr>
        <w:pStyle w:val="3"/>
        <w:adjustRightInd w:val="0"/>
        <w:snapToGrid w:val="0"/>
        <w:spacing w:before="156" w:after="156" w:line="240" w:lineRule="auto"/>
        <w:rPr>
          <w:rFonts w:ascii="Times New Roman" w:hAnsi="Times New Roman" w:cs="Times New Roman"/>
        </w:rPr>
      </w:pPr>
      <w:bookmarkStart w:id="379" w:name="_Toc187675418"/>
      <w:bookmarkStart w:id="380" w:name="_Toc57826730"/>
      <w:bookmarkStart w:id="381" w:name="_Toc34989565"/>
      <w:bookmarkStart w:id="382" w:name="_Toc515354391"/>
      <w:bookmarkStart w:id="383" w:name="_Toc316511050"/>
      <w:bookmarkStart w:id="384" w:name="_Toc381606002"/>
      <w:bookmarkStart w:id="385" w:name="_Toc316561641"/>
      <w:bookmarkStart w:id="386" w:name="_Toc236794423"/>
      <w:bookmarkStart w:id="387" w:name="_Toc98413528"/>
      <w:bookmarkStart w:id="388" w:name="_Toc4507852"/>
      <w:r>
        <w:rPr>
          <w:rFonts w:ascii="Times New Roman" w:hAnsi="Times New Roman" w:cs="Times New Roman"/>
        </w:rPr>
        <w:t>3.3选线选址环境合理性分析</w:t>
      </w:r>
      <w:bookmarkEnd w:id="379"/>
    </w:p>
    <w:p w14:paraId="60CE3E7E">
      <w:pPr>
        <w:pStyle w:val="4"/>
        <w:adjustRightInd w:val="0"/>
        <w:snapToGrid w:val="0"/>
        <w:spacing w:before="156" w:after="156" w:line="240" w:lineRule="auto"/>
        <w:rPr>
          <w:rFonts w:ascii="Times New Roman" w:hAnsi="Times New Roman" w:cs="Times New Roman"/>
          <w:sz w:val="30"/>
        </w:rPr>
      </w:pPr>
      <w:r>
        <w:rPr>
          <w:rFonts w:ascii="Times New Roman" w:hAnsi="Times New Roman" w:cs="Times New Roman"/>
          <w:sz w:val="30"/>
        </w:rPr>
        <w:t>3.3.1线路方案比选</w:t>
      </w:r>
    </w:p>
    <w:p w14:paraId="63404F79">
      <w:pPr>
        <w:spacing w:line="360" w:lineRule="auto"/>
        <w:ind w:firstLine="480"/>
        <w:jc w:val="both"/>
        <w:rPr>
          <w:lang w:bidi="ar"/>
        </w:rPr>
      </w:pPr>
      <w:r>
        <w:rPr>
          <w:rFonts w:hint="eastAsia"/>
          <w:lang w:bidi="ar"/>
        </w:rPr>
        <w:t>因本项目路线里程较短，路线走向基本唯一，仅在终点路段可选取备选方案进行比选。</w:t>
      </w:r>
    </w:p>
    <w:p w14:paraId="3535BDC8">
      <w:pPr>
        <w:spacing w:line="360" w:lineRule="auto"/>
        <w:ind w:firstLine="480"/>
        <w:jc w:val="both"/>
        <w:rPr>
          <w:lang w:bidi="ar"/>
        </w:rPr>
      </w:pPr>
      <w:r>
        <w:rPr>
          <w:lang w:bidi="ar"/>
        </w:rPr>
        <w:t>本项目在路线起点确定后，结合沿线主要地形、地貌及地质情况，拟定</w:t>
      </w:r>
      <w:r>
        <w:rPr>
          <w:rFonts w:hint="eastAsia"/>
          <w:lang w:bidi="ar"/>
        </w:rPr>
        <w:t>K、</w:t>
      </w:r>
      <w:r>
        <w:rPr>
          <w:lang w:bidi="ar"/>
        </w:rPr>
        <w:t>A、K+</w:t>
      </w:r>
      <w:r>
        <w:rPr>
          <w:rFonts w:hint="eastAsia"/>
          <w:lang w:bidi="ar"/>
        </w:rPr>
        <w:t>E三个</w:t>
      </w:r>
      <w:r>
        <w:rPr>
          <w:lang w:bidi="ar"/>
        </w:rPr>
        <w:t>路线方案。其中K方案为</w:t>
      </w:r>
      <w:r>
        <w:rPr>
          <w:rFonts w:hint="eastAsia"/>
          <w:lang w:bidi="ar"/>
        </w:rPr>
        <w:t>拟选线路方案</w:t>
      </w:r>
      <w:r>
        <w:rPr>
          <w:lang w:bidi="ar"/>
        </w:rPr>
        <w:t>，A、K+E</w:t>
      </w:r>
      <w:r>
        <w:rPr>
          <w:rFonts w:hint="eastAsia"/>
          <w:lang w:bidi="ar"/>
        </w:rPr>
        <w:t>方案</w:t>
      </w:r>
      <w:r>
        <w:rPr>
          <w:lang w:bidi="ar"/>
        </w:rPr>
        <w:t>为比较方案。</w:t>
      </w:r>
    </w:p>
    <w:p w14:paraId="69BE7FEA">
      <w:pPr>
        <w:spacing w:line="360" w:lineRule="auto"/>
        <w:ind w:firstLine="480"/>
        <w:jc w:val="both"/>
      </w:pPr>
      <w:r>
        <w:rPr>
          <w:rFonts w:hint="eastAsia"/>
          <w:lang w:bidi="ar"/>
        </w:rPr>
        <w:t>本项目线路走向方案示意图见图</w:t>
      </w:r>
      <w:r>
        <w:rPr>
          <w:lang w:bidi="ar"/>
        </w:rPr>
        <w:t>3.3-1。路线方案比选布设统计见表3.3-1。</w:t>
      </w:r>
    </w:p>
    <w:p w14:paraId="4C3E212E">
      <w:pPr>
        <w:spacing w:before="156" w:beforeLines="50" w:line="560" w:lineRule="exact"/>
        <w:ind w:firstLine="463" w:firstLineChars="192"/>
        <w:jc w:val="center"/>
        <w:rPr>
          <w:b/>
          <w:sz w:val="21"/>
          <w:szCs w:val="21"/>
        </w:rPr>
      </w:pPr>
      <w:r>
        <w:rPr>
          <w:b/>
          <w:szCs w:val="21"/>
        </w:rPr>
        <w:t>表3.</w:t>
      </w:r>
      <w:r>
        <w:rPr>
          <w:rFonts w:hint="eastAsia"/>
          <w:b/>
          <w:szCs w:val="21"/>
        </w:rPr>
        <w:t>3</w:t>
      </w:r>
      <w:r>
        <w:rPr>
          <w:b/>
          <w:szCs w:val="21"/>
        </w:rPr>
        <w:t>-1比选方案一览表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1276"/>
        <w:gridCol w:w="3402"/>
        <w:gridCol w:w="2891"/>
      </w:tblGrid>
      <w:tr w14:paraId="7E879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959" w:type="dxa"/>
            <w:vAlign w:val="center"/>
          </w:tcPr>
          <w:p w14:paraId="068BAE24">
            <w:pPr>
              <w:spacing w:before="156" w:beforeLines="50"/>
              <w:jc w:val="center"/>
              <w:rPr>
                <w:bCs/>
                <w:sz w:val="21"/>
                <w:szCs w:val="18"/>
              </w:rPr>
            </w:pPr>
            <w:r>
              <w:rPr>
                <w:rFonts w:hint="eastAsia"/>
                <w:bCs/>
                <w:sz w:val="21"/>
                <w:szCs w:val="18"/>
              </w:rPr>
              <w:t>序号</w:t>
            </w:r>
          </w:p>
        </w:tc>
        <w:tc>
          <w:tcPr>
            <w:tcW w:w="1276" w:type="dxa"/>
            <w:vAlign w:val="center"/>
          </w:tcPr>
          <w:p w14:paraId="37A4590B">
            <w:pPr>
              <w:spacing w:before="156" w:beforeLines="50"/>
              <w:jc w:val="center"/>
              <w:rPr>
                <w:bCs/>
                <w:sz w:val="21"/>
                <w:szCs w:val="18"/>
              </w:rPr>
            </w:pPr>
            <w:r>
              <w:rPr>
                <w:rFonts w:hint="eastAsia"/>
                <w:bCs/>
                <w:sz w:val="21"/>
                <w:szCs w:val="18"/>
              </w:rPr>
              <w:t>方案名称</w:t>
            </w:r>
          </w:p>
        </w:tc>
        <w:tc>
          <w:tcPr>
            <w:tcW w:w="3402" w:type="dxa"/>
            <w:vAlign w:val="center"/>
          </w:tcPr>
          <w:p w14:paraId="36F8DD27">
            <w:pPr>
              <w:spacing w:before="156" w:beforeLines="50"/>
              <w:jc w:val="center"/>
              <w:rPr>
                <w:bCs/>
                <w:sz w:val="21"/>
                <w:szCs w:val="18"/>
              </w:rPr>
            </w:pPr>
            <w:r>
              <w:rPr>
                <w:rFonts w:hint="eastAsia"/>
                <w:bCs/>
                <w:sz w:val="21"/>
                <w:szCs w:val="18"/>
              </w:rPr>
              <w:t>里程桩号</w:t>
            </w:r>
          </w:p>
        </w:tc>
        <w:tc>
          <w:tcPr>
            <w:tcW w:w="2891" w:type="dxa"/>
            <w:vAlign w:val="center"/>
          </w:tcPr>
          <w:p w14:paraId="0448F910">
            <w:pPr>
              <w:spacing w:before="156" w:beforeLines="50"/>
              <w:jc w:val="center"/>
              <w:rPr>
                <w:bCs/>
                <w:sz w:val="21"/>
                <w:szCs w:val="18"/>
              </w:rPr>
            </w:pPr>
            <w:r>
              <w:rPr>
                <w:bCs/>
                <w:sz w:val="21"/>
                <w:szCs w:val="18"/>
              </w:rPr>
              <w:t>路线长度（km）</w:t>
            </w:r>
          </w:p>
        </w:tc>
      </w:tr>
      <w:tr w14:paraId="661FF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959" w:type="dxa"/>
            <w:vAlign w:val="center"/>
          </w:tcPr>
          <w:p w14:paraId="31C95A4A">
            <w:pPr>
              <w:spacing w:before="156" w:beforeLines="50"/>
              <w:jc w:val="center"/>
              <w:rPr>
                <w:bCs/>
                <w:sz w:val="21"/>
                <w:szCs w:val="18"/>
              </w:rPr>
            </w:pPr>
            <w:r>
              <w:rPr>
                <w:rFonts w:hint="eastAsia"/>
                <w:bCs/>
                <w:sz w:val="21"/>
                <w:szCs w:val="18"/>
              </w:rPr>
              <w:t>1</w:t>
            </w:r>
          </w:p>
        </w:tc>
        <w:tc>
          <w:tcPr>
            <w:tcW w:w="1276" w:type="dxa"/>
            <w:vAlign w:val="center"/>
          </w:tcPr>
          <w:p w14:paraId="14998D72">
            <w:pPr>
              <w:spacing w:before="156" w:beforeLines="50"/>
              <w:jc w:val="center"/>
              <w:rPr>
                <w:bCs/>
                <w:sz w:val="21"/>
                <w:szCs w:val="18"/>
              </w:rPr>
            </w:pPr>
            <w:r>
              <w:rPr>
                <w:bCs/>
                <w:sz w:val="21"/>
                <w:szCs w:val="18"/>
              </w:rPr>
              <w:t>K</w:t>
            </w:r>
            <w:r>
              <w:rPr>
                <w:rFonts w:hint="eastAsia"/>
                <w:bCs/>
                <w:sz w:val="21"/>
                <w:szCs w:val="18"/>
              </w:rPr>
              <w:t>线</w:t>
            </w:r>
          </w:p>
        </w:tc>
        <w:tc>
          <w:tcPr>
            <w:tcW w:w="3402" w:type="dxa"/>
            <w:vAlign w:val="center"/>
          </w:tcPr>
          <w:p w14:paraId="61D4099B">
            <w:pPr>
              <w:pStyle w:val="2494"/>
              <w:topLinePunct/>
              <w:autoSpaceDN w:val="0"/>
              <w:snapToGrid w:val="0"/>
              <w:ind w:left="432"/>
              <w:jc w:val="center"/>
              <w:rPr>
                <w:sz w:val="21"/>
                <w:szCs w:val="18"/>
              </w:rPr>
            </w:pPr>
            <w:r>
              <w:rPr>
                <w:rFonts w:hint="eastAsia"/>
                <w:sz w:val="21"/>
                <w:szCs w:val="18"/>
              </w:rPr>
              <w:t xml:space="preserve">K0+000～K33+453 </w:t>
            </w:r>
          </w:p>
        </w:tc>
        <w:tc>
          <w:tcPr>
            <w:tcW w:w="2891" w:type="dxa"/>
            <w:vAlign w:val="center"/>
          </w:tcPr>
          <w:p w14:paraId="1E816C2F">
            <w:pPr>
              <w:pStyle w:val="2494"/>
              <w:topLinePunct/>
              <w:autoSpaceDN w:val="0"/>
              <w:snapToGrid w:val="0"/>
              <w:rPr>
                <w:sz w:val="21"/>
                <w:szCs w:val="18"/>
              </w:rPr>
            </w:pPr>
            <w:r>
              <w:rPr>
                <w:rFonts w:hint="eastAsia"/>
                <w:sz w:val="21"/>
                <w:szCs w:val="18"/>
              </w:rPr>
              <w:t>33.453（实际建设里程32.658）</w:t>
            </w:r>
          </w:p>
        </w:tc>
      </w:tr>
      <w:tr w14:paraId="52C51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959" w:type="dxa"/>
            <w:vAlign w:val="center"/>
          </w:tcPr>
          <w:p w14:paraId="736BA9EF">
            <w:pPr>
              <w:spacing w:before="156" w:beforeLines="50"/>
              <w:jc w:val="center"/>
              <w:rPr>
                <w:bCs/>
                <w:sz w:val="21"/>
                <w:szCs w:val="18"/>
              </w:rPr>
            </w:pPr>
            <w:r>
              <w:rPr>
                <w:rFonts w:hint="eastAsia"/>
                <w:bCs/>
                <w:sz w:val="21"/>
                <w:szCs w:val="18"/>
              </w:rPr>
              <w:t>2</w:t>
            </w:r>
          </w:p>
        </w:tc>
        <w:tc>
          <w:tcPr>
            <w:tcW w:w="1276" w:type="dxa"/>
            <w:vAlign w:val="center"/>
          </w:tcPr>
          <w:p w14:paraId="04633CD9">
            <w:pPr>
              <w:spacing w:before="156" w:beforeLines="50"/>
              <w:jc w:val="center"/>
              <w:rPr>
                <w:bCs/>
                <w:sz w:val="21"/>
                <w:szCs w:val="18"/>
              </w:rPr>
            </w:pPr>
            <w:r>
              <w:rPr>
                <w:bCs/>
                <w:sz w:val="21"/>
                <w:szCs w:val="18"/>
              </w:rPr>
              <w:t>A</w:t>
            </w:r>
            <w:r>
              <w:rPr>
                <w:rFonts w:hint="eastAsia"/>
                <w:bCs/>
                <w:sz w:val="21"/>
                <w:szCs w:val="18"/>
              </w:rPr>
              <w:t>线</w:t>
            </w:r>
          </w:p>
        </w:tc>
        <w:tc>
          <w:tcPr>
            <w:tcW w:w="3402" w:type="dxa"/>
            <w:vAlign w:val="center"/>
          </w:tcPr>
          <w:p w14:paraId="6E221098">
            <w:pPr>
              <w:pStyle w:val="2494"/>
              <w:topLinePunct/>
              <w:autoSpaceDN w:val="0"/>
              <w:snapToGrid w:val="0"/>
              <w:ind w:left="432"/>
              <w:jc w:val="center"/>
              <w:rPr>
                <w:sz w:val="21"/>
                <w:szCs w:val="18"/>
              </w:rPr>
            </w:pPr>
            <w:r>
              <w:rPr>
                <w:rFonts w:hint="eastAsia"/>
                <w:sz w:val="21"/>
                <w:szCs w:val="18"/>
              </w:rPr>
              <w:t>AK0+000～AK33+004</w:t>
            </w:r>
          </w:p>
        </w:tc>
        <w:tc>
          <w:tcPr>
            <w:tcW w:w="2891" w:type="dxa"/>
            <w:vAlign w:val="center"/>
          </w:tcPr>
          <w:p w14:paraId="2BE3872A">
            <w:pPr>
              <w:spacing w:before="156" w:beforeLines="50"/>
              <w:jc w:val="center"/>
              <w:rPr>
                <w:bCs/>
                <w:sz w:val="21"/>
                <w:szCs w:val="18"/>
              </w:rPr>
            </w:pPr>
            <w:r>
              <w:rPr>
                <w:bCs/>
                <w:sz w:val="21"/>
                <w:szCs w:val="18"/>
              </w:rPr>
              <w:t>33.004</w:t>
            </w:r>
          </w:p>
        </w:tc>
      </w:tr>
      <w:tr w14:paraId="78C89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959" w:type="dxa"/>
            <w:vAlign w:val="center"/>
          </w:tcPr>
          <w:p w14:paraId="6E3B2A23">
            <w:pPr>
              <w:spacing w:before="156" w:beforeLines="50"/>
              <w:jc w:val="center"/>
              <w:rPr>
                <w:bCs/>
                <w:sz w:val="21"/>
                <w:szCs w:val="18"/>
              </w:rPr>
            </w:pPr>
            <w:r>
              <w:rPr>
                <w:rFonts w:hint="eastAsia"/>
                <w:bCs/>
                <w:sz w:val="21"/>
                <w:szCs w:val="18"/>
              </w:rPr>
              <w:t>3</w:t>
            </w:r>
          </w:p>
        </w:tc>
        <w:tc>
          <w:tcPr>
            <w:tcW w:w="1276" w:type="dxa"/>
            <w:vAlign w:val="center"/>
          </w:tcPr>
          <w:p w14:paraId="6ECC687D">
            <w:pPr>
              <w:spacing w:before="156" w:beforeLines="50"/>
              <w:jc w:val="center"/>
              <w:rPr>
                <w:bCs/>
                <w:sz w:val="21"/>
                <w:szCs w:val="18"/>
              </w:rPr>
            </w:pPr>
            <w:r>
              <w:rPr>
                <w:rFonts w:hint="eastAsia"/>
                <w:bCs/>
                <w:sz w:val="21"/>
                <w:szCs w:val="18"/>
              </w:rPr>
              <w:t>K+E 线</w:t>
            </w:r>
          </w:p>
        </w:tc>
        <w:tc>
          <w:tcPr>
            <w:tcW w:w="3402" w:type="dxa"/>
            <w:vAlign w:val="center"/>
          </w:tcPr>
          <w:p w14:paraId="32D17347">
            <w:pPr>
              <w:pStyle w:val="2494"/>
              <w:topLinePunct/>
              <w:autoSpaceDN w:val="0"/>
              <w:snapToGrid w:val="0"/>
              <w:ind w:left="432"/>
              <w:jc w:val="center"/>
              <w:rPr>
                <w:sz w:val="21"/>
                <w:szCs w:val="18"/>
              </w:rPr>
            </w:pPr>
            <w:r>
              <w:rPr>
                <w:rFonts w:hint="eastAsia"/>
                <w:sz w:val="21"/>
                <w:szCs w:val="18"/>
              </w:rPr>
              <w:t xml:space="preserve">K0+000～K13+600, </w:t>
            </w:r>
          </w:p>
          <w:p w14:paraId="28404BFA">
            <w:pPr>
              <w:pStyle w:val="2494"/>
              <w:topLinePunct/>
              <w:autoSpaceDN w:val="0"/>
              <w:snapToGrid w:val="0"/>
              <w:ind w:left="432"/>
              <w:jc w:val="center"/>
              <w:rPr>
                <w:sz w:val="21"/>
                <w:szCs w:val="18"/>
              </w:rPr>
            </w:pPr>
            <w:r>
              <w:rPr>
                <w:rFonts w:hint="eastAsia"/>
                <w:sz w:val="21"/>
                <w:szCs w:val="18"/>
              </w:rPr>
              <w:t>EK13+600～EK32+210.585</w:t>
            </w:r>
          </w:p>
        </w:tc>
        <w:tc>
          <w:tcPr>
            <w:tcW w:w="2891" w:type="dxa"/>
            <w:vAlign w:val="center"/>
          </w:tcPr>
          <w:p w14:paraId="45AF7FD9">
            <w:pPr>
              <w:spacing w:before="156" w:beforeLines="50"/>
              <w:rPr>
                <w:bCs/>
                <w:sz w:val="21"/>
                <w:szCs w:val="18"/>
              </w:rPr>
            </w:pPr>
            <w:r>
              <w:rPr>
                <w:rFonts w:hint="eastAsia"/>
                <w:bCs/>
                <w:sz w:val="21"/>
                <w:szCs w:val="18"/>
              </w:rPr>
              <w:t>32.211（实际建设里程31.416）</w:t>
            </w:r>
          </w:p>
        </w:tc>
      </w:tr>
    </w:tbl>
    <w:p w14:paraId="41C9D6A3">
      <w:pPr>
        <w:spacing w:line="360" w:lineRule="auto"/>
        <w:jc w:val="center"/>
        <w:rPr>
          <w:rFonts w:ascii="Times New Roman" w:hAnsi="Times New Roman" w:cs="Times New Roman"/>
          <w:b/>
        </w:rPr>
      </w:pPr>
    </w:p>
    <w:p w14:paraId="773BF744">
      <w:pPr>
        <w:spacing w:line="360" w:lineRule="auto"/>
        <w:ind w:firstLine="482" w:firstLineChars="200"/>
        <w:jc w:val="center"/>
        <w:rPr>
          <w:rFonts w:ascii="Times New Roman" w:hAnsi="Times New Roman" w:cs="Times New Roman"/>
          <w:b/>
        </w:rPr>
      </w:pPr>
      <w:r>
        <w:rPr>
          <w:rFonts w:hint="eastAsia" w:ascii="Times New Roman" w:hAnsi="Times New Roman" w:cs="Times New Roman"/>
          <w:b/>
        </w:rPr>
        <w:t>图3</w:t>
      </w:r>
      <w:r>
        <w:rPr>
          <w:rFonts w:ascii="Times New Roman" w:hAnsi="Times New Roman" w:cs="Times New Roman"/>
          <w:b/>
        </w:rPr>
        <w:t xml:space="preserve">.3-2  </w:t>
      </w:r>
      <w:r>
        <w:rPr>
          <w:rFonts w:hint="eastAsia" w:ascii="Times New Roman" w:hAnsi="Times New Roman" w:cs="Times New Roman"/>
          <w:b/>
        </w:rPr>
        <w:t>路线比选方案一览图</w:t>
      </w:r>
    </w:p>
    <w:p w14:paraId="5289D38E">
      <w:pPr>
        <w:spacing w:line="360" w:lineRule="auto"/>
        <w:ind w:firstLine="48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K线方案：</w:t>
      </w:r>
    </w:p>
    <w:p w14:paraId="0C85BF23">
      <w:pPr>
        <w:spacing w:line="360" w:lineRule="auto"/>
        <w:ind w:firstLine="480" w:firstLineChars="200"/>
        <w:jc w:val="both"/>
        <w:rPr>
          <w:rFonts w:ascii="Times New Roman" w:hAnsi="Times New Roman" w:cs="Times New Roman"/>
        </w:rPr>
      </w:pPr>
      <w:r>
        <w:rPr>
          <w:rFonts w:hint="eastAsia" w:ascii="Times New Roman" w:hAnsi="Times New Roman" w:cs="Times New Roman"/>
        </w:rPr>
        <w:t>路线整体走向由东向西，起点位于</w:t>
      </w:r>
      <w:r>
        <w:rPr>
          <w:rFonts w:ascii="Times New Roman" w:hAnsi="Times New Roman" w:cs="Times New Roman"/>
        </w:rPr>
        <w:t>41团草湖镇西侧第八大道与广东大道（G3012-草</w:t>
      </w:r>
      <w:r>
        <w:rPr>
          <w:rFonts w:hint="eastAsia" w:ascii="Times New Roman" w:hAnsi="Times New Roman" w:cs="Times New Roman"/>
        </w:rPr>
        <w:t>湖</w:t>
      </w:r>
      <w:r>
        <w:rPr>
          <w:rFonts w:ascii="Times New Roman" w:hAnsi="Times New Roman" w:cs="Times New Roman"/>
        </w:rPr>
        <w:t>-G314 公路（G3012-草湖段））交叉处，完全利用第八大道后，向西南布设新线经</w:t>
      </w:r>
      <w:r>
        <w:rPr>
          <w:rFonts w:hint="eastAsia" w:ascii="Times New Roman" w:hAnsi="Times New Roman" w:cs="Times New Roman"/>
        </w:rPr>
        <w:t>过布拉克苏乡，设置平面交叉连接</w:t>
      </w:r>
      <w:r>
        <w:rPr>
          <w:rFonts w:ascii="Times New Roman" w:hAnsi="Times New Roman" w:cs="Times New Roman"/>
        </w:rPr>
        <w:t xml:space="preserve"> X434，继续向西在喀热开其克乡南侧、铁日木乡</w:t>
      </w:r>
      <w:r>
        <w:rPr>
          <w:rFonts w:hint="eastAsia" w:ascii="Times New Roman" w:hAnsi="Times New Roman" w:cs="Times New Roman"/>
        </w:rPr>
        <w:t>北侧新建桥梁跨越盖孜河进入乌帕尔镇，经乌帕尔镇</w:t>
      </w:r>
      <w:r>
        <w:rPr>
          <w:rFonts w:ascii="Times New Roman" w:hAnsi="Times New Roman" w:cs="Times New Roman"/>
        </w:rPr>
        <w:t xml:space="preserve"> 15 村、14 村、11 村、9 村，终</w:t>
      </w:r>
      <w:r>
        <w:rPr>
          <w:rFonts w:hint="eastAsia" w:ascii="Times New Roman" w:hAnsi="Times New Roman" w:cs="Times New Roman"/>
        </w:rPr>
        <w:t>点位于乌帕尔镇公安检查站南，波斯坦铁列克乡东侧接国道</w:t>
      </w:r>
      <w:r>
        <w:rPr>
          <w:rFonts w:ascii="Times New Roman" w:hAnsi="Times New Roman" w:cs="Times New Roman"/>
        </w:rPr>
        <w:t>G314</w:t>
      </w:r>
      <w:r>
        <w:rPr>
          <w:rFonts w:hint="eastAsia" w:ascii="Times New Roman" w:hAnsi="Times New Roman" w:cs="Times New Roman"/>
        </w:rPr>
        <w:t>。</w:t>
      </w:r>
    </w:p>
    <w:p w14:paraId="02025F4F">
      <w:pPr>
        <w:spacing w:line="360" w:lineRule="auto"/>
        <w:ind w:firstLine="480" w:firstLineChars="200"/>
        <w:jc w:val="both"/>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K线</w:t>
      </w:r>
      <w:r>
        <w:rPr>
          <w:rFonts w:hint="eastAsia" w:ascii="Times New Roman" w:hAnsi="Times New Roman" w:cs="Times New Roman"/>
        </w:rPr>
        <w:t>优点</w:t>
      </w:r>
      <w:r>
        <w:rPr>
          <w:rFonts w:ascii="Times New Roman" w:hAnsi="Times New Roman" w:cs="Times New Roman"/>
        </w:rPr>
        <w:t>。</w:t>
      </w:r>
    </w:p>
    <w:p w14:paraId="300F1904">
      <w:pPr>
        <w:spacing w:line="360" w:lineRule="auto"/>
        <w:ind w:firstLine="480" w:firstLineChars="200"/>
        <w:jc w:val="both"/>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K线方案起点处与第八大道等市政道路紧密衔接，实现了公路与草湖外环路的</w:t>
      </w:r>
      <w:r>
        <w:rPr>
          <w:rFonts w:hint="eastAsia" w:ascii="Times New Roman" w:hAnsi="Times New Roman" w:cs="Times New Roman"/>
        </w:rPr>
        <w:t>完美结合，同时按照规划团场预留线位布线，对构建团场骨架路网的形成，促进城镇化建设意义重大，有利于兵地融合发展；</w:t>
      </w:r>
      <w:r>
        <w:rPr>
          <w:rFonts w:ascii="Times New Roman" w:hAnsi="Times New Roman" w:cs="Times New Roman"/>
        </w:rPr>
        <w:t xml:space="preserve"> </w:t>
      </w:r>
    </w:p>
    <w:p w14:paraId="4E3F7496">
      <w:pPr>
        <w:spacing w:line="360" w:lineRule="auto"/>
        <w:ind w:firstLine="480" w:firstLineChars="200"/>
        <w:jc w:val="both"/>
        <w:rPr>
          <w:rFonts w:ascii="Times New Roman" w:hAnsi="Times New Roman" w:cs="Times New Roman"/>
        </w:rPr>
      </w:pPr>
      <w:r>
        <w:rPr>
          <w:rFonts w:hint="eastAsia" w:ascii="Times New Roman" w:hAnsi="Times New Roman" w:cs="Times New Roman"/>
        </w:rPr>
        <w:t>②符合路网总体规划，充分体现了规划的延续性与严谨性；同时，疏附县南部区域路网较为稀疏，对于增强路网密度意义重大；</w:t>
      </w:r>
      <w:r>
        <w:rPr>
          <w:rFonts w:ascii="Times New Roman" w:hAnsi="Times New Roman" w:cs="Times New Roman"/>
        </w:rPr>
        <w:t xml:space="preserve"> </w:t>
      </w:r>
    </w:p>
    <w:p w14:paraId="73688FEE">
      <w:pPr>
        <w:spacing w:line="360" w:lineRule="auto"/>
        <w:ind w:firstLine="480" w:firstLineChars="200"/>
        <w:jc w:val="both"/>
        <w:rPr>
          <w:rFonts w:ascii="Times New Roman" w:hAnsi="Times New Roman" w:cs="Times New Roman"/>
        </w:rPr>
      </w:pPr>
      <w:r>
        <w:rPr>
          <w:rFonts w:hint="eastAsia" w:ascii="Times New Roman" w:hAnsi="Times New Roman" w:cs="Times New Roman"/>
        </w:rPr>
        <w:t>③直接连接新老</w:t>
      </w:r>
      <w:r>
        <w:rPr>
          <w:rFonts w:ascii="Times New Roman" w:hAnsi="Times New Roman" w:cs="Times New Roman"/>
        </w:rPr>
        <w:t>G314，规划S334及通村道路，经济发展带动</w:t>
      </w:r>
      <w:r>
        <w:rPr>
          <w:rFonts w:hint="eastAsia" w:ascii="Times New Roman" w:hAnsi="Times New Roman" w:cs="Times New Roman"/>
        </w:rPr>
        <w:t>作用</w:t>
      </w:r>
      <w:r>
        <w:rPr>
          <w:rFonts w:ascii="Times New Roman" w:hAnsi="Times New Roman" w:cs="Times New Roman"/>
        </w:rPr>
        <w:t>更为明显；</w:t>
      </w:r>
    </w:p>
    <w:p w14:paraId="0D669DD1">
      <w:pPr>
        <w:spacing w:line="360" w:lineRule="auto"/>
        <w:ind w:firstLine="480" w:firstLineChars="200"/>
        <w:jc w:val="both"/>
        <w:rPr>
          <w:rFonts w:ascii="Times New Roman" w:hAnsi="Times New Roman" w:cs="Times New Roman"/>
        </w:rPr>
      </w:pPr>
      <w:r>
        <w:rPr>
          <w:rFonts w:hint="eastAsia" w:ascii="Times New Roman" w:hAnsi="Times New Roman" w:cs="Times New Roman"/>
        </w:rPr>
        <w:t>④位于城镇人口密集区南侧，便于吸引交通量，聚集人流量，利于规划团场建设；</w:t>
      </w:r>
      <w:r>
        <w:rPr>
          <w:rFonts w:ascii="Times New Roman" w:hAnsi="Times New Roman" w:cs="Times New Roman"/>
        </w:rPr>
        <w:t xml:space="preserve"> </w:t>
      </w:r>
    </w:p>
    <w:p w14:paraId="34C1143F">
      <w:pPr>
        <w:spacing w:line="360" w:lineRule="auto"/>
        <w:ind w:firstLine="480" w:firstLineChars="200"/>
        <w:jc w:val="both"/>
        <w:rPr>
          <w:rFonts w:ascii="Times New Roman" w:hAnsi="Times New Roman" w:cs="Times New Roman"/>
        </w:rPr>
      </w:pPr>
      <w:r>
        <w:rPr>
          <w:rFonts w:hint="eastAsia" w:ascii="Times New Roman" w:hAnsi="Times New Roman" w:cs="Times New Roman"/>
        </w:rPr>
        <w:t>⑤在国土空间调整中已有预留，路线大部分路段位于河滩、未利用地段，占用耕地少，拆迁量小，协调难度相对较小。</w:t>
      </w:r>
      <w:r>
        <w:rPr>
          <w:rFonts w:ascii="Times New Roman" w:hAnsi="Times New Roman" w:cs="Times New Roman"/>
        </w:rPr>
        <w:t xml:space="preserve"> </w:t>
      </w:r>
    </w:p>
    <w:p w14:paraId="6E328D00">
      <w:pPr>
        <w:spacing w:line="360" w:lineRule="auto"/>
        <w:ind w:firstLine="480" w:firstLineChars="200"/>
        <w:jc w:val="both"/>
        <w:rPr>
          <w:rFonts w:ascii="Times New Roman" w:hAnsi="Times New Roman" w:cs="Times New Roman"/>
        </w:rPr>
      </w:pPr>
      <w:r>
        <w:rPr>
          <w:rFonts w:hint="eastAsia" w:ascii="Times New Roman" w:hAnsi="Times New Roman" w:cs="Times New Roman"/>
        </w:rPr>
        <w:t>⑥为布拉克苏乡、喀热开其克乡、乌帕尔镇向南发展预留了空间。</w:t>
      </w:r>
      <w:r>
        <w:rPr>
          <w:rFonts w:ascii="Times New Roman" w:hAnsi="Times New Roman" w:cs="Times New Roman"/>
        </w:rPr>
        <w:t xml:space="preserve"> </w:t>
      </w:r>
    </w:p>
    <w:p w14:paraId="24582A38">
      <w:pPr>
        <w:spacing w:line="360" w:lineRule="auto"/>
        <w:ind w:firstLine="480" w:firstLineChars="200"/>
        <w:jc w:val="both"/>
        <w:rPr>
          <w:rFonts w:ascii="Times New Roman" w:hAnsi="Times New Roman" w:cs="Times New Roman"/>
        </w:rPr>
      </w:pPr>
      <w:r>
        <w:rPr>
          <w:rFonts w:hint="eastAsia" w:ascii="Times New Roman" w:hAnsi="Times New Roman" w:cs="Times New Roman"/>
        </w:rPr>
        <w:t>⑦已与疏附县、阿克陶县人民政府沟通对接，作为兵地融合项目，得到了大力支持。</w:t>
      </w:r>
      <w:r>
        <w:rPr>
          <w:rFonts w:ascii="Times New Roman" w:hAnsi="Times New Roman" w:cs="Times New Roman"/>
        </w:rPr>
        <w:t xml:space="preserve"> </w:t>
      </w:r>
    </w:p>
    <w:p w14:paraId="65586B80">
      <w:pPr>
        <w:spacing w:line="360" w:lineRule="auto"/>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K线缺点： </w:t>
      </w:r>
    </w:p>
    <w:p w14:paraId="0C210072">
      <w:pPr>
        <w:spacing w:line="360" w:lineRule="auto"/>
        <w:ind w:firstLine="480" w:firstLineChars="200"/>
        <w:jc w:val="both"/>
        <w:rPr>
          <w:rFonts w:ascii="Times New Roman" w:hAnsi="Times New Roman" w:cs="Times New Roman"/>
        </w:rPr>
      </w:pPr>
      <w:r>
        <w:rPr>
          <w:rFonts w:hint="eastAsia" w:ascii="Times New Roman" w:hAnsi="Times New Roman" w:cs="Times New Roman"/>
        </w:rPr>
        <w:t>跨越盖孜河处，规划岸线范围广，桥梁规模大</w:t>
      </w:r>
      <w:r>
        <w:rPr>
          <w:rFonts w:ascii="Times New Roman" w:hAnsi="Times New Roman" w:cs="Times New Roman"/>
        </w:rPr>
        <w:t>。</w:t>
      </w:r>
    </w:p>
    <w:p w14:paraId="691ABAF3">
      <w:pPr>
        <w:spacing w:line="360" w:lineRule="auto"/>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A线方案：</w:t>
      </w:r>
    </w:p>
    <w:p w14:paraId="4182FC8E">
      <w:pPr>
        <w:spacing w:line="360" w:lineRule="auto"/>
        <w:ind w:firstLine="480" w:firstLineChars="200"/>
        <w:jc w:val="both"/>
        <w:rPr>
          <w:rFonts w:ascii="Times New Roman" w:hAnsi="Times New Roman" w:cs="Times New Roman"/>
        </w:rPr>
      </w:pPr>
      <w:r>
        <w:rPr>
          <w:rFonts w:hint="eastAsia" w:ascii="Times New Roman" w:hAnsi="Times New Roman" w:cs="Times New Roman"/>
        </w:rPr>
        <w:t>路线整体走向由东向西，起点位于</w:t>
      </w:r>
      <w:r>
        <w:rPr>
          <w:rFonts w:ascii="Times New Roman" w:hAnsi="Times New Roman" w:cs="Times New Roman"/>
        </w:rPr>
        <w:t>4 1团草湖镇西侧接广东大道（G3012-草湖-G314</w:t>
      </w:r>
      <w:r>
        <w:rPr>
          <w:rFonts w:hint="eastAsia" w:ascii="Times New Roman" w:hAnsi="Times New Roman" w:cs="Times New Roman"/>
        </w:rPr>
        <w:t>公路（</w:t>
      </w:r>
      <w:r>
        <w:rPr>
          <w:rFonts w:ascii="Times New Roman" w:hAnsi="Times New Roman" w:cs="Times New Roman"/>
        </w:rPr>
        <w:t>G3012-草湖段）），向西南布设新线经过布拉克苏乡，设置平面交叉连接X434，</w:t>
      </w:r>
      <w:r>
        <w:rPr>
          <w:rFonts w:hint="eastAsia" w:ascii="Times New Roman" w:hAnsi="Times New Roman" w:cs="Times New Roman"/>
        </w:rPr>
        <w:t>继续向西在喀热开其克乡南侧、铁日木乡北侧新建桥梁跨越盖孜河进入乌帕尔镇，终点位于乌帕尔镇接国道</w:t>
      </w:r>
      <w:r>
        <w:rPr>
          <w:rFonts w:ascii="Times New Roman" w:hAnsi="Times New Roman" w:cs="Times New Roman"/>
        </w:rPr>
        <w:t>G314、通村道路</w:t>
      </w:r>
      <w:r>
        <w:rPr>
          <w:rFonts w:hint="eastAsia" w:ascii="Times New Roman" w:hAnsi="Times New Roman" w:cs="Times New Roman"/>
        </w:rPr>
        <w:t>。</w:t>
      </w:r>
    </w:p>
    <w:p w14:paraId="591FAC3A">
      <w:pPr>
        <w:spacing w:line="360" w:lineRule="auto"/>
        <w:ind w:firstLine="480" w:firstLineChars="200"/>
        <w:jc w:val="both"/>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A线优点：</w:t>
      </w:r>
    </w:p>
    <w:p w14:paraId="2F1F0257">
      <w:pPr>
        <w:spacing w:line="360" w:lineRule="auto"/>
        <w:ind w:firstLine="480" w:firstLineChars="200"/>
        <w:jc w:val="both"/>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符合路网总体规划，充分体现了规划的延续性与严谨性，对于完善区域路网</w:t>
      </w:r>
      <w:r>
        <w:rPr>
          <w:rFonts w:hint="eastAsia" w:ascii="Times New Roman" w:hAnsi="Times New Roman" w:cs="Times New Roman"/>
        </w:rPr>
        <w:t>意义重大；</w:t>
      </w:r>
    </w:p>
    <w:p w14:paraId="53A99234">
      <w:pPr>
        <w:spacing w:line="360" w:lineRule="auto"/>
        <w:ind w:firstLine="480" w:firstLineChars="200"/>
        <w:jc w:val="both"/>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位于城镇人口密集区附近，便于吸引交通量，聚集人流量，利于规划团场建</w:t>
      </w:r>
      <w:r>
        <w:rPr>
          <w:rFonts w:hint="eastAsia" w:ascii="Times New Roman" w:hAnsi="Times New Roman" w:cs="Times New Roman"/>
        </w:rPr>
        <w:t>设；</w:t>
      </w:r>
      <w:r>
        <w:rPr>
          <w:rFonts w:ascii="Times New Roman" w:hAnsi="Times New Roman" w:cs="Times New Roman"/>
        </w:rPr>
        <w:t xml:space="preserve"> </w:t>
      </w:r>
    </w:p>
    <w:p w14:paraId="2B5AC37D">
      <w:pPr>
        <w:spacing w:line="360" w:lineRule="auto"/>
        <w:ind w:firstLine="480" w:firstLineChars="200"/>
        <w:jc w:val="both"/>
        <w:rPr>
          <w:rFonts w:ascii="Times New Roman" w:hAnsi="Times New Roman" w:cs="Times New Roman"/>
        </w:rPr>
      </w:pPr>
      <w:r>
        <w:rPr>
          <w:rFonts w:hint="eastAsia" w:ascii="Times New Roman" w:hAnsi="Times New Roman" w:cs="Times New Roman"/>
        </w:rPr>
        <w:t>③跨越盖孜河处，规划岸线宽度短，桥梁规模小。</w:t>
      </w:r>
      <w:r>
        <w:rPr>
          <w:rFonts w:ascii="Times New Roman" w:hAnsi="Times New Roman" w:cs="Times New Roman"/>
        </w:rPr>
        <w:t xml:space="preserve"> </w:t>
      </w:r>
    </w:p>
    <w:p w14:paraId="540A49C8">
      <w:pPr>
        <w:spacing w:line="360" w:lineRule="auto"/>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A线缺点： </w:t>
      </w:r>
    </w:p>
    <w:p w14:paraId="29BD606A">
      <w:pPr>
        <w:spacing w:line="360" w:lineRule="auto"/>
        <w:ind w:firstLine="480" w:firstLineChars="200"/>
        <w:jc w:val="both"/>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 xml:space="preserve"> 靠近乌帕尔镇中心范围，存在一定数量的拆迁； </w:t>
      </w:r>
    </w:p>
    <w:p w14:paraId="6128856B">
      <w:pPr>
        <w:spacing w:line="360" w:lineRule="auto"/>
        <w:ind w:firstLine="480" w:firstLineChars="200"/>
        <w:jc w:val="both"/>
        <w:rPr>
          <w:rFonts w:ascii="Times New Roman" w:hAnsi="Times New Roman" w:cs="Times New Roman"/>
        </w:rPr>
      </w:pPr>
      <w:r>
        <w:rPr>
          <w:rFonts w:hint="eastAsia" w:ascii="Times New Roman" w:hAnsi="Times New Roman" w:cs="Times New Roman"/>
        </w:rPr>
        <w:t>②</w:t>
      </w:r>
      <w:r>
        <w:rPr>
          <w:rFonts w:ascii="Times New Roman" w:hAnsi="Times New Roman" w:cs="Times New Roman"/>
        </w:rPr>
        <w:t xml:space="preserve"> 占用基本农田约800亩，协调难度大</w:t>
      </w:r>
      <w:r>
        <w:rPr>
          <w:rFonts w:hint="eastAsia" w:ascii="Times New Roman" w:hAnsi="Times New Roman" w:cs="Times New Roman"/>
        </w:rPr>
        <w:t>，</w:t>
      </w:r>
      <w:r>
        <w:rPr>
          <w:rFonts w:ascii="Times New Roman" w:hAnsi="Times New Roman" w:cs="Times New Roman"/>
        </w:rPr>
        <w:t>同时由于喀什地区用地紧张，需购买基</w:t>
      </w:r>
      <w:r>
        <w:rPr>
          <w:rFonts w:hint="eastAsia" w:ascii="Times New Roman" w:hAnsi="Times New Roman" w:cs="Times New Roman"/>
        </w:rPr>
        <w:t>本农田用地指标，预计购买指标费用约</w:t>
      </w:r>
      <w:r>
        <w:rPr>
          <w:rFonts w:ascii="Times New Roman" w:hAnsi="Times New Roman" w:cs="Times New Roman"/>
        </w:rPr>
        <w:t>1.6亿元。远期道路升级改造同样需要占用基</w:t>
      </w:r>
      <w:r>
        <w:rPr>
          <w:rFonts w:hint="eastAsia" w:ascii="Times New Roman" w:hAnsi="Times New Roman" w:cs="Times New Roman"/>
        </w:rPr>
        <w:t>本农田，总体用地费用大；</w:t>
      </w:r>
      <w:r>
        <w:rPr>
          <w:rFonts w:ascii="Times New Roman" w:hAnsi="Times New Roman" w:cs="Times New Roman"/>
        </w:rPr>
        <w:t xml:space="preserve"> </w:t>
      </w:r>
    </w:p>
    <w:p w14:paraId="6A933B93">
      <w:pPr>
        <w:spacing w:line="360" w:lineRule="auto"/>
        <w:ind w:firstLine="480" w:firstLineChars="200"/>
        <w:jc w:val="both"/>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 xml:space="preserve"> 占用大面积农田、林带，对生态环境有一定影响； </w:t>
      </w:r>
    </w:p>
    <w:p w14:paraId="2D617136">
      <w:pPr>
        <w:spacing w:line="360" w:lineRule="auto"/>
        <w:ind w:firstLine="480" w:firstLineChars="200"/>
        <w:jc w:val="both"/>
        <w:rPr>
          <w:rFonts w:ascii="Times New Roman" w:hAnsi="Times New Roman" w:cs="Times New Roman"/>
        </w:rPr>
      </w:pPr>
      <w:r>
        <w:rPr>
          <w:rFonts w:hint="eastAsia" w:ascii="Times New Roman" w:hAnsi="Times New Roman" w:cs="Times New Roman"/>
        </w:rPr>
        <w:t>④</w:t>
      </w:r>
      <w:r>
        <w:rPr>
          <w:rFonts w:ascii="Times New Roman" w:hAnsi="Times New Roman" w:cs="Times New Roman"/>
        </w:rPr>
        <w:t xml:space="preserve"> 切割既有村落布局，群众安置工作难度大； </w:t>
      </w:r>
    </w:p>
    <w:p w14:paraId="0E40F34C">
      <w:pPr>
        <w:spacing w:line="360" w:lineRule="auto"/>
        <w:ind w:firstLine="480" w:firstLineChars="200"/>
        <w:jc w:val="both"/>
        <w:rPr>
          <w:rFonts w:ascii="Times New Roman" w:hAnsi="Times New Roman" w:cs="Times New Roman"/>
        </w:rPr>
      </w:pPr>
      <w:r>
        <w:rPr>
          <w:rFonts w:hint="eastAsia" w:ascii="Times New Roman" w:hAnsi="Times New Roman" w:cs="Times New Roman"/>
        </w:rPr>
        <w:t>⑤</w:t>
      </w:r>
      <w:r>
        <w:rPr>
          <w:rFonts w:ascii="Times New Roman" w:hAnsi="Times New Roman" w:cs="Times New Roman"/>
        </w:rPr>
        <w:t xml:space="preserve"> 解决盖孜河两侧群众出行功能性不强，未能充分发挥高等级公路的交通功能； </w:t>
      </w:r>
    </w:p>
    <w:p w14:paraId="6CC25371">
      <w:pPr>
        <w:spacing w:line="360" w:lineRule="auto"/>
        <w:ind w:firstLine="480" w:firstLineChars="200"/>
        <w:jc w:val="both"/>
        <w:rPr>
          <w:rFonts w:ascii="Times New Roman" w:hAnsi="Times New Roman" w:cs="Times New Roman"/>
        </w:rPr>
      </w:pPr>
      <w:r>
        <w:rPr>
          <w:rFonts w:hint="eastAsia" w:ascii="Times New Roman" w:hAnsi="Times New Roman" w:cs="Times New Roman"/>
        </w:rPr>
        <w:t>⑥</w:t>
      </w:r>
      <w:r>
        <w:rPr>
          <w:rFonts w:ascii="Times New Roman" w:hAnsi="Times New Roman" w:cs="Times New Roman"/>
        </w:rPr>
        <w:t xml:space="preserve"> 与规划S334衔接性不强，不利于“兵地一盘棋、兵地一张网”目标的实现。 </w:t>
      </w:r>
    </w:p>
    <w:p w14:paraId="76081606">
      <w:pPr>
        <w:spacing w:line="360" w:lineRule="auto"/>
        <w:ind w:firstLine="480" w:firstLineChars="200"/>
        <w:jc w:val="both"/>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K+E线</w:t>
      </w:r>
    </w:p>
    <w:p w14:paraId="2F41EDAD">
      <w:pPr>
        <w:spacing w:line="360" w:lineRule="auto"/>
        <w:ind w:firstLine="480" w:firstLineChars="200"/>
        <w:jc w:val="both"/>
        <w:rPr>
          <w:rFonts w:ascii="Times New Roman" w:hAnsi="Times New Roman" w:cs="Times New Roman"/>
        </w:rPr>
      </w:pPr>
      <w:r>
        <w:rPr>
          <w:rFonts w:hint="eastAsia" w:ascii="Times New Roman" w:hAnsi="Times New Roman" w:cs="Times New Roman"/>
        </w:rPr>
        <w:t>路线整体走向由东向西，起点位于</w:t>
      </w:r>
      <w:r>
        <w:rPr>
          <w:rFonts w:ascii="Times New Roman" w:hAnsi="Times New Roman" w:cs="Times New Roman"/>
        </w:rPr>
        <w:t>41团草湖镇西侧第八大道与广东大道（G3012-草</w:t>
      </w:r>
      <w:r>
        <w:rPr>
          <w:rFonts w:hint="eastAsia" w:ascii="Times New Roman" w:hAnsi="Times New Roman" w:cs="Times New Roman"/>
        </w:rPr>
        <w:t>湖</w:t>
      </w:r>
      <w:r>
        <w:rPr>
          <w:rFonts w:ascii="Times New Roman" w:hAnsi="Times New Roman" w:cs="Times New Roman"/>
        </w:rPr>
        <w:t>-G314公路（G3012-草湖段））交叉处，完全利用第八大道后，向西南布设新线经</w:t>
      </w:r>
      <w:r>
        <w:rPr>
          <w:rFonts w:hint="eastAsia" w:ascii="Times New Roman" w:hAnsi="Times New Roman" w:cs="Times New Roman"/>
        </w:rPr>
        <w:t>过布拉克苏乡，继续向西南沿疏附县布拉克苏乡保尔干渠东侧戈壁滩路段布设新线至铁日木乡西侧，通过设置桥梁跨越盖孜河至规划团场产业园接国道</w:t>
      </w:r>
      <w:r>
        <w:rPr>
          <w:rFonts w:ascii="Times New Roman" w:hAnsi="Times New Roman" w:cs="Times New Roman"/>
        </w:rPr>
        <w:t>G314。</w:t>
      </w:r>
    </w:p>
    <w:p w14:paraId="0F47C551">
      <w:pPr>
        <w:spacing w:line="360" w:lineRule="auto"/>
        <w:ind w:firstLine="480" w:firstLineChars="200"/>
        <w:jc w:val="both"/>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K+E线优点： </w:t>
      </w:r>
    </w:p>
    <w:p w14:paraId="4F696222">
      <w:pPr>
        <w:spacing w:line="360" w:lineRule="auto"/>
        <w:ind w:firstLine="480" w:firstLineChars="200"/>
        <w:jc w:val="both"/>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 xml:space="preserve"> 疏附县南部区域路网较为稀疏，拟建项目对于增强路网密度意义重大； </w:t>
      </w:r>
    </w:p>
    <w:p w14:paraId="18E6848D">
      <w:pPr>
        <w:spacing w:line="360" w:lineRule="auto"/>
        <w:ind w:firstLine="480" w:firstLineChars="200"/>
        <w:jc w:val="both"/>
        <w:rPr>
          <w:rFonts w:ascii="Times New Roman" w:hAnsi="Times New Roman" w:cs="Times New Roman"/>
        </w:rPr>
      </w:pPr>
      <w:r>
        <w:rPr>
          <w:rFonts w:hint="eastAsia" w:ascii="Times New Roman" w:hAnsi="Times New Roman" w:cs="Times New Roman"/>
        </w:rPr>
        <w:t>②占用基本农田、一般耕地较少，协调难度小；</w:t>
      </w:r>
      <w:r>
        <w:rPr>
          <w:rFonts w:ascii="Times New Roman" w:hAnsi="Times New Roman" w:cs="Times New Roman"/>
        </w:rPr>
        <w:t xml:space="preserve"> </w:t>
      </w:r>
    </w:p>
    <w:p w14:paraId="5E77D2AA">
      <w:pPr>
        <w:spacing w:line="360" w:lineRule="auto"/>
        <w:ind w:firstLine="480" w:firstLineChars="200"/>
        <w:jc w:val="both"/>
        <w:rPr>
          <w:rFonts w:ascii="Times New Roman" w:hAnsi="Times New Roman" w:cs="Times New Roman"/>
        </w:rPr>
      </w:pPr>
      <w:r>
        <w:rPr>
          <w:rFonts w:hint="eastAsia" w:ascii="Times New Roman" w:hAnsi="Times New Roman" w:cs="Times New Roman"/>
        </w:rPr>
        <w:t>③</w:t>
      </w:r>
      <w:r>
        <w:rPr>
          <w:rFonts w:ascii="Times New Roman" w:hAnsi="Times New Roman" w:cs="Times New Roman"/>
        </w:rPr>
        <w:t xml:space="preserve"> 缩短了草湖至奥依塔克镇等景区的距离，吸引过境旅游交通量明显； </w:t>
      </w:r>
    </w:p>
    <w:p w14:paraId="35D99B80">
      <w:pPr>
        <w:spacing w:line="360" w:lineRule="auto"/>
        <w:ind w:firstLine="480" w:firstLineChars="200"/>
        <w:jc w:val="both"/>
        <w:rPr>
          <w:rFonts w:ascii="Times New Roman" w:hAnsi="Times New Roman" w:cs="Times New Roman"/>
        </w:rPr>
      </w:pPr>
      <w:r>
        <w:rPr>
          <w:rFonts w:hint="eastAsia" w:ascii="Times New Roman" w:hAnsi="Times New Roman" w:cs="Times New Roman"/>
        </w:rPr>
        <w:t>④</w:t>
      </w:r>
      <w:r>
        <w:rPr>
          <w:rFonts w:ascii="Times New Roman" w:hAnsi="Times New Roman" w:cs="Times New Roman"/>
        </w:rPr>
        <w:t xml:space="preserve"> 直接连接规划团场产业园，客货运输更为便捷，运输效率高。 </w:t>
      </w:r>
    </w:p>
    <w:p w14:paraId="782F4BDF">
      <w:pPr>
        <w:spacing w:line="360" w:lineRule="auto"/>
        <w:ind w:firstLine="480" w:firstLineChars="20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K+E线缺点： </w:t>
      </w:r>
    </w:p>
    <w:p w14:paraId="497EAA10">
      <w:pPr>
        <w:spacing w:line="360" w:lineRule="auto"/>
        <w:ind w:firstLine="480" w:firstLineChars="200"/>
        <w:jc w:val="both"/>
        <w:rPr>
          <w:rFonts w:ascii="Times New Roman" w:hAnsi="Times New Roman" w:cs="Times New Roman"/>
        </w:rPr>
      </w:pPr>
      <w:r>
        <w:rPr>
          <w:rFonts w:hint="eastAsia" w:ascii="Times New Roman" w:hAnsi="Times New Roman" w:cs="Times New Roman"/>
        </w:rPr>
        <w:t>①</w:t>
      </w:r>
      <w:r>
        <w:rPr>
          <w:rFonts w:ascii="Times New Roman" w:hAnsi="Times New Roman" w:cs="Times New Roman"/>
        </w:rPr>
        <w:t xml:space="preserve"> 距离规划团场核心区域、乌帕尔镇、喀热开其克乡相对较远，直接带动作用</w:t>
      </w:r>
      <w:r>
        <w:rPr>
          <w:rFonts w:hint="eastAsia" w:ascii="Times New Roman" w:hAnsi="Times New Roman" w:cs="Times New Roman"/>
        </w:rPr>
        <w:t>不明显；</w:t>
      </w:r>
      <w:r>
        <w:rPr>
          <w:rFonts w:ascii="Times New Roman" w:hAnsi="Times New Roman" w:cs="Times New Roman"/>
        </w:rPr>
        <w:t xml:space="preserve"> </w:t>
      </w:r>
    </w:p>
    <w:p w14:paraId="1B4F11FD">
      <w:pPr>
        <w:spacing w:line="360" w:lineRule="auto"/>
        <w:ind w:firstLine="480" w:firstLineChars="200"/>
        <w:jc w:val="both"/>
        <w:rPr>
          <w:rFonts w:ascii="Times New Roman" w:hAnsi="Times New Roman" w:cs="Times New Roman"/>
        </w:rPr>
      </w:pPr>
      <w:r>
        <w:rPr>
          <w:rFonts w:hint="eastAsia" w:ascii="Times New Roman" w:hAnsi="Times New Roman" w:cs="Times New Roman"/>
        </w:rPr>
        <w:t>②占用大面积公益林，对环境影响偏大；</w:t>
      </w:r>
      <w:r>
        <w:rPr>
          <w:rFonts w:ascii="Times New Roman" w:hAnsi="Times New Roman" w:cs="Times New Roman"/>
        </w:rPr>
        <w:t xml:space="preserve"> </w:t>
      </w:r>
    </w:p>
    <w:p w14:paraId="4371D926">
      <w:pPr>
        <w:spacing w:line="360" w:lineRule="auto"/>
        <w:ind w:firstLine="480" w:firstLineChars="200"/>
        <w:jc w:val="both"/>
        <w:rPr>
          <w:rFonts w:ascii="Times New Roman" w:hAnsi="Times New Roman" w:cs="Times New Roman"/>
        </w:rPr>
      </w:pPr>
      <w:r>
        <w:rPr>
          <w:rFonts w:hint="eastAsia" w:ascii="Times New Roman" w:hAnsi="Times New Roman" w:cs="Times New Roman"/>
        </w:rPr>
        <w:t>③占用远期规划廊道，不利于规划路网布局的形成。</w:t>
      </w:r>
      <w:r>
        <w:rPr>
          <w:rFonts w:ascii="Times New Roman" w:hAnsi="Times New Roman" w:cs="Times New Roman"/>
        </w:rPr>
        <w:t xml:space="preserve"> </w:t>
      </w:r>
      <w:r>
        <w:rPr>
          <w:rFonts w:ascii="Times New Roman" w:hAnsi="Times New Roman" w:cs="Times New Roman"/>
        </w:rPr>
        <w:cr/>
      </w:r>
      <w:bookmarkStart w:id="389" w:name="_Toc3596"/>
      <w:r>
        <w:rPr>
          <w:rFonts w:hint="eastAsia" w:ascii="Times New Roman" w:hAnsi="Times New Roman" w:cs="Times New Roman"/>
        </w:rPr>
        <w:t>4、</w:t>
      </w:r>
      <w:r>
        <w:rPr>
          <w:rFonts w:ascii="Times New Roman" w:hAnsi="Times New Roman" w:cs="Times New Roman"/>
        </w:rPr>
        <w:t>方案</w:t>
      </w:r>
      <w:bookmarkEnd w:id="389"/>
      <w:bookmarkStart w:id="390" w:name="_Toc10825"/>
      <w:r>
        <w:rPr>
          <w:rFonts w:ascii="Times New Roman" w:hAnsi="Times New Roman" w:cs="Times New Roman"/>
        </w:rPr>
        <w:t>比选</w:t>
      </w:r>
    </w:p>
    <w:p w14:paraId="01A4502A">
      <w:pPr>
        <w:spacing w:line="560" w:lineRule="exact"/>
        <w:ind w:firstLine="480"/>
        <w:jc w:val="both"/>
        <w:rPr>
          <w:lang w:bidi="ar"/>
        </w:rPr>
      </w:pPr>
      <w:r>
        <w:rPr>
          <w:rFonts w:hint="eastAsia"/>
          <w:lang w:bidi="ar"/>
        </w:rPr>
        <w:t>各方案优缺点总结详见下表：</w:t>
      </w:r>
    </w:p>
    <w:p w14:paraId="17A40811">
      <w:pPr>
        <w:spacing w:before="156" w:beforeLines="50" w:line="560" w:lineRule="exact"/>
        <w:ind w:firstLine="460" w:firstLineChars="192"/>
        <w:jc w:val="center"/>
        <w:rPr>
          <w:rFonts w:ascii="黑体" w:hAnsi="黑体" w:eastAsia="黑体"/>
          <w:szCs w:val="21"/>
        </w:rPr>
      </w:pPr>
      <w:r>
        <w:rPr>
          <w:rFonts w:ascii="黑体" w:hAnsi="黑体" w:eastAsia="黑体"/>
          <w:szCs w:val="21"/>
        </w:rPr>
        <w:t>表3.</w:t>
      </w:r>
      <w:r>
        <w:rPr>
          <w:rFonts w:hint="eastAsia" w:ascii="黑体" w:hAnsi="黑体" w:eastAsia="黑体"/>
          <w:szCs w:val="21"/>
        </w:rPr>
        <w:t>3</w:t>
      </w:r>
      <w:r>
        <w:rPr>
          <w:rFonts w:ascii="黑体" w:hAnsi="黑体" w:eastAsia="黑体"/>
          <w:szCs w:val="21"/>
        </w:rPr>
        <w:t>-1比选方案</w:t>
      </w:r>
      <w:r>
        <w:rPr>
          <w:rFonts w:hint="eastAsia" w:ascii="黑体" w:hAnsi="黑体" w:eastAsia="黑体"/>
          <w:szCs w:val="21"/>
        </w:rPr>
        <w:t>各因素优缺点</w:t>
      </w:r>
      <w:r>
        <w:rPr>
          <w:rFonts w:ascii="黑体" w:hAnsi="黑体" w:eastAsia="黑体"/>
          <w:szCs w:val="21"/>
        </w:rPr>
        <w:t>一览表</w:t>
      </w:r>
    </w:p>
    <w:tbl>
      <w:tblPr>
        <w:tblStyle w:val="8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6"/>
        <w:gridCol w:w="1309"/>
        <w:gridCol w:w="1021"/>
        <w:gridCol w:w="1345"/>
        <w:gridCol w:w="1577"/>
        <w:gridCol w:w="875"/>
        <w:gridCol w:w="1240"/>
      </w:tblGrid>
      <w:tr w14:paraId="1BBC61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78" w:type="pct"/>
            <w:tcBorders>
              <w:tl2br w:val="single" w:color="auto" w:sz="12" w:space="0"/>
            </w:tcBorders>
            <w:vAlign w:val="center"/>
          </w:tcPr>
          <w:p w14:paraId="0AD63F7C">
            <w:pPr>
              <w:spacing w:before="156" w:beforeLines="50"/>
              <w:rPr>
                <w:bCs/>
                <w:sz w:val="21"/>
                <w:szCs w:val="18"/>
              </w:rPr>
            </w:pPr>
          </w:p>
          <w:p w14:paraId="584E25B7">
            <w:pPr>
              <w:spacing w:before="156" w:beforeLines="50"/>
              <w:rPr>
                <w:bCs/>
                <w:sz w:val="21"/>
                <w:szCs w:val="18"/>
              </w:rPr>
            </w:pPr>
            <w:r>
              <w:rPr>
                <w:rFonts w:hint="eastAsia"/>
                <w:bCs/>
                <w:sz w:val="21"/>
                <w:szCs w:val="18"/>
              </w:rPr>
              <w:t>方案          因素</w:t>
            </w:r>
          </w:p>
        </w:tc>
        <w:tc>
          <w:tcPr>
            <w:tcW w:w="768" w:type="pct"/>
            <w:vAlign w:val="center"/>
          </w:tcPr>
          <w:p w14:paraId="4909BF60">
            <w:pPr>
              <w:spacing w:before="156" w:beforeLines="50"/>
              <w:rPr>
                <w:bCs/>
                <w:sz w:val="21"/>
                <w:szCs w:val="18"/>
              </w:rPr>
            </w:pPr>
            <w:r>
              <w:rPr>
                <w:rFonts w:hint="eastAsia"/>
                <w:bCs/>
                <w:sz w:val="21"/>
                <w:szCs w:val="18"/>
              </w:rPr>
              <w:t>耕地及基本农田</w:t>
            </w:r>
          </w:p>
        </w:tc>
        <w:tc>
          <w:tcPr>
            <w:tcW w:w="599" w:type="pct"/>
            <w:vAlign w:val="center"/>
          </w:tcPr>
          <w:p w14:paraId="15FF9899">
            <w:pPr>
              <w:spacing w:before="156" w:beforeLines="50"/>
              <w:jc w:val="center"/>
              <w:rPr>
                <w:bCs/>
                <w:sz w:val="21"/>
                <w:szCs w:val="18"/>
              </w:rPr>
            </w:pPr>
            <w:r>
              <w:rPr>
                <w:rFonts w:hint="eastAsia"/>
                <w:bCs/>
                <w:sz w:val="21"/>
                <w:szCs w:val="18"/>
              </w:rPr>
              <w:t>占地类型</w:t>
            </w:r>
          </w:p>
        </w:tc>
        <w:tc>
          <w:tcPr>
            <w:tcW w:w="789" w:type="pct"/>
            <w:vAlign w:val="center"/>
          </w:tcPr>
          <w:p w14:paraId="098DED71">
            <w:pPr>
              <w:spacing w:before="156" w:beforeLines="50"/>
              <w:jc w:val="center"/>
              <w:rPr>
                <w:bCs/>
                <w:sz w:val="21"/>
                <w:szCs w:val="18"/>
              </w:rPr>
            </w:pPr>
            <w:r>
              <w:rPr>
                <w:rFonts w:hint="eastAsia"/>
                <w:bCs/>
                <w:sz w:val="21"/>
                <w:szCs w:val="18"/>
              </w:rPr>
              <w:t>生态特点及生物损失</w:t>
            </w:r>
          </w:p>
        </w:tc>
        <w:tc>
          <w:tcPr>
            <w:tcW w:w="925" w:type="pct"/>
            <w:vAlign w:val="center"/>
          </w:tcPr>
          <w:p w14:paraId="24DAC2F2">
            <w:pPr>
              <w:spacing w:before="156" w:beforeLines="50"/>
              <w:jc w:val="center"/>
              <w:rPr>
                <w:sz w:val="21"/>
                <w:szCs w:val="18"/>
              </w:rPr>
            </w:pPr>
            <w:r>
              <w:rPr>
                <w:rFonts w:hint="eastAsia"/>
                <w:bCs/>
                <w:sz w:val="21"/>
                <w:szCs w:val="18"/>
              </w:rPr>
              <w:t>社会因素</w:t>
            </w:r>
          </w:p>
        </w:tc>
        <w:tc>
          <w:tcPr>
            <w:tcW w:w="513" w:type="pct"/>
            <w:vAlign w:val="center"/>
          </w:tcPr>
          <w:p w14:paraId="77758EE9">
            <w:pPr>
              <w:spacing w:before="156" w:beforeLines="50"/>
              <w:jc w:val="center"/>
              <w:rPr>
                <w:bCs/>
                <w:sz w:val="21"/>
                <w:szCs w:val="18"/>
              </w:rPr>
            </w:pPr>
            <w:r>
              <w:rPr>
                <w:rFonts w:hint="eastAsia"/>
                <w:bCs/>
                <w:sz w:val="21"/>
                <w:szCs w:val="18"/>
              </w:rPr>
              <w:t>安全因素</w:t>
            </w:r>
          </w:p>
        </w:tc>
        <w:tc>
          <w:tcPr>
            <w:tcW w:w="727" w:type="pct"/>
            <w:vAlign w:val="center"/>
          </w:tcPr>
          <w:p w14:paraId="73F8680B">
            <w:pPr>
              <w:spacing w:before="156" w:beforeLines="50"/>
              <w:jc w:val="center"/>
              <w:rPr>
                <w:bCs/>
                <w:sz w:val="21"/>
                <w:szCs w:val="18"/>
              </w:rPr>
            </w:pPr>
            <w:r>
              <w:rPr>
                <w:rFonts w:hint="eastAsia"/>
                <w:bCs/>
                <w:sz w:val="21"/>
                <w:szCs w:val="18"/>
              </w:rPr>
              <w:t>环保因素</w:t>
            </w:r>
          </w:p>
        </w:tc>
      </w:tr>
      <w:tr w14:paraId="45E76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8" w:hRule="atLeast"/>
          <w:jc w:val="center"/>
        </w:trPr>
        <w:tc>
          <w:tcPr>
            <w:tcW w:w="678" w:type="pct"/>
            <w:vAlign w:val="center"/>
          </w:tcPr>
          <w:p w14:paraId="24EE0285">
            <w:pPr>
              <w:spacing w:before="156" w:beforeLines="50"/>
              <w:jc w:val="center"/>
              <w:rPr>
                <w:bCs/>
                <w:sz w:val="21"/>
                <w:szCs w:val="18"/>
              </w:rPr>
            </w:pPr>
            <w:r>
              <w:rPr>
                <w:rFonts w:hint="eastAsia"/>
                <w:bCs/>
                <w:sz w:val="21"/>
                <w:szCs w:val="18"/>
              </w:rPr>
              <w:t>K线（推荐方案）</w:t>
            </w:r>
          </w:p>
        </w:tc>
        <w:tc>
          <w:tcPr>
            <w:tcW w:w="768" w:type="pct"/>
            <w:vAlign w:val="center"/>
          </w:tcPr>
          <w:p w14:paraId="59E37498">
            <w:pPr>
              <w:spacing w:before="156" w:beforeLines="50"/>
              <w:jc w:val="both"/>
              <w:rPr>
                <w:bCs/>
                <w:sz w:val="21"/>
                <w:szCs w:val="18"/>
              </w:rPr>
            </w:pPr>
            <w:r>
              <w:rPr>
                <w:rFonts w:hint="eastAsia"/>
                <w:bCs/>
                <w:sz w:val="21"/>
                <w:szCs w:val="18"/>
              </w:rPr>
              <w:t>路线大部分路段位于河滩、未利用地段，不占用基本农田</w:t>
            </w:r>
          </w:p>
        </w:tc>
        <w:tc>
          <w:tcPr>
            <w:tcW w:w="599" w:type="pct"/>
            <w:vAlign w:val="center"/>
          </w:tcPr>
          <w:p w14:paraId="05FCC19D">
            <w:pPr>
              <w:spacing w:before="156" w:beforeLines="50"/>
              <w:jc w:val="both"/>
              <w:rPr>
                <w:bCs/>
                <w:sz w:val="21"/>
                <w:szCs w:val="18"/>
              </w:rPr>
            </w:pPr>
            <w:r>
              <w:rPr>
                <w:rFonts w:hint="eastAsia"/>
                <w:bCs/>
                <w:sz w:val="21"/>
                <w:szCs w:val="18"/>
              </w:rPr>
              <w:t>灌木、林地、未利用地</w:t>
            </w:r>
          </w:p>
        </w:tc>
        <w:tc>
          <w:tcPr>
            <w:tcW w:w="789" w:type="pct"/>
            <w:vAlign w:val="center"/>
          </w:tcPr>
          <w:p w14:paraId="4C9C6812">
            <w:pPr>
              <w:spacing w:before="156" w:beforeLines="50"/>
              <w:jc w:val="both"/>
              <w:rPr>
                <w:bCs/>
                <w:sz w:val="21"/>
                <w:szCs w:val="18"/>
              </w:rPr>
            </w:pPr>
            <w:r>
              <w:rPr>
                <w:rFonts w:hint="eastAsia"/>
                <w:bCs/>
                <w:sz w:val="21"/>
                <w:szCs w:val="18"/>
              </w:rPr>
              <w:t>路线大部分路段位于河滩、未利用地段，生态损失较少</w:t>
            </w:r>
          </w:p>
        </w:tc>
        <w:tc>
          <w:tcPr>
            <w:tcW w:w="925" w:type="pct"/>
            <w:vAlign w:val="center"/>
          </w:tcPr>
          <w:p w14:paraId="275151AF">
            <w:pPr>
              <w:spacing w:before="156" w:beforeLines="50"/>
              <w:jc w:val="both"/>
              <w:rPr>
                <w:bCs/>
                <w:sz w:val="21"/>
                <w:szCs w:val="18"/>
              </w:rPr>
            </w:pPr>
            <w:r>
              <w:rPr>
                <w:rFonts w:hint="eastAsia"/>
                <w:bCs/>
                <w:sz w:val="21"/>
                <w:szCs w:val="18"/>
              </w:rPr>
              <w:t>拆迁量</w:t>
            </w:r>
            <w:r>
              <w:rPr>
                <w:bCs/>
                <w:sz w:val="21"/>
                <w:szCs w:val="18"/>
              </w:rPr>
              <w:t>20564.4m</w:t>
            </w:r>
            <w:r>
              <w:rPr>
                <w:bCs/>
                <w:sz w:val="21"/>
                <w:szCs w:val="18"/>
                <w:vertAlign w:val="superscript"/>
              </w:rPr>
              <w:t>2</w:t>
            </w:r>
            <w:r>
              <w:rPr>
                <w:rFonts w:hint="eastAsia"/>
                <w:bCs/>
                <w:sz w:val="21"/>
                <w:szCs w:val="18"/>
              </w:rPr>
              <w:t>，拆迁量相对其他两条线路较少，对沿线居民影响较小</w:t>
            </w:r>
          </w:p>
        </w:tc>
        <w:tc>
          <w:tcPr>
            <w:tcW w:w="513" w:type="pct"/>
            <w:vAlign w:val="center"/>
          </w:tcPr>
          <w:p w14:paraId="75B76390">
            <w:pPr>
              <w:spacing w:before="156" w:beforeLines="50"/>
              <w:jc w:val="both"/>
              <w:rPr>
                <w:bCs/>
                <w:sz w:val="21"/>
                <w:szCs w:val="18"/>
              </w:rPr>
            </w:pPr>
            <w:r>
              <w:rPr>
                <w:rFonts w:hint="eastAsia"/>
                <w:bCs/>
                <w:sz w:val="21"/>
                <w:szCs w:val="18"/>
              </w:rPr>
              <w:t>平面指标高、顺直安全性高</w:t>
            </w:r>
          </w:p>
        </w:tc>
        <w:tc>
          <w:tcPr>
            <w:tcW w:w="727" w:type="pct"/>
            <w:vAlign w:val="center"/>
          </w:tcPr>
          <w:p w14:paraId="177385F9">
            <w:pPr>
              <w:spacing w:before="156" w:beforeLines="50"/>
              <w:jc w:val="both"/>
              <w:rPr>
                <w:bCs/>
                <w:sz w:val="21"/>
                <w:szCs w:val="18"/>
              </w:rPr>
            </w:pPr>
            <w:r>
              <w:rPr>
                <w:rFonts w:hint="eastAsia"/>
                <w:bCs/>
                <w:sz w:val="21"/>
                <w:szCs w:val="18"/>
              </w:rPr>
              <w:t>有声环境敏感目标；</w:t>
            </w:r>
            <w:r>
              <w:rPr>
                <w:rStyle w:val="145"/>
              </w:rPr>
              <w:t xml:space="preserve"> </w:t>
            </w:r>
            <w:r>
              <w:rPr>
                <w:rFonts w:hint="eastAsia"/>
                <w:bCs/>
                <w:sz w:val="21"/>
                <w:szCs w:val="18"/>
              </w:rPr>
              <w:t>盖孜河</w:t>
            </w:r>
          </w:p>
        </w:tc>
      </w:tr>
      <w:tr w14:paraId="002BE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78" w:type="pct"/>
            <w:vAlign w:val="center"/>
          </w:tcPr>
          <w:p w14:paraId="58B1CF7A">
            <w:pPr>
              <w:spacing w:before="156" w:beforeLines="50"/>
              <w:jc w:val="both"/>
              <w:rPr>
                <w:bCs/>
                <w:sz w:val="21"/>
                <w:szCs w:val="18"/>
              </w:rPr>
            </w:pPr>
            <w:r>
              <w:rPr>
                <w:rFonts w:hint="eastAsia"/>
                <w:bCs/>
                <w:sz w:val="21"/>
                <w:szCs w:val="18"/>
              </w:rPr>
              <w:t>A线</w:t>
            </w:r>
          </w:p>
        </w:tc>
        <w:tc>
          <w:tcPr>
            <w:tcW w:w="768" w:type="pct"/>
            <w:vAlign w:val="center"/>
          </w:tcPr>
          <w:p w14:paraId="38715011">
            <w:pPr>
              <w:spacing w:before="156" w:beforeLines="50"/>
              <w:jc w:val="both"/>
              <w:rPr>
                <w:bCs/>
                <w:sz w:val="21"/>
                <w:szCs w:val="18"/>
              </w:rPr>
            </w:pPr>
            <w:r>
              <w:rPr>
                <w:rFonts w:hint="eastAsia"/>
                <w:bCs/>
                <w:sz w:val="21"/>
                <w:szCs w:val="18"/>
              </w:rPr>
              <w:t>占用基本农田约</w:t>
            </w:r>
            <w:r>
              <w:rPr>
                <w:bCs/>
                <w:sz w:val="21"/>
                <w:szCs w:val="18"/>
              </w:rPr>
              <w:t xml:space="preserve"> 800亩</w:t>
            </w:r>
            <w:r>
              <w:rPr>
                <w:rFonts w:hint="eastAsia"/>
                <w:bCs/>
                <w:sz w:val="21"/>
                <w:szCs w:val="18"/>
              </w:rPr>
              <w:t>，涉及基本农田较多</w:t>
            </w:r>
          </w:p>
        </w:tc>
        <w:tc>
          <w:tcPr>
            <w:tcW w:w="599" w:type="pct"/>
            <w:vAlign w:val="center"/>
          </w:tcPr>
          <w:p w14:paraId="6E19605C">
            <w:pPr>
              <w:spacing w:before="156" w:beforeLines="50"/>
              <w:jc w:val="both"/>
              <w:rPr>
                <w:bCs/>
                <w:sz w:val="21"/>
                <w:szCs w:val="18"/>
              </w:rPr>
            </w:pPr>
            <w:r>
              <w:rPr>
                <w:rFonts w:hint="eastAsia"/>
                <w:bCs/>
                <w:sz w:val="21"/>
                <w:szCs w:val="18"/>
              </w:rPr>
              <w:t>耕地、未利用地、林地</w:t>
            </w:r>
          </w:p>
        </w:tc>
        <w:tc>
          <w:tcPr>
            <w:tcW w:w="789" w:type="pct"/>
            <w:vAlign w:val="center"/>
          </w:tcPr>
          <w:p w14:paraId="5E928E80">
            <w:pPr>
              <w:spacing w:before="156" w:beforeLines="50"/>
              <w:jc w:val="both"/>
              <w:rPr>
                <w:bCs/>
                <w:sz w:val="21"/>
                <w:szCs w:val="18"/>
              </w:rPr>
            </w:pPr>
            <w:r>
              <w:rPr>
                <w:rFonts w:hint="eastAsia"/>
                <w:sz w:val="21"/>
                <w:szCs w:val="18"/>
                <w:lang w:bidi="ar"/>
              </w:rPr>
              <w:t>线路切割既有村落布局，生态损失较多</w:t>
            </w:r>
          </w:p>
        </w:tc>
        <w:tc>
          <w:tcPr>
            <w:tcW w:w="925" w:type="pct"/>
            <w:vAlign w:val="center"/>
          </w:tcPr>
          <w:p w14:paraId="37719FB0">
            <w:pPr>
              <w:spacing w:before="156" w:beforeLines="50"/>
              <w:jc w:val="both"/>
              <w:rPr>
                <w:bCs/>
                <w:sz w:val="21"/>
                <w:szCs w:val="18"/>
              </w:rPr>
            </w:pPr>
            <w:r>
              <w:rPr>
                <w:rFonts w:hint="eastAsia"/>
                <w:bCs/>
                <w:sz w:val="21"/>
                <w:szCs w:val="18"/>
              </w:rPr>
              <w:t>拆迁量</w:t>
            </w:r>
            <w:r>
              <w:rPr>
                <w:bCs/>
                <w:sz w:val="21"/>
                <w:szCs w:val="18"/>
              </w:rPr>
              <w:t>59774.477 m</w:t>
            </w:r>
            <w:r>
              <w:rPr>
                <w:bCs/>
                <w:sz w:val="21"/>
                <w:szCs w:val="18"/>
                <w:vertAlign w:val="superscript"/>
              </w:rPr>
              <w:t>2</w:t>
            </w:r>
            <w:r>
              <w:rPr>
                <w:rFonts w:hint="eastAsia"/>
                <w:bCs/>
                <w:sz w:val="21"/>
                <w:szCs w:val="18"/>
              </w:rPr>
              <w:t>，拆迁量较大，对沿线居民影响较大</w:t>
            </w:r>
          </w:p>
        </w:tc>
        <w:tc>
          <w:tcPr>
            <w:tcW w:w="513" w:type="pct"/>
            <w:vAlign w:val="center"/>
          </w:tcPr>
          <w:p w14:paraId="1D07FEF4">
            <w:pPr>
              <w:spacing w:before="156" w:beforeLines="50"/>
              <w:jc w:val="both"/>
              <w:rPr>
                <w:bCs/>
                <w:sz w:val="21"/>
                <w:szCs w:val="18"/>
              </w:rPr>
            </w:pPr>
            <w:r>
              <w:rPr>
                <w:rFonts w:hint="eastAsia"/>
                <w:bCs/>
                <w:sz w:val="21"/>
                <w:szCs w:val="18"/>
              </w:rPr>
              <w:t>平面指标高、顺直安全性高</w:t>
            </w:r>
          </w:p>
        </w:tc>
        <w:tc>
          <w:tcPr>
            <w:tcW w:w="727" w:type="pct"/>
            <w:vAlign w:val="center"/>
          </w:tcPr>
          <w:p w14:paraId="56CC8C37">
            <w:pPr>
              <w:spacing w:before="156" w:beforeLines="50"/>
              <w:jc w:val="both"/>
              <w:rPr>
                <w:bCs/>
                <w:sz w:val="21"/>
                <w:szCs w:val="18"/>
              </w:rPr>
            </w:pPr>
            <w:r>
              <w:rPr>
                <w:rFonts w:hint="eastAsia"/>
                <w:bCs/>
                <w:sz w:val="21"/>
                <w:szCs w:val="18"/>
              </w:rPr>
              <w:t>路线跨越干渠分支及干渠，桥涵规模大，对灌溉渠影响较大，</w:t>
            </w:r>
            <w:r>
              <w:rPr>
                <w:bCs/>
                <w:sz w:val="21"/>
                <w:szCs w:val="18"/>
              </w:rPr>
              <w:t>有</w:t>
            </w:r>
            <w:r>
              <w:rPr>
                <w:rFonts w:hint="eastAsia"/>
                <w:bCs/>
                <w:sz w:val="21"/>
                <w:szCs w:val="18"/>
              </w:rPr>
              <w:t>声环境敏感目标、跨越盖孜河；影响较大</w:t>
            </w:r>
          </w:p>
        </w:tc>
      </w:tr>
      <w:tr w14:paraId="7526F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78" w:type="pct"/>
            <w:vAlign w:val="center"/>
          </w:tcPr>
          <w:p w14:paraId="307AB95E">
            <w:pPr>
              <w:spacing w:before="156" w:beforeLines="50"/>
              <w:jc w:val="both"/>
              <w:rPr>
                <w:bCs/>
                <w:sz w:val="21"/>
                <w:szCs w:val="18"/>
              </w:rPr>
            </w:pPr>
            <w:r>
              <w:rPr>
                <w:bCs/>
                <w:sz w:val="21"/>
                <w:szCs w:val="18"/>
              </w:rPr>
              <w:t>K+E线</w:t>
            </w:r>
          </w:p>
        </w:tc>
        <w:tc>
          <w:tcPr>
            <w:tcW w:w="768" w:type="pct"/>
            <w:vAlign w:val="center"/>
          </w:tcPr>
          <w:p w14:paraId="6F2623DD">
            <w:pPr>
              <w:spacing w:before="156" w:beforeLines="50"/>
              <w:jc w:val="both"/>
              <w:rPr>
                <w:bCs/>
                <w:sz w:val="21"/>
                <w:szCs w:val="18"/>
              </w:rPr>
            </w:pPr>
            <w:r>
              <w:rPr>
                <w:rFonts w:hint="eastAsia"/>
                <w:bCs/>
                <w:sz w:val="21"/>
                <w:szCs w:val="18"/>
              </w:rPr>
              <w:t>占用基本农田、一般耕地较少</w:t>
            </w:r>
          </w:p>
        </w:tc>
        <w:tc>
          <w:tcPr>
            <w:tcW w:w="599" w:type="pct"/>
            <w:vAlign w:val="center"/>
          </w:tcPr>
          <w:p w14:paraId="253ABFE9">
            <w:pPr>
              <w:spacing w:before="156" w:beforeLines="50"/>
              <w:jc w:val="both"/>
              <w:rPr>
                <w:bCs/>
                <w:sz w:val="21"/>
                <w:szCs w:val="18"/>
              </w:rPr>
            </w:pPr>
            <w:r>
              <w:rPr>
                <w:rFonts w:hint="eastAsia"/>
                <w:bCs/>
                <w:sz w:val="21"/>
                <w:szCs w:val="18"/>
              </w:rPr>
              <w:t>耕地、林地、未利用地</w:t>
            </w:r>
          </w:p>
        </w:tc>
        <w:tc>
          <w:tcPr>
            <w:tcW w:w="789" w:type="pct"/>
            <w:vAlign w:val="center"/>
          </w:tcPr>
          <w:p w14:paraId="59E11367">
            <w:pPr>
              <w:spacing w:before="156" w:beforeLines="50"/>
              <w:jc w:val="both"/>
              <w:rPr>
                <w:bCs/>
                <w:sz w:val="21"/>
                <w:szCs w:val="18"/>
              </w:rPr>
            </w:pPr>
            <w:r>
              <w:rPr>
                <w:rFonts w:hint="eastAsia"/>
                <w:bCs/>
                <w:sz w:val="21"/>
                <w:szCs w:val="18"/>
              </w:rPr>
              <w:t>占用大面积公益林，生态损失较多</w:t>
            </w:r>
          </w:p>
        </w:tc>
        <w:tc>
          <w:tcPr>
            <w:tcW w:w="925" w:type="pct"/>
            <w:vAlign w:val="center"/>
          </w:tcPr>
          <w:p w14:paraId="2AB23461">
            <w:pPr>
              <w:spacing w:before="156" w:beforeLines="50"/>
              <w:jc w:val="both"/>
              <w:rPr>
                <w:bCs/>
                <w:sz w:val="21"/>
                <w:szCs w:val="18"/>
              </w:rPr>
            </w:pPr>
            <w:r>
              <w:rPr>
                <w:rFonts w:hint="eastAsia"/>
                <w:bCs/>
                <w:sz w:val="21"/>
                <w:szCs w:val="18"/>
              </w:rPr>
              <w:t>拆迁量</w:t>
            </w:r>
            <w:r>
              <w:rPr>
                <w:bCs/>
                <w:sz w:val="21"/>
                <w:szCs w:val="18"/>
              </w:rPr>
              <w:t>20830.832m</w:t>
            </w:r>
            <w:r>
              <w:rPr>
                <w:bCs/>
                <w:sz w:val="21"/>
                <w:szCs w:val="18"/>
                <w:vertAlign w:val="superscript"/>
              </w:rPr>
              <w:t>2</w:t>
            </w:r>
            <w:r>
              <w:rPr>
                <w:rFonts w:hint="eastAsia"/>
                <w:bCs/>
                <w:sz w:val="21"/>
                <w:szCs w:val="18"/>
              </w:rPr>
              <w:t>，拆迁量相对较大，对沿线居民影响相对较大</w:t>
            </w:r>
          </w:p>
        </w:tc>
        <w:tc>
          <w:tcPr>
            <w:tcW w:w="513" w:type="pct"/>
            <w:vAlign w:val="center"/>
          </w:tcPr>
          <w:p w14:paraId="11903E8A">
            <w:pPr>
              <w:spacing w:before="156" w:beforeLines="50"/>
              <w:jc w:val="both"/>
              <w:rPr>
                <w:bCs/>
                <w:sz w:val="21"/>
                <w:szCs w:val="18"/>
              </w:rPr>
            </w:pPr>
            <w:r>
              <w:rPr>
                <w:rFonts w:hint="eastAsia"/>
                <w:bCs/>
                <w:sz w:val="21"/>
                <w:szCs w:val="18"/>
              </w:rPr>
              <w:t>路线曲折，平面指标低，安全性低</w:t>
            </w:r>
          </w:p>
        </w:tc>
        <w:tc>
          <w:tcPr>
            <w:tcW w:w="727" w:type="pct"/>
            <w:vAlign w:val="center"/>
          </w:tcPr>
          <w:p w14:paraId="65BBEAAE">
            <w:pPr>
              <w:spacing w:before="156" w:beforeLines="50"/>
              <w:jc w:val="both"/>
              <w:rPr>
                <w:bCs/>
                <w:sz w:val="21"/>
                <w:szCs w:val="18"/>
              </w:rPr>
            </w:pPr>
            <w:r>
              <w:rPr>
                <w:rFonts w:hint="eastAsia"/>
                <w:bCs/>
                <w:sz w:val="21"/>
                <w:szCs w:val="18"/>
              </w:rPr>
              <w:t>有声环境敏感目标、跨越盖孜河，河为新建大桥，影响较大</w:t>
            </w:r>
          </w:p>
        </w:tc>
      </w:tr>
    </w:tbl>
    <w:p w14:paraId="730687DF">
      <w:pPr>
        <w:spacing w:line="360" w:lineRule="auto"/>
        <w:ind w:firstLine="482"/>
        <w:jc w:val="both"/>
        <w:rPr>
          <w:rFonts w:ascii="Times New Roman" w:hAnsi="Times New Roman" w:cs="Times New Roman"/>
          <w:spacing w:val="-6"/>
        </w:rPr>
      </w:pPr>
      <w:r>
        <w:rPr>
          <w:rFonts w:hint="eastAsia" w:ascii="Times New Roman" w:hAnsi="Times New Roman" w:cs="Times New Roman"/>
          <w:spacing w:val="-6"/>
        </w:rPr>
        <w:t>综合比选K方案全线大部分路段位于河滩、未利用地段，不占用基本农田、耕地，生态损失较少；拆迁量小。平面指标高、顺直安全性高，声环境敏感目标较少；</w:t>
      </w:r>
      <w:r>
        <w:rPr>
          <w:rFonts w:ascii="Times New Roman" w:hAnsi="Times New Roman" w:cs="Times New Roman"/>
          <w:spacing w:val="-6"/>
        </w:rPr>
        <w:t>K</w:t>
      </w:r>
      <w:r>
        <w:rPr>
          <w:rFonts w:hint="eastAsia" w:ascii="Times New Roman" w:hAnsi="Times New Roman" w:cs="Times New Roman"/>
          <w:spacing w:val="-6"/>
        </w:rPr>
        <w:t>线虽然跨越盖孜河，但通过采取在桥梁墩台施工钻孔桩基础采用先进技术，同时加强施工期管理等措施后，对水质影响较小。</w:t>
      </w:r>
    </w:p>
    <w:p w14:paraId="5C977A1C">
      <w:pPr>
        <w:spacing w:line="360" w:lineRule="auto"/>
        <w:ind w:firstLine="482"/>
        <w:jc w:val="both"/>
        <w:rPr>
          <w:rFonts w:ascii="Times New Roman" w:hAnsi="Times New Roman" w:cs="Times New Roman"/>
          <w:spacing w:val="-6"/>
        </w:rPr>
      </w:pPr>
      <w:r>
        <w:rPr>
          <w:rFonts w:hint="eastAsia" w:ascii="Times New Roman" w:hAnsi="Times New Roman" w:cs="Times New Roman"/>
          <w:spacing w:val="-6"/>
        </w:rPr>
        <w:t>从环保角度分析，推荐</w:t>
      </w:r>
      <w:r>
        <w:rPr>
          <w:rFonts w:ascii="Times New Roman" w:hAnsi="Times New Roman" w:cs="Times New Roman"/>
          <w:spacing w:val="-6"/>
        </w:rPr>
        <w:t>K线选线。</w:t>
      </w:r>
    </w:p>
    <w:bookmarkEnd w:id="380"/>
    <w:bookmarkEnd w:id="381"/>
    <w:bookmarkEnd w:id="390"/>
    <w:p w14:paraId="3A346701">
      <w:pPr>
        <w:pStyle w:val="4"/>
        <w:adjustRightInd w:val="0"/>
        <w:snapToGrid w:val="0"/>
        <w:spacing w:before="156" w:after="156" w:line="240" w:lineRule="auto"/>
        <w:rPr>
          <w:rFonts w:ascii="Times New Roman" w:hAnsi="Times New Roman" w:cs="Times New Roman"/>
          <w:sz w:val="30"/>
        </w:rPr>
      </w:pPr>
      <w:bookmarkStart w:id="391" w:name="_Toc57826731"/>
      <w:bookmarkStart w:id="392" w:name="_Toc34989566"/>
      <w:bookmarkStart w:id="393" w:name="_Toc98413524"/>
      <w:bookmarkStart w:id="394" w:name="_Toc98414206"/>
      <w:bookmarkStart w:id="395" w:name="_Toc97464629"/>
      <w:r>
        <w:rPr>
          <w:rFonts w:ascii="Times New Roman" w:hAnsi="Times New Roman" w:cs="Times New Roman"/>
          <w:sz w:val="30"/>
        </w:rPr>
        <w:t>3.3.2临时工程的选址合理性分析</w:t>
      </w:r>
      <w:bookmarkEnd w:id="391"/>
      <w:bookmarkEnd w:id="392"/>
      <w:bookmarkEnd w:id="393"/>
      <w:bookmarkEnd w:id="394"/>
      <w:bookmarkEnd w:id="395"/>
    </w:p>
    <w:p w14:paraId="07605B3F">
      <w:pPr>
        <w:spacing w:line="360" w:lineRule="auto"/>
        <w:ind w:firstLine="456" w:firstLineChars="200"/>
        <w:jc w:val="both"/>
        <w:rPr>
          <w:rFonts w:ascii="Times New Roman" w:hAnsi="Times New Roman" w:cs="Times New Roman"/>
          <w:spacing w:val="-6"/>
        </w:rPr>
      </w:pPr>
      <w:r>
        <w:rPr>
          <w:rFonts w:hint="eastAsia" w:ascii="Times New Roman" w:hAnsi="Times New Roman" w:cs="Times New Roman"/>
          <w:spacing w:val="-6"/>
        </w:rPr>
        <w:t>本项目所设拌合站、预制场本着环保节约用地的原则，尽量选择未利用空地设置。拌合站、预制场根据沿线筑路材料与构造物的分布、地形、地物情况，结合考虑环境保护要求、施工组织计划等因素，同时考虑桥梁、互通等重点工程的位置和材料用料情况。</w:t>
      </w:r>
    </w:p>
    <w:p w14:paraId="1699371D">
      <w:pPr>
        <w:spacing w:line="360" w:lineRule="auto"/>
        <w:ind w:firstLine="456" w:firstLineChars="200"/>
        <w:jc w:val="both"/>
        <w:rPr>
          <w:rFonts w:ascii="Times New Roman" w:hAnsi="Times New Roman" w:cs="Times New Roman"/>
          <w:spacing w:val="-6"/>
        </w:rPr>
      </w:pPr>
      <w:r>
        <w:rPr>
          <w:rFonts w:ascii="Times New Roman" w:hAnsi="Times New Roman" w:cs="Times New Roman"/>
          <w:spacing w:val="-6"/>
        </w:rPr>
        <w:t>（1）2处施工综合场站选址合理性分析</w:t>
      </w:r>
    </w:p>
    <w:p w14:paraId="0EE401FE">
      <w:pPr>
        <w:spacing w:line="360" w:lineRule="auto"/>
        <w:ind w:firstLine="456" w:firstLineChars="200"/>
        <w:jc w:val="both"/>
        <w:rPr>
          <w:rFonts w:ascii="Times New Roman" w:hAnsi="Times New Roman" w:cs="Times New Roman"/>
          <w:spacing w:val="-6"/>
        </w:rPr>
      </w:pPr>
      <w:bookmarkStart w:id="396" w:name="_Hlk172490023"/>
      <w:r>
        <w:rPr>
          <w:rFonts w:hint="eastAsia" w:ascii="Times New Roman" w:hAnsi="Times New Roman" w:cs="Times New Roman"/>
          <w:spacing w:val="-6"/>
        </w:rPr>
        <w:t>本项目设置2处施工综合场站，</w:t>
      </w:r>
      <w:r>
        <w:rPr>
          <w:rFonts w:ascii="Times New Roman" w:hAnsi="Times New Roman" w:cs="Times New Roman"/>
          <w:spacing w:val="-6"/>
        </w:rPr>
        <w:t>2座施工综合场站内均设置水稳混凝土拌合站、水泥混凝土拌合站、沥青拌合站、预制场、生活区</w:t>
      </w:r>
      <w:r>
        <w:rPr>
          <w:rFonts w:hint="eastAsia" w:ascii="Times New Roman" w:hAnsi="Times New Roman" w:cs="Times New Roman"/>
          <w:spacing w:val="-6"/>
        </w:rPr>
        <w:t>，详见表</w:t>
      </w:r>
      <w:r>
        <w:rPr>
          <w:rFonts w:ascii="Times New Roman" w:hAnsi="Times New Roman" w:cs="Times New Roman"/>
          <w:spacing w:val="-6"/>
        </w:rPr>
        <w:t>3.3-2。</w:t>
      </w:r>
    </w:p>
    <w:p w14:paraId="5C2D386D">
      <w:pPr>
        <w:jc w:val="center"/>
        <w:rPr>
          <w:rFonts w:ascii="黑体" w:hAnsi="黑体" w:eastAsia="黑体" w:cs="Times New Roman"/>
        </w:rPr>
      </w:pPr>
      <w:r>
        <w:rPr>
          <w:rFonts w:ascii="黑体" w:hAnsi="黑体" w:eastAsia="黑体" w:cs="Times New Roman"/>
        </w:rPr>
        <w:t>表3.3-2</w:t>
      </w:r>
      <w:r>
        <w:rPr>
          <w:rFonts w:hint="eastAsia" w:ascii="黑体" w:hAnsi="黑体" w:eastAsia="黑体" w:cs="Times New Roman"/>
        </w:rPr>
        <w:t>施工综合场站设置情况</w:t>
      </w:r>
      <w:r>
        <w:rPr>
          <w:rFonts w:ascii="黑体" w:hAnsi="黑体" w:eastAsia="黑体" w:cs="Times New Roman"/>
        </w:rPr>
        <w:t>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167"/>
        <w:gridCol w:w="2038"/>
        <w:gridCol w:w="1602"/>
        <w:gridCol w:w="1252"/>
      </w:tblGrid>
      <w:tr w14:paraId="32C6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48" w:type="pct"/>
            <w:vAlign w:val="center"/>
          </w:tcPr>
          <w:p w14:paraId="4DDA8E8E">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napToGrid w:val="0"/>
                <w:sz w:val="22"/>
                <w:szCs w:val="18"/>
              </w:rPr>
              <w:t>名称</w:t>
            </w:r>
          </w:p>
        </w:tc>
        <w:tc>
          <w:tcPr>
            <w:tcW w:w="684" w:type="pct"/>
            <w:vAlign w:val="center"/>
          </w:tcPr>
          <w:p w14:paraId="549BB913">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napToGrid w:val="0"/>
                <w:sz w:val="22"/>
                <w:szCs w:val="18"/>
              </w:rPr>
              <w:t>占地类型</w:t>
            </w:r>
          </w:p>
        </w:tc>
        <w:tc>
          <w:tcPr>
            <w:tcW w:w="1195" w:type="pct"/>
            <w:vAlign w:val="center"/>
          </w:tcPr>
          <w:p w14:paraId="7517DF6C">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napToGrid w:val="0"/>
                <w:sz w:val="22"/>
                <w:szCs w:val="18"/>
              </w:rPr>
              <w:t>位置或桩号</w:t>
            </w:r>
          </w:p>
        </w:tc>
        <w:tc>
          <w:tcPr>
            <w:tcW w:w="939" w:type="pct"/>
            <w:vAlign w:val="center"/>
          </w:tcPr>
          <w:p w14:paraId="2FE3240D">
            <w:pPr>
              <w:adjustRightInd w:val="0"/>
              <w:snapToGrid w:val="0"/>
              <w:spacing w:line="240" w:lineRule="exact"/>
              <w:jc w:val="center"/>
              <w:rPr>
                <w:rFonts w:ascii="Times New Roman" w:hAnsi="Times New Roman" w:cs="Times New Roman"/>
                <w:sz w:val="22"/>
                <w:szCs w:val="18"/>
              </w:rPr>
            </w:pPr>
            <w:r>
              <w:rPr>
                <w:rFonts w:hint="eastAsia" w:ascii="Times New Roman" w:hAnsi="Times New Roman" w:cs="Times New Roman"/>
                <w:sz w:val="22"/>
                <w:szCs w:val="18"/>
              </w:rPr>
              <w:t>支线距离</w:t>
            </w:r>
          </w:p>
          <w:p w14:paraId="37EADD44">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z w:val="22"/>
                <w:szCs w:val="18"/>
              </w:rPr>
              <w:t>（</w:t>
            </w:r>
            <w:r>
              <w:rPr>
                <w:rFonts w:ascii="Times New Roman" w:hAnsi="Times New Roman" w:cs="Times New Roman"/>
                <w:sz w:val="22"/>
                <w:szCs w:val="18"/>
              </w:rPr>
              <w:t>m</w:t>
            </w:r>
            <w:r>
              <w:rPr>
                <w:rFonts w:hint="eastAsia" w:ascii="Times New Roman" w:hAnsi="Times New Roman" w:cs="Times New Roman"/>
                <w:sz w:val="22"/>
                <w:szCs w:val="18"/>
              </w:rPr>
              <w:t>）</w:t>
            </w:r>
          </w:p>
        </w:tc>
        <w:tc>
          <w:tcPr>
            <w:tcW w:w="734" w:type="pct"/>
            <w:vAlign w:val="center"/>
          </w:tcPr>
          <w:p w14:paraId="48374BAD">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napToGrid w:val="0"/>
                <w:sz w:val="22"/>
                <w:szCs w:val="18"/>
              </w:rPr>
              <w:t>占地面积</w:t>
            </w:r>
          </w:p>
          <w:p w14:paraId="0C5EFAC0">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napToGrid w:val="0"/>
                <w:sz w:val="22"/>
                <w:szCs w:val="18"/>
              </w:rPr>
              <w:t>（</w:t>
            </w:r>
            <w:r>
              <w:rPr>
                <w:rFonts w:hint="eastAsia" w:ascii="Times New Roman" w:hAnsi="Times New Roman" w:cs="Times New Roman"/>
                <w:snapToGrid w:val="0"/>
                <w:sz w:val="22"/>
                <w:szCs w:val="18"/>
              </w:rPr>
              <w:t>亩</w:t>
            </w:r>
            <w:r>
              <w:rPr>
                <w:rFonts w:ascii="Times New Roman" w:hAnsi="Times New Roman" w:cs="Times New Roman"/>
                <w:snapToGrid w:val="0"/>
                <w:sz w:val="22"/>
                <w:szCs w:val="18"/>
              </w:rPr>
              <w:t>）</w:t>
            </w:r>
          </w:p>
        </w:tc>
      </w:tr>
      <w:tr w14:paraId="7024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48" w:type="pct"/>
            <w:vAlign w:val="center"/>
          </w:tcPr>
          <w:p w14:paraId="7DCA9005">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z w:val="22"/>
                <w:szCs w:val="18"/>
              </w:rPr>
              <w:t>1#综合场站（拌合站、预制场）</w:t>
            </w:r>
            <w:r>
              <w:rPr>
                <w:rFonts w:hint="eastAsia" w:ascii="Times New Roman" w:hAnsi="Times New Roman" w:cs="Times New Roman"/>
                <w:sz w:val="22"/>
                <w:szCs w:val="18"/>
              </w:rPr>
              <w:t>及其施工便道</w:t>
            </w:r>
          </w:p>
        </w:tc>
        <w:tc>
          <w:tcPr>
            <w:tcW w:w="684" w:type="pct"/>
            <w:vAlign w:val="center"/>
          </w:tcPr>
          <w:p w14:paraId="5F041A6F">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napToGrid w:val="0"/>
                <w:sz w:val="22"/>
                <w:szCs w:val="18"/>
              </w:rPr>
              <w:t>荒地</w:t>
            </w:r>
          </w:p>
        </w:tc>
        <w:tc>
          <w:tcPr>
            <w:tcW w:w="1195" w:type="pct"/>
            <w:vAlign w:val="center"/>
          </w:tcPr>
          <w:p w14:paraId="3B76EFAA">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napToGrid w:val="0"/>
                <w:sz w:val="22"/>
                <w:szCs w:val="18"/>
              </w:rPr>
              <w:t>K14+000右侧100m</w:t>
            </w:r>
          </w:p>
        </w:tc>
        <w:tc>
          <w:tcPr>
            <w:tcW w:w="939" w:type="pct"/>
            <w:vAlign w:val="center"/>
          </w:tcPr>
          <w:p w14:paraId="5CD51057">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z w:val="22"/>
                <w:szCs w:val="18"/>
              </w:rPr>
              <w:t>1</w:t>
            </w:r>
            <w:r>
              <w:rPr>
                <w:rFonts w:ascii="Times New Roman" w:hAnsi="Times New Roman" w:cs="Times New Roman"/>
                <w:sz w:val="22"/>
                <w:szCs w:val="18"/>
              </w:rPr>
              <w:t>00</w:t>
            </w:r>
          </w:p>
        </w:tc>
        <w:tc>
          <w:tcPr>
            <w:tcW w:w="734" w:type="pct"/>
            <w:vAlign w:val="center"/>
          </w:tcPr>
          <w:p w14:paraId="74E0D3A9">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napToGrid w:val="0"/>
                <w:sz w:val="22"/>
                <w:szCs w:val="18"/>
              </w:rPr>
              <w:t>1</w:t>
            </w:r>
            <w:r>
              <w:rPr>
                <w:rFonts w:ascii="Times New Roman" w:hAnsi="Times New Roman" w:cs="Times New Roman"/>
                <w:snapToGrid w:val="0"/>
                <w:sz w:val="22"/>
                <w:szCs w:val="18"/>
              </w:rPr>
              <w:t>2.94</w:t>
            </w:r>
          </w:p>
        </w:tc>
      </w:tr>
      <w:tr w14:paraId="3A44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48" w:type="pct"/>
            <w:vAlign w:val="center"/>
          </w:tcPr>
          <w:p w14:paraId="5510785E">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z w:val="22"/>
                <w:szCs w:val="18"/>
              </w:rPr>
              <w:t>2#综合场站（拌合站、预制场）</w:t>
            </w:r>
            <w:r>
              <w:rPr>
                <w:rFonts w:hint="eastAsia" w:ascii="Times New Roman" w:hAnsi="Times New Roman" w:cs="Times New Roman"/>
                <w:sz w:val="22"/>
                <w:szCs w:val="18"/>
              </w:rPr>
              <w:t>及其施工便道</w:t>
            </w:r>
          </w:p>
        </w:tc>
        <w:tc>
          <w:tcPr>
            <w:tcW w:w="684" w:type="pct"/>
            <w:vAlign w:val="center"/>
          </w:tcPr>
          <w:p w14:paraId="73E68417">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napToGrid w:val="0"/>
                <w:sz w:val="22"/>
                <w:szCs w:val="18"/>
              </w:rPr>
              <w:t>荒地</w:t>
            </w:r>
          </w:p>
        </w:tc>
        <w:tc>
          <w:tcPr>
            <w:tcW w:w="1195" w:type="pct"/>
            <w:vAlign w:val="center"/>
          </w:tcPr>
          <w:p w14:paraId="6D664D4E">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z w:val="22"/>
                <w:szCs w:val="18"/>
              </w:rPr>
              <w:t>K27+500右侧100m</w:t>
            </w:r>
          </w:p>
        </w:tc>
        <w:tc>
          <w:tcPr>
            <w:tcW w:w="939" w:type="pct"/>
            <w:vAlign w:val="center"/>
          </w:tcPr>
          <w:p w14:paraId="08B0995C">
            <w:pPr>
              <w:adjustRightInd w:val="0"/>
              <w:snapToGrid w:val="0"/>
              <w:spacing w:line="240" w:lineRule="exact"/>
              <w:jc w:val="center"/>
              <w:rPr>
                <w:rFonts w:ascii="Times New Roman" w:hAnsi="Times New Roman" w:cs="Times New Roman"/>
                <w:snapToGrid w:val="0"/>
                <w:sz w:val="22"/>
                <w:szCs w:val="18"/>
              </w:rPr>
            </w:pPr>
            <w:r>
              <w:rPr>
                <w:rFonts w:ascii="Times New Roman" w:hAnsi="Times New Roman" w:cs="Times New Roman"/>
                <w:sz w:val="22"/>
                <w:szCs w:val="18"/>
              </w:rPr>
              <w:t>100</w:t>
            </w:r>
          </w:p>
        </w:tc>
        <w:tc>
          <w:tcPr>
            <w:tcW w:w="734" w:type="pct"/>
            <w:vAlign w:val="center"/>
          </w:tcPr>
          <w:p w14:paraId="79F800D0">
            <w:pPr>
              <w:adjustRightInd w:val="0"/>
              <w:snapToGrid w:val="0"/>
              <w:spacing w:line="240" w:lineRule="exact"/>
              <w:jc w:val="center"/>
              <w:rPr>
                <w:rFonts w:ascii="Times New Roman" w:hAnsi="Times New Roman" w:cs="Times New Roman"/>
                <w:snapToGrid w:val="0"/>
                <w:sz w:val="22"/>
                <w:szCs w:val="18"/>
              </w:rPr>
            </w:pPr>
            <w:r>
              <w:rPr>
                <w:rFonts w:hint="eastAsia" w:ascii="Times New Roman" w:hAnsi="Times New Roman" w:cs="Times New Roman"/>
                <w:snapToGrid w:val="0"/>
                <w:sz w:val="22"/>
                <w:szCs w:val="18"/>
              </w:rPr>
              <w:t>1</w:t>
            </w:r>
            <w:r>
              <w:rPr>
                <w:rFonts w:ascii="Times New Roman" w:hAnsi="Times New Roman" w:cs="Times New Roman"/>
                <w:snapToGrid w:val="0"/>
                <w:sz w:val="22"/>
                <w:szCs w:val="18"/>
              </w:rPr>
              <w:t>1.94</w:t>
            </w:r>
          </w:p>
        </w:tc>
      </w:tr>
    </w:tbl>
    <w:p w14:paraId="60B51989">
      <w:pPr>
        <w:spacing w:line="360" w:lineRule="auto"/>
        <w:ind w:firstLine="456" w:firstLineChars="200"/>
        <w:jc w:val="both"/>
        <w:rPr>
          <w:rFonts w:ascii="Times New Roman" w:hAnsi="Times New Roman" w:cs="Times New Roman"/>
          <w:spacing w:val="-6"/>
        </w:rPr>
      </w:pPr>
      <w:r>
        <w:rPr>
          <w:rFonts w:hint="eastAsia" w:ascii="Times New Roman" w:hAnsi="Times New Roman" w:cs="Times New Roman"/>
          <w:spacing w:val="-6"/>
        </w:rPr>
        <w:t>拟建项目施工综合场站布置情况及其合理性分析见表</w:t>
      </w:r>
      <w:r>
        <w:rPr>
          <w:rFonts w:ascii="Times New Roman" w:hAnsi="Times New Roman" w:cs="Times New Roman"/>
          <w:spacing w:val="-6"/>
        </w:rPr>
        <w:t>3.3-3。从表中可以看出，施工区位于未利用地，未占用耕地</w:t>
      </w:r>
      <w:r>
        <w:rPr>
          <w:rFonts w:hint="eastAsia" w:ascii="Times New Roman" w:hAnsi="Times New Roman" w:cs="Times New Roman"/>
          <w:spacing w:val="-6"/>
        </w:rPr>
        <w:t>；同时选址周围无自然保护区、水源保护区、城镇规划区、生态保护红线等敏感区域。</w:t>
      </w:r>
    </w:p>
    <w:p w14:paraId="1EA1969B">
      <w:pPr>
        <w:spacing w:line="360" w:lineRule="auto"/>
        <w:ind w:firstLine="456" w:firstLineChars="200"/>
        <w:jc w:val="both"/>
        <w:rPr>
          <w:rFonts w:ascii="Times New Roman" w:hAnsi="Times New Roman" w:cs="Times New Roman"/>
          <w:spacing w:val="-6"/>
        </w:rPr>
      </w:pPr>
      <w:r>
        <w:rPr>
          <w:rFonts w:ascii="Times New Roman" w:hAnsi="Times New Roman" w:cs="Times New Roman"/>
          <w:spacing w:val="-6"/>
        </w:rPr>
        <w:t>为防治暴雨或雨季、融雪季节，施工工区地表径流流入盖孜河造成其水质受污染的风险，在下一阶段</w:t>
      </w:r>
      <w:r>
        <w:rPr>
          <w:rFonts w:hint="eastAsia" w:ascii="Times New Roman" w:hAnsi="Times New Roman" w:cs="Times New Roman"/>
          <w:spacing w:val="-6"/>
        </w:rPr>
        <w:t>应</w:t>
      </w:r>
      <w:r>
        <w:rPr>
          <w:rFonts w:ascii="Times New Roman" w:hAnsi="Times New Roman" w:cs="Times New Roman"/>
          <w:spacing w:val="-6"/>
        </w:rPr>
        <w:t>按照施工总体布置，严格设置各施工生产，严格限制施工活动范围，禁止自行扩大施工用地，减少临时占地对生态环境的影响。加强施工设备维护，配备备用电源，一旦发生事故，施工生产废水处理设施不能正常运转时，应立即停止施工，进行设备修理，待设备恢复正常后，方可开始施工。施工期生产废水不外排，严禁排入盖孜河。</w:t>
      </w:r>
    </w:p>
    <w:p w14:paraId="381B791F">
      <w:pPr>
        <w:spacing w:line="360" w:lineRule="auto"/>
        <w:ind w:firstLine="456" w:firstLineChars="200"/>
        <w:jc w:val="both"/>
        <w:rPr>
          <w:rFonts w:ascii="Times New Roman" w:hAnsi="Times New Roman" w:cs="Times New Roman"/>
          <w:spacing w:val="-6"/>
        </w:rPr>
      </w:pPr>
      <w:r>
        <w:rPr>
          <w:rFonts w:hint="eastAsia" w:ascii="Times New Roman" w:hAnsi="Times New Roman" w:cs="Times New Roman"/>
          <w:spacing w:val="-6"/>
        </w:rPr>
        <w:t>从环境角度分析，施工场地临时占地选址的布置方案是合理的。</w:t>
      </w:r>
    </w:p>
    <w:p w14:paraId="110278AD">
      <w:pPr>
        <w:spacing w:before="156" w:beforeLines="50" w:line="560" w:lineRule="exact"/>
        <w:ind w:firstLine="343" w:firstLineChars="143"/>
        <w:jc w:val="center"/>
        <w:rPr>
          <w:rFonts w:ascii="Times New Roman" w:hAnsi="Times New Roman" w:eastAsia="黑体" w:cs="Times New Roman"/>
        </w:rPr>
      </w:pPr>
      <w:r>
        <w:rPr>
          <w:rFonts w:ascii="Times New Roman" w:hAnsi="Times New Roman" w:eastAsia="黑体" w:cs="Times New Roman"/>
        </w:rPr>
        <w:t>表3.3-3</w:t>
      </w:r>
      <w:r>
        <w:rPr>
          <w:rFonts w:hint="eastAsia" w:ascii="Times New Roman" w:hAnsi="Times New Roman" w:eastAsia="黑体" w:cs="Times New Roman"/>
        </w:rPr>
        <w:t>施工综合场站</w:t>
      </w:r>
      <w:r>
        <w:rPr>
          <w:rFonts w:ascii="Times New Roman" w:hAnsi="Times New Roman" w:eastAsia="黑体" w:cs="Times New Roman"/>
        </w:rPr>
        <w:t>设置合理性分析及恢复措施建议</w:t>
      </w:r>
    </w:p>
    <w:tbl>
      <w:tblPr>
        <w:tblStyle w:val="8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6"/>
        <w:gridCol w:w="3014"/>
        <w:gridCol w:w="2482"/>
        <w:gridCol w:w="2263"/>
      </w:tblGrid>
      <w:tr w14:paraId="2DEE7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9" w:type="pct"/>
            <w:vAlign w:val="center"/>
          </w:tcPr>
          <w:p w14:paraId="26DC333B">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名称</w:t>
            </w:r>
          </w:p>
        </w:tc>
        <w:tc>
          <w:tcPr>
            <w:tcW w:w="1768" w:type="pct"/>
            <w:vAlign w:val="center"/>
          </w:tcPr>
          <w:p w14:paraId="68A6229E">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选址及占地</w:t>
            </w:r>
            <w:r>
              <w:rPr>
                <w:rFonts w:ascii="Times New Roman" w:hAnsi="Times New Roman" w:cs="Times New Roman"/>
                <w:snapToGrid w:val="0"/>
                <w:sz w:val="21"/>
                <w:szCs w:val="18"/>
              </w:rPr>
              <w:t>合理性分析</w:t>
            </w:r>
          </w:p>
        </w:tc>
        <w:tc>
          <w:tcPr>
            <w:tcW w:w="1456" w:type="pct"/>
            <w:vAlign w:val="center"/>
          </w:tcPr>
          <w:p w14:paraId="488AEC7A">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运输合理性</w:t>
            </w:r>
          </w:p>
        </w:tc>
        <w:tc>
          <w:tcPr>
            <w:tcW w:w="1327" w:type="pct"/>
            <w:vAlign w:val="center"/>
          </w:tcPr>
          <w:p w14:paraId="149EDF70">
            <w:pPr>
              <w:adjustRightInd w:val="0"/>
              <w:snapToGrid w:val="0"/>
              <w:jc w:val="center"/>
              <w:rPr>
                <w:rFonts w:ascii="Times New Roman" w:hAnsi="Times New Roman" w:cs="Times New Roman"/>
                <w:snapToGrid w:val="0"/>
                <w:sz w:val="21"/>
                <w:szCs w:val="18"/>
              </w:rPr>
            </w:pPr>
            <w:r>
              <w:rPr>
                <w:rFonts w:ascii="Times New Roman" w:hAnsi="Times New Roman" w:cs="Times New Roman"/>
                <w:snapToGrid w:val="0"/>
                <w:sz w:val="21"/>
                <w:szCs w:val="18"/>
              </w:rPr>
              <w:t>恢复建议</w:t>
            </w:r>
          </w:p>
        </w:tc>
      </w:tr>
      <w:tr w14:paraId="0785C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49" w:type="pct"/>
            <w:vAlign w:val="center"/>
          </w:tcPr>
          <w:p w14:paraId="30D94835">
            <w:pPr>
              <w:adjustRightInd w:val="0"/>
              <w:snapToGrid w:val="0"/>
              <w:jc w:val="center"/>
              <w:rPr>
                <w:rFonts w:ascii="Times New Roman" w:hAnsi="Times New Roman" w:cs="Times New Roman"/>
                <w:snapToGrid w:val="0"/>
                <w:sz w:val="21"/>
                <w:szCs w:val="18"/>
              </w:rPr>
            </w:pPr>
            <w:r>
              <w:rPr>
                <w:rFonts w:hint="eastAsia" w:ascii="Times New Roman" w:hAnsi="Times New Roman" w:cs="Times New Roman"/>
                <w:snapToGrid w:val="0"/>
                <w:sz w:val="21"/>
                <w:szCs w:val="18"/>
              </w:rPr>
              <w:t>2处施工综合场站</w:t>
            </w:r>
          </w:p>
        </w:tc>
        <w:tc>
          <w:tcPr>
            <w:tcW w:w="1768" w:type="pct"/>
            <w:vAlign w:val="center"/>
          </w:tcPr>
          <w:p w14:paraId="1AB3EDDA">
            <w:pPr>
              <w:adjustRightInd w:val="0"/>
              <w:snapToGrid w:val="0"/>
              <w:rPr>
                <w:rFonts w:ascii="Times New Roman" w:hAnsi="Times New Roman" w:cs="Times New Roman"/>
                <w:snapToGrid w:val="0"/>
                <w:sz w:val="21"/>
                <w:szCs w:val="18"/>
              </w:rPr>
            </w:pPr>
            <w:r>
              <w:rPr>
                <w:rFonts w:ascii="Times New Roman" w:hAnsi="Times New Roman" w:cs="Times New Roman"/>
                <w:snapToGrid w:val="0"/>
                <w:sz w:val="21"/>
                <w:szCs w:val="18"/>
              </w:rPr>
              <w:t>2处施工综合场站占地类型</w:t>
            </w:r>
            <w:r>
              <w:rPr>
                <w:rFonts w:hint="eastAsia" w:ascii="Times New Roman" w:hAnsi="Times New Roman" w:cs="Times New Roman"/>
                <w:snapToGrid w:val="0"/>
                <w:sz w:val="21"/>
                <w:szCs w:val="18"/>
              </w:rPr>
              <w:t>均</w:t>
            </w:r>
            <w:r>
              <w:rPr>
                <w:rFonts w:ascii="Times New Roman" w:hAnsi="Times New Roman" w:cs="Times New Roman"/>
                <w:snapToGrid w:val="0"/>
                <w:sz w:val="21"/>
                <w:szCs w:val="18"/>
              </w:rPr>
              <w:t>为</w:t>
            </w:r>
            <w:r>
              <w:rPr>
                <w:rFonts w:hint="eastAsia" w:ascii="Times New Roman" w:hAnsi="Times New Roman" w:cs="Times New Roman"/>
                <w:snapToGrid w:val="0"/>
                <w:sz w:val="21"/>
                <w:szCs w:val="18"/>
              </w:rPr>
              <w:t>荒地</w:t>
            </w:r>
            <w:r>
              <w:rPr>
                <w:rFonts w:ascii="Times New Roman" w:hAnsi="Times New Roman" w:cs="Times New Roman"/>
                <w:snapToGrid w:val="0"/>
                <w:sz w:val="21"/>
                <w:szCs w:val="18"/>
              </w:rPr>
              <w:t>，不</w:t>
            </w:r>
            <w:r>
              <w:rPr>
                <w:rFonts w:hint="eastAsia" w:ascii="Times New Roman" w:hAnsi="Times New Roman" w:cs="Times New Roman"/>
                <w:snapToGrid w:val="0"/>
                <w:sz w:val="21"/>
                <w:szCs w:val="18"/>
              </w:rPr>
              <w:t>占用耕地</w:t>
            </w:r>
            <w:r>
              <w:rPr>
                <w:rFonts w:ascii="Times New Roman" w:hAnsi="Times New Roman" w:cs="Times New Roman"/>
                <w:snapToGrid w:val="0"/>
                <w:sz w:val="21"/>
                <w:szCs w:val="18"/>
              </w:rPr>
              <w:t>，项目区沿线</w:t>
            </w:r>
            <w:r>
              <w:rPr>
                <w:rFonts w:hint="eastAsia" w:ascii="Times New Roman" w:hAnsi="Times New Roman" w:cs="Times New Roman"/>
                <w:snapToGrid w:val="0"/>
                <w:sz w:val="21"/>
                <w:szCs w:val="18"/>
              </w:rPr>
              <w:t>植被为芨芨草、猪毛菜当地常见物种，</w:t>
            </w:r>
            <w:r>
              <w:rPr>
                <w:rFonts w:ascii="Times New Roman" w:hAnsi="Times New Roman" w:cs="Times New Roman"/>
                <w:snapToGrid w:val="0"/>
                <w:sz w:val="21"/>
                <w:szCs w:val="18"/>
              </w:rPr>
              <w:t>无保护植物分布</w:t>
            </w:r>
            <w:r>
              <w:rPr>
                <w:rFonts w:hint="eastAsia" w:ascii="Times New Roman" w:hAnsi="Times New Roman" w:cs="Times New Roman"/>
                <w:snapToGrid w:val="0"/>
                <w:sz w:val="21"/>
                <w:szCs w:val="18"/>
              </w:rPr>
              <w:t>。未发现野生保护动物。</w:t>
            </w:r>
            <w:r>
              <w:rPr>
                <w:rFonts w:ascii="Times New Roman" w:hAnsi="Times New Roman" w:cs="Times New Roman"/>
                <w:snapToGrid w:val="0"/>
                <w:sz w:val="21"/>
                <w:szCs w:val="18"/>
              </w:rPr>
              <w:t>周边500m范围内无居民等大气敏感目标分布。该空地地势平坦，易于修建便道接入主体工程，设置合理</w:t>
            </w:r>
          </w:p>
        </w:tc>
        <w:tc>
          <w:tcPr>
            <w:tcW w:w="1456" w:type="pct"/>
            <w:vAlign w:val="center"/>
          </w:tcPr>
          <w:p w14:paraId="03B87A73">
            <w:pPr>
              <w:adjustRightInd w:val="0"/>
              <w:snapToGrid w:val="0"/>
              <w:rPr>
                <w:rFonts w:ascii="Times New Roman" w:hAnsi="Times New Roman" w:cs="Times New Roman"/>
                <w:snapToGrid w:val="0"/>
                <w:sz w:val="21"/>
                <w:szCs w:val="18"/>
              </w:rPr>
            </w:pPr>
            <w:r>
              <w:rPr>
                <w:rFonts w:ascii="Times New Roman" w:hAnsi="Times New Roman" w:cs="Times New Roman"/>
                <w:snapToGrid w:val="0"/>
                <w:sz w:val="21"/>
                <w:szCs w:val="18"/>
              </w:rPr>
              <w:t>沿线公路网已基本形成，交通比较便利。</w:t>
            </w:r>
            <w:r>
              <w:rPr>
                <w:rFonts w:hint="eastAsia" w:ascii="Times New Roman" w:hAnsi="Times New Roman" w:cs="Times New Roman"/>
                <w:snapToGrid w:val="0"/>
                <w:sz w:val="21"/>
                <w:szCs w:val="18"/>
              </w:rPr>
              <w:t>支线距离只有1</w:t>
            </w:r>
            <w:r>
              <w:rPr>
                <w:rFonts w:ascii="Times New Roman" w:hAnsi="Times New Roman" w:cs="Times New Roman"/>
                <w:snapToGrid w:val="0"/>
                <w:sz w:val="21"/>
                <w:szCs w:val="18"/>
              </w:rPr>
              <w:t>00m</w:t>
            </w:r>
            <w:r>
              <w:rPr>
                <w:rFonts w:hint="eastAsia" w:ascii="Times New Roman" w:hAnsi="Times New Roman" w:cs="Times New Roman"/>
                <w:snapToGrid w:val="0"/>
                <w:sz w:val="21"/>
                <w:szCs w:val="18"/>
              </w:rPr>
              <w:t>，</w:t>
            </w:r>
            <w:r>
              <w:rPr>
                <w:rFonts w:ascii="Times New Roman" w:hAnsi="Times New Roman" w:cs="Times New Roman"/>
                <w:snapToGrid w:val="0"/>
                <w:sz w:val="21"/>
                <w:szCs w:val="18"/>
              </w:rPr>
              <w:t>外购材料、机具设备、水泥沥青材料可通过以上交通方式进入工地，交通便利</w:t>
            </w:r>
            <w:r>
              <w:rPr>
                <w:rFonts w:hint="eastAsia" w:ascii="Times New Roman" w:hAnsi="Times New Roman" w:cs="Times New Roman"/>
                <w:snapToGrid w:val="0"/>
                <w:sz w:val="21"/>
                <w:szCs w:val="18"/>
              </w:rPr>
              <w:t>。</w:t>
            </w:r>
          </w:p>
        </w:tc>
        <w:tc>
          <w:tcPr>
            <w:tcW w:w="1327" w:type="pct"/>
            <w:vAlign w:val="center"/>
          </w:tcPr>
          <w:p w14:paraId="573E2E5F">
            <w:pPr>
              <w:adjustRightInd w:val="0"/>
              <w:snapToGrid w:val="0"/>
              <w:rPr>
                <w:rFonts w:ascii="Times New Roman" w:hAnsi="Times New Roman" w:cs="Times New Roman"/>
                <w:snapToGrid w:val="0"/>
                <w:sz w:val="21"/>
                <w:szCs w:val="18"/>
              </w:rPr>
            </w:pPr>
            <w:r>
              <w:rPr>
                <w:rFonts w:ascii="Times New Roman" w:hAnsi="Times New Roman" w:cs="Times New Roman"/>
                <w:snapToGrid w:val="0"/>
                <w:sz w:val="21"/>
                <w:szCs w:val="18"/>
              </w:rPr>
              <w:t>施工结束后，施工单位须将不需要保留的地表建筑物全部拆除。地面恢复为原地表后，播撒耐旱的草籽。撒播草籽可在春季进行。</w:t>
            </w:r>
          </w:p>
        </w:tc>
      </w:tr>
      <w:bookmarkEnd w:id="396"/>
    </w:tbl>
    <w:p w14:paraId="33118977">
      <w:pPr>
        <w:spacing w:line="360" w:lineRule="auto"/>
        <w:ind w:firstLine="456" w:firstLineChars="200"/>
        <w:jc w:val="both"/>
        <w:rPr>
          <w:rFonts w:ascii="Times New Roman" w:hAnsi="Times New Roman" w:cs="Times New Roman"/>
          <w:spacing w:val="-6"/>
        </w:rPr>
      </w:pPr>
      <w:r>
        <w:rPr>
          <w:rFonts w:ascii="Times New Roman" w:hAnsi="Times New Roman" w:cs="Times New Roman"/>
          <w:spacing w:val="-6"/>
        </w:rPr>
        <w:t>（2）弃土场选址合理性分析</w:t>
      </w:r>
    </w:p>
    <w:p w14:paraId="42D356C6">
      <w:pPr>
        <w:pStyle w:val="725"/>
        <w:spacing w:line="520" w:lineRule="exact"/>
        <w:ind w:left="-113" w:right="-113" w:firstLine="456"/>
        <w:jc w:val="both"/>
      </w:pPr>
      <w:r>
        <w:rPr>
          <w:rFonts w:hint="eastAsia" w:cs="Times New Roman"/>
          <w:spacing w:val="-6"/>
        </w:rPr>
        <w:t>施工期间，采用“先取后弃，临时堆放”的原则，根据自然条件和弃料区来源、便于治理的要求，本工程沿线共布置</w:t>
      </w:r>
      <w:r>
        <w:rPr>
          <w:rFonts w:cs="Times New Roman"/>
          <w:spacing w:val="-6"/>
        </w:rPr>
        <w:t>3处</w:t>
      </w:r>
      <w:r>
        <w:rPr>
          <w:rFonts w:hint="eastAsia" w:cs="Times New Roman"/>
          <w:spacing w:val="-6"/>
        </w:rPr>
        <w:t>临时</w:t>
      </w:r>
      <w:r>
        <w:rPr>
          <w:rFonts w:cs="Times New Roman"/>
          <w:spacing w:val="-6"/>
        </w:rPr>
        <w:t>弃渣场</w:t>
      </w:r>
      <w:r>
        <w:rPr>
          <w:rFonts w:hint="eastAsia" w:cs="Times New Roman"/>
          <w:spacing w:val="-6"/>
        </w:rPr>
        <w:t>，</w:t>
      </w:r>
      <w:r>
        <w:rPr>
          <w:rFonts w:hint="eastAsia"/>
        </w:rPr>
        <w:t>临时弃渣场概况具体见下表。</w:t>
      </w:r>
    </w:p>
    <w:p w14:paraId="40B4BAC7">
      <w:pPr>
        <w:jc w:val="center"/>
        <w:rPr>
          <w:rFonts w:eastAsia="黑体"/>
        </w:rPr>
      </w:pPr>
      <w:r>
        <w:rPr>
          <w:rFonts w:hint="eastAsia" w:eastAsia="黑体"/>
        </w:rPr>
        <w:t>表3</w:t>
      </w:r>
      <w:r>
        <w:rPr>
          <w:rFonts w:eastAsia="黑体"/>
        </w:rPr>
        <w:t xml:space="preserve">.3-4   </w:t>
      </w:r>
      <w:r>
        <w:rPr>
          <w:rFonts w:hint="eastAsia" w:eastAsia="黑体"/>
        </w:rPr>
        <w:t>临时弃渣场概况表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61"/>
        <w:gridCol w:w="858"/>
        <w:gridCol w:w="894"/>
        <w:gridCol w:w="1252"/>
        <w:gridCol w:w="4664"/>
      </w:tblGrid>
      <w:tr w14:paraId="37F5D0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jc w:val="center"/>
        </w:trPr>
        <w:tc>
          <w:tcPr>
            <w:tcW w:w="505" w:type="pct"/>
            <w:shd w:val="clear" w:color="auto" w:fill="auto"/>
            <w:vAlign w:val="center"/>
          </w:tcPr>
          <w:p w14:paraId="706E3DC1">
            <w:pPr>
              <w:jc w:val="center"/>
              <w:rPr>
                <w:rFonts w:ascii="Times New Roman" w:hAnsi="Times New Roman" w:cs="Times New Roman"/>
                <w:sz w:val="21"/>
                <w:szCs w:val="18"/>
              </w:rPr>
            </w:pPr>
            <w:r>
              <w:rPr>
                <w:rFonts w:hint="eastAsia" w:ascii="Times New Roman" w:hAnsi="Times New Roman" w:cs="Times New Roman"/>
                <w:sz w:val="21"/>
                <w:szCs w:val="18"/>
              </w:rPr>
              <w:t>名称</w:t>
            </w:r>
          </w:p>
        </w:tc>
        <w:tc>
          <w:tcPr>
            <w:tcW w:w="503" w:type="pct"/>
            <w:shd w:val="clear" w:color="auto" w:fill="auto"/>
            <w:vAlign w:val="center"/>
          </w:tcPr>
          <w:p w14:paraId="504410AB">
            <w:pPr>
              <w:jc w:val="center"/>
              <w:rPr>
                <w:rFonts w:ascii="Times New Roman" w:hAnsi="Times New Roman" w:cs="Times New Roman"/>
                <w:sz w:val="21"/>
                <w:szCs w:val="18"/>
              </w:rPr>
            </w:pPr>
            <w:r>
              <w:rPr>
                <w:rFonts w:hint="eastAsia" w:ascii="Times New Roman" w:hAnsi="Times New Roman" w:cs="Times New Roman"/>
                <w:sz w:val="21"/>
                <w:szCs w:val="18"/>
              </w:rPr>
              <w:t>占地类型</w:t>
            </w:r>
          </w:p>
        </w:tc>
        <w:tc>
          <w:tcPr>
            <w:tcW w:w="524" w:type="pct"/>
            <w:shd w:val="clear" w:color="auto" w:fill="auto"/>
            <w:vAlign w:val="center"/>
          </w:tcPr>
          <w:p w14:paraId="5E405E30">
            <w:pPr>
              <w:jc w:val="center"/>
              <w:rPr>
                <w:rFonts w:ascii="Times New Roman" w:hAnsi="Times New Roman" w:cs="Times New Roman"/>
                <w:sz w:val="21"/>
                <w:szCs w:val="18"/>
              </w:rPr>
            </w:pPr>
            <w:r>
              <w:rPr>
                <w:rFonts w:hint="eastAsia" w:ascii="Times New Roman" w:hAnsi="Times New Roman" w:cs="Times New Roman"/>
                <w:sz w:val="21"/>
                <w:szCs w:val="18"/>
              </w:rPr>
              <w:t>占地面积</w:t>
            </w:r>
          </w:p>
          <w:p w14:paraId="666A511E">
            <w:pPr>
              <w:jc w:val="center"/>
              <w:rPr>
                <w:rFonts w:ascii="Times New Roman" w:hAnsi="Times New Roman" w:cs="Times New Roman"/>
                <w:sz w:val="21"/>
                <w:szCs w:val="18"/>
              </w:rPr>
            </w:pPr>
            <w:r>
              <w:rPr>
                <w:rFonts w:hint="eastAsia" w:ascii="Times New Roman" w:hAnsi="Times New Roman" w:cs="Times New Roman"/>
                <w:sz w:val="21"/>
                <w:szCs w:val="18"/>
              </w:rPr>
              <w:t>（亩）</w:t>
            </w:r>
          </w:p>
        </w:tc>
        <w:tc>
          <w:tcPr>
            <w:tcW w:w="734" w:type="pct"/>
            <w:vAlign w:val="center"/>
          </w:tcPr>
          <w:p w14:paraId="17B6EB81">
            <w:pPr>
              <w:jc w:val="center"/>
              <w:rPr>
                <w:rFonts w:ascii="Times New Roman" w:hAnsi="Times New Roman" w:cs="Times New Roman"/>
                <w:sz w:val="21"/>
                <w:szCs w:val="18"/>
              </w:rPr>
            </w:pPr>
            <w:r>
              <w:rPr>
                <w:rFonts w:hint="eastAsia" w:ascii="Times New Roman" w:hAnsi="Times New Roman" w:cs="Times New Roman"/>
                <w:snapToGrid w:val="0"/>
                <w:sz w:val="21"/>
                <w:szCs w:val="18"/>
              </w:rPr>
              <w:t>位置或桩号</w:t>
            </w:r>
          </w:p>
        </w:tc>
        <w:tc>
          <w:tcPr>
            <w:tcW w:w="2734" w:type="pct"/>
            <w:vAlign w:val="center"/>
          </w:tcPr>
          <w:p w14:paraId="5F757426">
            <w:pPr>
              <w:jc w:val="center"/>
              <w:rPr>
                <w:rFonts w:ascii="Times New Roman" w:hAnsi="Times New Roman" w:cs="Times New Roman"/>
                <w:sz w:val="21"/>
                <w:szCs w:val="18"/>
              </w:rPr>
            </w:pPr>
            <w:r>
              <w:rPr>
                <w:rFonts w:hint="eastAsia" w:ascii="Times New Roman" w:hAnsi="Times New Roman" w:cs="Times New Roman"/>
                <w:sz w:val="21"/>
                <w:szCs w:val="18"/>
              </w:rPr>
              <w:t>环境情况</w:t>
            </w:r>
          </w:p>
        </w:tc>
      </w:tr>
      <w:tr w14:paraId="2AC012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97" w:hRule="atLeast"/>
          <w:jc w:val="center"/>
        </w:trPr>
        <w:tc>
          <w:tcPr>
            <w:tcW w:w="505" w:type="pct"/>
            <w:vAlign w:val="center"/>
          </w:tcPr>
          <w:p w14:paraId="6C3FA67C">
            <w:pPr>
              <w:jc w:val="center"/>
              <w:rPr>
                <w:rFonts w:ascii="Times New Roman" w:hAnsi="Times New Roman" w:cs="Times New Roman"/>
                <w:sz w:val="21"/>
                <w:szCs w:val="18"/>
              </w:rPr>
            </w:pPr>
            <w:r>
              <w:rPr>
                <w:rFonts w:ascii="Times New Roman" w:hAnsi="Times New Roman" w:cs="Times New Roman"/>
                <w:sz w:val="21"/>
                <w:szCs w:val="18"/>
              </w:rPr>
              <w:t>1#</w:t>
            </w:r>
            <w:r>
              <w:rPr>
                <w:rFonts w:hint="eastAsia" w:ascii="Times New Roman" w:hAnsi="Times New Roman" w:cs="Times New Roman"/>
                <w:sz w:val="21"/>
                <w:szCs w:val="18"/>
              </w:rPr>
              <w:t>弃土场</w:t>
            </w:r>
          </w:p>
        </w:tc>
        <w:tc>
          <w:tcPr>
            <w:tcW w:w="503" w:type="pct"/>
            <w:shd w:val="clear" w:color="auto" w:fill="auto"/>
            <w:vAlign w:val="center"/>
          </w:tcPr>
          <w:p w14:paraId="60E2CAF9">
            <w:pPr>
              <w:jc w:val="center"/>
              <w:rPr>
                <w:rFonts w:ascii="Times New Roman" w:hAnsi="Times New Roman" w:cs="Times New Roman"/>
                <w:sz w:val="21"/>
                <w:szCs w:val="18"/>
              </w:rPr>
            </w:pPr>
            <w:r>
              <w:rPr>
                <w:rFonts w:hint="eastAsia" w:ascii="Times New Roman" w:hAnsi="Times New Roman" w:cs="Times New Roman"/>
                <w:sz w:val="21"/>
                <w:szCs w:val="18"/>
              </w:rPr>
              <w:t>荒地</w:t>
            </w:r>
          </w:p>
        </w:tc>
        <w:tc>
          <w:tcPr>
            <w:tcW w:w="524" w:type="pct"/>
            <w:vAlign w:val="center"/>
          </w:tcPr>
          <w:p w14:paraId="779189E5">
            <w:pPr>
              <w:jc w:val="center"/>
              <w:rPr>
                <w:rFonts w:ascii="Times New Roman" w:hAnsi="Times New Roman" w:cs="Times New Roman"/>
                <w:sz w:val="21"/>
                <w:szCs w:val="18"/>
              </w:rPr>
            </w:pPr>
            <w:r>
              <w:rPr>
                <w:rFonts w:hint="eastAsia" w:ascii="Times New Roman" w:hAnsi="Times New Roman" w:cs="Times New Roman"/>
                <w:snapToGrid w:val="0"/>
                <w:sz w:val="21"/>
                <w:szCs w:val="18"/>
              </w:rPr>
              <w:t>9</w:t>
            </w:r>
            <w:r>
              <w:rPr>
                <w:rFonts w:ascii="Times New Roman" w:hAnsi="Times New Roman" w:cs="Times New Roman"/>
                <w:snapToGrid w:val="0"/>
                <w:sz w:val="21"/>
                <w:szCs w:val="18"/>
              </w:rPr>
              <w:t>7.82</w:t>
            </w:r>
          </w:p>
        </w:tc>
        <w:tc>
          <w:tcPr>
            <w:tcW w:w="734" w:type="pct"/>
            <w:vAlign w:val="center"/>
          </w:tcPr>
          <w:p w14:paraId="2564156C">
            <w:pPr>
              <w:pStyle w:val="725"/>
              <w:spacing w:line="240" w:lineRule="auto"/>
              <w:ind w:right="-113" w:firstLine="0" w:firstLineChars="0"/>
              <w:rPr>
                <w:rFonts w:ascii="Times New Roman" w:hAnsi="Times New Roman" w:cs="Times New Roman"/>
                <w:sz w:val="21"/>
                <w:szCs w:val="18"/>
              </w:rPr>
            </w:pPr>
            <w:r>
              <w:rPr>
                <w:rFonts w:hint="eastAsia" w:ascii="Times New Roman" w:hAnsi="Times New Roman" w:cs="Times New Roman"/>
                <w:sz w:val="21"/>
                <w:szCs w:val="18"/>
              </w:rPr>
              <w:t>主线</w:t>
            </w:r>
            <w:r>
              <w:rPr>
                <w:rFonts w:ascii="Times New Roman" w:hAnsi="Times New Roman" w:cs="Times New Roman"/>
                <w:sz w:val="21"/>
                <w:szCs w:val="18"/>
              </w:rPr>
              <w:t>K13+200右侧</w:t>
            </w:r>
          </w:p>
        </w:tc>
        <w:tc>
          <w:tcPr>
            <w:tcW w:w="2734" w:type="pct"/>
            <w:vAlign w:val="center"/>
          </w:tcPr>
          <w:p w14:paraId="0B969433">
            <w:pPr>
              <w:pStyle w:val="725"/>
              <w:spacing w:line="240" w:lineRule="auto"/>
              <w:ind w:left="-113" w:right="-113" w:firstLine="420"/>
              <w:rPr>
                <w:rFonts w:ascii="Times New Roman" w:hAnsi="Times New Roman" w:cs="Times New Roman"/>
                <w:sz w:val="21"/>
                <w:szCs w:val="18"/>
              </w:rPr>
            </w:pPr>
            <w:r>
              <w:rPr>
                <w:rFonts w:hint="eastAsia" w:ascii="Times New Roman" w:hAnsi="Times New Roman" w:cs="Times New Roman"/>
                <w:sz w:val="21"/>
                <w:szCs w:val="18"/>
              </w:rPr>
              <w:t>距盖孜河相距大于7k</w:t>
            </w:r>
            <w:r>
              <w:rPr>
                <w:rFonts w:ascii="Times New Roman" w:hAnsi="Times New Roman" w:cs="Times New Roman"/>
                <w:sz w:val="21"/>
                <w:szCs w:val="18"/>
              </w:rPr>
              <w:t>m</w:t>
            </w:r>
            <w:r>
              <w:rPr>
                <w:rFonts w:hint="eastAsia" w:ascii="Times New Roman" w:hAnsi="Times New Roman" w:cs="Times New Roman"/>
                <w:sz w:val="21"/>
                <w:szCs w:val="18"/>
              </w:rPr>
              <w:t>，离道路约1</w:t>
            </w:r>
            <w:r>
              <w:rPr>
                <w:rFonts w:ascii="Times New Roman" w:hAnsi="Times New Roman" w:cs="Times New Roman"/>
                <w:sz w:val="21"/>
                <w:szCs w:val="18"/>
              </w:rPr>
              <w:t>00</w:t>
            </w:r>
            <w:r>
              <w:rPr>
                <w:rFonts w:hint="eastAsia" w:ascii="Times New Roman" w:hAnsi="Times New Roman" w:cs="Times New Roman"/>
                <w:sz w:val="21"/>
                <w:szCs w:val="18"/>
              </w:rPr>
              <w:t>m，弃渣场选址条件较为稳定，无泥石流、滑坡等不良地质条件发育。弃渣场下破面安全距离内无居民区、公共设施等敏感设施分布，弃渣场选址不涉及基本农田、河道管理范围、饮用水源保护区等敏感目标。植被主要有芨芨草、猪毛菜、</w:t>
            </w:r>
            <w:r>
              <w:rPr>
                <w:rFonts w:ascii="Times New Roman" w:hAnsi="Times New Roman" w:cs="Times New Roman"/>
                <w:sz w:val="21"/>
                <w:szCs w:val="18"/>
              </w:rPr>
              <w:t>狗尾草</w:t>
            </w:r>
            <w:r>
              <w:rPr>
                <w:rFonts w:hint="eastAsia" w:ascii="Times New Roman" w:hAnsi="Times New Roman" w:cs="Times New Roman"/>
                <w:sz w:val="21"/>
                <w:szCs w:val="18"/>
              </w:rPr>
              <w:t>等，</w:t>
            </w:r>
            <w:r>
              <w:rPr>
                <w:rFonts w:hint="eastAsia" w:ascii="Times New Roman" w:hAnsi="Times New Roman" w:cs="Times New Roman"/>
                <w:color w:val="FF0000"/>
                <w:sz w:val="21"/>
                <w:szCs w:val="18"/>
              </w:rPr>
              <w:t>植被覆盖率</w:t>
            </w:r>
            <w:r>
              <w:rPr>
                <w:rFonts w:ascii="Times New Roman" w:hAnsi="Times New Roman" w:cs="Times New Roman"/>
                <w:color w:val="FF0000"/>
                <w:sz w:val="21"/>
                <w:szCs w:val="18"/>
              </w:rPr>
              <w:t>10%</w:t>
            </w:r>
            <w:r>
              <w:rPr>
                <w:rFonts w:hint="eastAsia" w:ascii="Times New Roman" w:hAnsi="Times New Roman" w:cs="Times New Roman"/>
                <w:color w:val="FF0000"/>
                <w:sz w:val="21"/>
                <w:szCs w:val="18"/>
              </w:rPr>
              <w:t>，</w:t>
            </w:r>
            <w:r>
              <w:rPr>
                <w:rFonts w:ascii="Times New Roman" w:hAnsi="Times New Roman" w:cs="Times New Roman"/>
                <w:sz w:val="21"/>
                <w:szCs w:val="18"/>
              </w:rPr>
              <w:t>动物以中小型啮齿动物和鸟类为主</w:t>
            </w:r>
            <w:r>
              <w:rPr>
                <w:rFonts w:hint="eastAsia" w:ascii="Times New Roman" w:hAnsi="Times New Roman" w:cs="Times New Roman"/>
                <w:sz w:val="21"/>
                <w:szCs w:val="18"/>
              </w:rPr>
              <w:t>。</w:t>
            </w:r>
          </w:p>
        </w:tc>
      </w:tr>
      <w:tr w14:paraId="4266C0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05" w:type="pct"/>
            <w:vAlign w:val="center"/>
          </w:tcPr>
          <w:p w14:paraId="258C54B8">
            <w:pPr>
              <w:jc w:val="center"/>
              <w:rPr>
                <w:rFonts w:ascii="Times New Roman" w:hAnsi="Times New Roman" w:cs="Times New Roman"/>
                <w:sz w:val="21"/>
                <w:szCs w:val="18"/>
              </w:rPr>
            </w:pPr>
            <w:r>
              <w:rPr>
                <w:rFonts w:ascii="Times New Roman" w:hAnsi="Times New Roman" w:cs="Times New Roman"/>
                <w:sz w:val="21"/>
                <w:szCs w:val="18"/>
              </w:rPr>
              <w:t>2#</w:t>
            </w:r>
            <w:r>
              <w:rPr>
                <w:rFonts w:hint="eastAsia" w:ascii="Times New Roman" w:hAnsi="Times New Roman" w:cs="Times New Roman"/>
                <w:sz w:val="21"/>
                <w:szCs w:val="18"/>
              </w:rPr>
              <w:t>弃土场</w:t>
            </w:r>
          </w:p>
        </w:tc>
        <w:tc>
          <w:tcPr>
            <w:tcW w:w="503" w:type="pct"/>
            <w:shd w:val="clear" w:color="auto" w:fill="auto"/>
            <w:vAlign w:val="center"/>
          </w:tcPr>
          <w:p w14:paraId="139AEAC4">
            <w:pPr>
              <w:jc w:val="center"/>
              <w:rPr>
                <w:rFonts w:ascii="Times New Roman" w:hAnsi="Times New Roman" w:cs="Times New Roman"/>
                <w:sz w:val="21"/>
                <w:szCs w:val="18"/>
              </w:rPr>
            </w:pPr>
            <w:r>
              <w:rPr>
                <w:rFonts w:hint="eastAsia" w:ascii="Times New Roman" w:hAnsi="Times New Roman" w:cs="Times New Roman"/>
                <w:sz w:val="21"/>
                <w:szCs w:val="18"/>
              </w:rPr>
              <w:t>荒地</w:t>
            </w:r>
          </w:p>
        </w:tc>
        <w:tc>
          <w:tcPr>
            <w:tcW w:w="524" w:type="pct"/>
            <w:vAlign w:val="center"/>
          </w:tcPr>
          <w:p w14:paraId="392D2577">
            <w:pPr>
              <w:jc w:val="center"/>
              <w:rPr>
                <w:rFonts w:ascii="Times New Roman" w:hAnsi="Times New Roman" w:cs="Times New Roman"/>
                <w:sz w:val="21"/>
                <w:szCs w:val="18"/>
              </w:rPr>
            </w:pPr>
            <w:r>
              <w:rPr>
                <w:rFonts w:hint="eastAsia" w:ascii="Times New Roman" w:hAnsi="Times New Roman" w:cs="Times New Roman"/>
                <w:snapToGrid w:val="0"/>
                <w:sz w:val="21"/>
                <w:szCs w:val="18"/>
              </w:rPr>
              <w:t>3</w:t>
            </w:r>
            <w:r>
              <w:rPr>
                <w:rFonts w:ascii="Times New Roman" w:hAnsi="Times New Roman" w:cs="Times New Roman"/>
                <w:snapToGrid w:val="0"/>
                <w:sz w:val="21"/>
                <w:szCs w:val="18"/>
              </w:rPr>
              <w:t>1.52</w:t>
            </w:r>
          </w:p>
        </w:tc>
        <w:tc>
          <w:tcPr>
            <w:tcW w:w="734" w:type="pct"/>
            <w:vAlign w:val="center"/>
          </w:tcPr>
          <w:p w14:paraId="14030BEB">
            <w:pPr>
              <w:pStyle w:val="725"/>
              <w:spacing w:line="240" w:lineRule="auto"/>
              <w:ind w:right="-113" w:firstLine="0" w:firstLineChars="0"/>
              <w:rPr>
                <w:rFonts w:ascii="Times New Roman" w:hAnsi="Times New Roman" w:cs="Times New Roman"/>
                <w:sz w:val="21"/>
                <w:szCs w:val="18"/>
              </w:rPr>
            </w:pPr>
            <w:r>
              <w:rPr>
                <w:rFonts w:hint="eastAsia" w:ascii="Times New Roman" w:hAnsi="Times New Roman" w:cs="Times New Roman"/>
                <w:sz w:val="21"/>
                <w:szCs w:val="18"/>
              </w:rPr>
              <w:t>主线</w:t>
            </w:r>
            <w:r>
              <w:rPr>
                <w:rFonts w:ascii="Times New Roman" w:hAnsi="Times New Roman" w:cs="Times New Roman"/>
                <w:sz w:val="21"/>
                <w:szCs w:val="18"/>
              </w:rPr>
              <w:t>K13+420</w:t>
            </w:r>
            <w:r>
              <w:rPr>
                <w:rFonts w:hint="eastAsia" w:ascii="Times New Roman" w:hAnsi="Times New Roman" w:cs="Times New Roman"/>
                <w:sz w:val="21"/>
                <w:szCs w:val="18"/>
              </w:rPr>
              <w:t>左</w:t>
            </w:r>
            <w:r>
              <w:rPr>
                <w:rFonts w:ascii="Times New Roman" w:hAnsi="Times New Roman" w:cs="Times New Roman"/>
                <w:sz w:val="21"/>
                <w:szCs w:val="18"/>
              </w:rPr>
              <w:t>侧</w:t>
            </w:r>
          </w:p>
        </w:tc>
        <w:tc>
          <w:tcPr>
            <w:tcW w:w="2734" w:type="pct"/>
            <w:vAlign w:val="center"/>
          </w:tcPr>
          <w:p w14:paraId="53ECE700">
            <w:pPr>
              <w:pStyle w:val="725"/>
              <w:spacing w:line="240" w:lineRule="auto"/>
              <w:ind w:left="-113" w:right="-113" w:firstLine="420"/>
              <w:rPr>
                <w:rFonts w:ascii="Times New Roman" w:hAnsi="Times New Roman" w:cs="Times New Roman"/>
                <w:sz w:val="21"/>
                <w:szCs w:val="18"/>
              </w:rPr>
            </w:pPr>
            <w:r>
              <w:rPr>
                <w:rFonts w:hint="eastAsia" w:ascii="Times New Roman" w:hAnsi="Times New Roman" w:cs="Times New Roman"/>
                <w:sz w:val="21"/>
                <w:szCs w:val="18"/>
              </w:rPr>
              <w:t>距盖孜河相距约</w:t>
            </w:r>
            <w:r>
              <w:rPr>
                <w:rFonts w:ascii="Times New Roman" w:hAnsi="Times New Roman" w:cs="Times New Roman"/>
                <w:sz w:val="21"/>
                <w:szCs w:val="18"/>
              </w:rPr>
              <w:t>大于</w:t>
            </w:r>
            <w:r>
              <w:rPr>
                <w:rFonts w:hint="eastAsia" w:ascii="Times New Roman" w:hAnsi="Times New Roman" w:cs="Times New Roman"/>
                <w:sz w:val="21"/>
                <w:szCs w:val="18"/>
              </w:rPr>
              <w:t>7k</w:t>
            </w:r>
            <w:r>
              <w:rPr>
                <w:rFonts w:ascii="Times New Roman" w:hAnsi="Times New Roman" w:cs="Times New Roman"/>
                <w:sz w:val="21"/>
                <w:szCs w:val="18"/>
              </w:rPr>
              <w:t>m</w:t>
            </w:r>
            <w:r>
              <w:rPr>
                <w:rFonts w:hint="eastAsia" w:ascii="Times New Roman" w:hAnsi="Times New Roman" w:cs="Times New Roman"/>
                <w:sz w:val="21"/>
                <w:szCs w:val="18"/>
              </w:rPr>
              <w:t>，离道路约</w:t>
            </w:r>
            <w:r>
              <w:rPr>
                <w:rFonts w:ascii="Times New Roman" w:hAnsi="Times New Roman" w:cs="Times New Roman"/>
                <w:sz w:val="21"/>
                <w:szCs w:val="18"/>
              </w:rPr>
              <w:t>100</w:t>
            </w:r>
            <w:r>
              <w:rPr>
                <w:rFonts w:hint="eastAsia" w:ascii="Times New Roman" w:hAnsi="Times New Roman" w:cs="Times New Roman"/>
                <w:sz w:val="21"/>
                <w:szCs w:val="18"/>
              </w:rPr>
              <w:t>m，弃渣场选址条件较为稳定，无泥石流、滑坡等不良地质条件发育。弃渣场下破面安全距离内无居民区、公共设施等敏感设施分布，弃渣场选址不涉及基本农田、河道管理范围、饮用水源保护区等敏感目标。植被主要有碱蓬、芨芨草、猪毛菜等，植被覆盖率</w:t>
            </w:r>
            <w:r>
              <w:rPr>
                <w:rFonts w:ascii="Times New Roman" w:hAnsi="Times New Roman" w:cs="Times New Roman"/>
                <w:sz w:val="21"/>
                <w:szCs w:val="18"/>
              </w:rPr>
              <w:t>10%</w:t>
            </w:r>
            <w:r>
              <w:rPr>
                <w:rFonts w:hint="eastAsia" w:ascii="Times New Roman" w:hAnsi="Times New Roman" w:cs="Times New Roman"/>
                <w:sz w:val="21"/>
                <w:szCs w:val="18"/>
              </w:rPr>
              <w:t>，</w:t>
            </w:r>
            <w:r>
              <w:rPr>
                <w:rFonts w:ascii="Times New Roman" w:hAnsi="Times New Roman" w:cs="Times New Roman"/>
                <w:sz w:val="21"/>
                <w:szCs w:val="18"/>
              </w:rPr>
              <w:t>动物以中小型啮齿动物和鸟类为主</w:t>
            </w:r>
            <w:r>
              <w:rPr>
                <w:rFonts w:hint="eastAsia" w:ascii="Times New Roman" w:hAnsi="Times New Roman" w:cs="Times New Roman"/>
                <w:sz w:val="21"/>
                <w:szCs w:val="18"/>
              </w:rPr>
              <w:t>。</w:t>
            </w:r>
          </w:p>
        </w:tc>
      </w:tr>
      <w:tr w14:paraId="569792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505" w:type="pct"/>
            <w:vAlign w:val="center"/>
          </w:tcPr>
          <w:p w14:paraId="7AF0A567">
            <w:pPr>
              <w:jc w:val="center"/>
              <w:rPr>
                <w:rFonts w:ascii="Times New Roman" w:hAnsi="Times New Roman" w:cs="Times New Roman"/>
                <w:sz w:val="21"/>
                <w:szCs w:val="18"/>
              </w:rPr>
            </w:pPr>
            <w:r>
              <w:rPr>
                <w:rFonts w:ascii="Times New Roman" w:hAnsi="Times New Roman" w:cs="Times New Roman"/>
                <w:sz w:val="21"/>
                <w:szCs w:val="18"/>
              </w:rPr>
              <w:t>3#</w:t>
            </w:r>
            <w:r>
              <w:rPr>
                <w:rFonts w:hint="eastAsia" w:ascii="Times New Roman" w:hAnsi="Times New Roman" w:cs="Times New Roman"/>
                <w:sz w:val="21"/>
                <w:szCs w:val="18"/>
              </w:rPr>
              <w:t>弃土场</w:t>
            </w:r>
          </w:p>
        </w:tc>
        <w:tc>
          <w:tcPr>
            <w:tcW w:w="503" w:type="pct"/>
            <w:shd w:val="clear" w:color="auto" w:fill="auto"/>
            <w:vAlign w:val="center"/>
          </w:tcPr>
          <w:p w14:paraId="7D066D21">
            <w:pPr>
              <w:jc w:val="center"/>
              <w:rPr>
                <w:rFonts w:ascii="Times New Roman" w:hAnsi="Times New Roman" w:cs="Times New Roman"/>
                <w:sz w:val="21"/>
                <w:szCs w:val="18"/>
              </w:rPr>
            </w:pPr>
            <w:r>
              <w:rPr>
                <w:rFonts w:hint="eastAsia" w:ascii="Times New Roman" w:hAnsi="Times New Roman" w:cs="Times New Roman"/>
                <w:sz w:val="21"/>
                <w:szCs w:val="18"/>
              </w:rPr>
              <w:t>荒地</w:t>
            </w:r>
          </w:p>
        </w:tc>
        <w:tc>
          <w:tcPr>
            <w:tcW w:w="524" w:type="pct"/>
            <w:vAlign w:val="center"/>
          </w:tcPr>
          <w:p w14:paraId="7A958FFC">
            <w:pPr>
              <w:jc w:val="center"/>
              <w:rPr>
                <w:rFonts w:ascii="Times New Roman" w:hAnsi="Times New Roman" w:cs="Times New Roman"/>
                <w:sz w:val="21"/>
                <w:szCs w:val="18"/>
              </w:rPr>
            </w:pPr>
            <w:r>
              <w:rPr>
                <w:rFonts w:hint="eastAsia" w:ascii="Times New Roman" w:hAnsi="Times New Roman" w:cs="Times New Roman"/>
                <w:snapToGrid w:val="0"/>
                <w:sz w:val="21"/>
                <w:szCs w:val="18"/>
              </w:rPr>
              <w:t>4</w:t>
            </w:r>
            <w:r>
              <w:rPr>
                <w:rFonts w:ascii="Times New Roman" w:hAnsi="Times New Roman" w:cs="Times New Roman"/>
                <w:snapToGrid w:val="0"/>
                <w:sz w:val="21"/>
                <w:szCs w:val="18"/>
              </w:rPr>
              <w:t>0.17</w:t>
            </w:r>
          </w:p>
        </w:tc>
        <w:tc>
          <w:tcPr>
            <w:tcW w:w="734" w:type="pct"/>
            <w:vAlign w:val="center"/>
          </w:tcPr>
          <w:p w14:paraId="56C1A045">
            <w:pPr>
              <w:pStyle w:val="725"/>
              <w:spacing w:line="240" w:lineRule="auto"/>
              <w:ind w:left="-113" w:right="-113" w:firstLine="0" w:firstLineChars="0"/>
              <w:rPr>
                <w:rFonts w:ascii="Times New Roman" w:hAnsi="Times New Roman" w:cs="Times New Roman"/>
                <w:sz w:val="21"/>
                <w:szCs w:val="18"/>
              </w:rPr>
            </w:pPr>
            <w:r>
              <w:rPr>
                <w:rFonts w:hint="eastAsia" w:ascii="Times New Roman" w:hAnsi="Times New Roman" w:cs="Times New Roman"/>
                <w:sz w:val="21"/>
                <w:szCs w:val="18"/>
              </w:rPr>
              <w:t>主线</w:t>
            </w:r>
            <w:r>
              <w:rPr>
                <w:rFonts w:ascii="Times New Roman" w:hAnsi="Times New Roman" w:cs="Times New Roman"/>
                <w:sz w:val="21"/>
                <w:szCs w:val="18"/>
              </w:rPr>
              <w:t>K13+840</w:t>
            </w:r>
            <w:r>
              <w:rPr>
                <w:rFonts w:hint="eastAsia" w:ascii="Times New Roman" w:hAnsi="Times New Roman" w:cs="Times New Roman"/>
                <w:sz w:val="21"/>
                <w:szCs w:val="18"/>
              </w:rPr>
              <w:t>左</w:t>
            </w:r>
            <w:r>
              <w:rPr>
                <w:rFonts w:ascii="Times New Roman" w:hAnsi="Times New Roman" w:cs="Times New Roman"/>
                <w:sz w:val="21"/>
                <w:szCs w:val="18"/>
              </w:rPr>
              <w:t>侧</w:t>
            </w:r>
          </w:p>
        </w:tc>
        <w:tc>
          <w:tcPr>
            <w:tcW w:w="2734" w:type="pct"/>
            <w:vAlign w:val="center"/>
          </w:tcPr>
          <w:p w14:paraId="5D2E5C4B">
            <w:pPr>
              <w:pStyle w:val="725"/>
              <w:spacing w:line="240" w:lineRule="auto"/>
              <w:ind w:left="-113" w:right="-113" w:firstLine="420"/>
              <w:rPr>
                <w:rFonts w:ascii="Times New Roman" w:hAnsi="Times New Roman" w:cs="Times New Roman"/>
                <w:sz w:val="21"/>
                <w:szCs w:val="18"/>
              </w:rPr>
            </w:pPr>
            <w:r>
              <w:rPr>
                <w:rFonts w:hint="eastAsia" w:ascii="Times New Roman" w:hAnsi="Times New Roman" w:cs="Times New Roman"/>
                <w:sz w:val="21"/>
                <w:szCs w:val="18"/>
              </w:rPr>
              <w:t>距盖孜河相距大于7k</w:t>
            </w:r>
            <w:r>
              <w:rPr>
                <w:rFonts w:ascii="Times New Roman" w:hAnsi="Times New Roman" w:cs="Times New Roman"/>
                <w:sz w:val="21"/>
                <w:szCs w:val="18"/>
              </w:rPr>
              <w:t>m</w:t>
            </w:r>
            <w:r>
              <w:rPr>
                <w:rFonts w:hint="eastAsia" w:ascii="Times New Roman" w:hAnsi="Times New Roman" w:cs="Times New Roman"/>
                <w:sz w:val="21"/>
                <w:szCs w:val="18"/>
              </w:rPr>
              <w:t>，离道路约</w:t>
            </w:r>
            <w:r>
              <w:rPr>
                <w:rFonts w:ascii="Times New Roman" w:hAnsi="Times New Roman" w:cs="Times New Roman"/>
                <w:sz w:val="21"/>
                <w:szCs w:val="18"/>
              </w:rPr>
              <w:t>400</w:t>
            </w:r>
            <w:r>
              <w:rPr>
                <w:rFonts w:hint="eastAsia" w:ascii="Times New Roman" w:hAnsi="Times New Roman" w:cs="Times New Roman"/>
                <w:sz w:val="21"/>
                <w:szCs w:val="18"/>
              </w:rPr>
              <w:t>m，弃渣场选址条件较为稳定，无泥石流、滑坡等不良地质条件发育。弃渣场下破面安全距离内无居民区、公共设施等敏感设施分布，弃渣场选址不涉及基本农田、河道管理范围、饮用水源保护区等敏感目标。植被主要有碱蓬、芦苇、猪毛菜等，植被覆盖率</w:t>
            </w:r>
            <w:r>
              <w:rPr>
                <w:rFonts w:ascii="Times New Roman" w:hAnsi="Times New Roman" w:cs="Times New Roman"/>
                <w:sz w:val="21"/>
                <w:szCs w:val="18"/>
              </w:rPr>
              <w:t>10%</w:t>
            </w:r>
            <w:r>
              <w:rPr>
                <w:rFonts w:hint="eastAsia" w:ascii="Times New Roman" w:hAnsi="Times New Roman" w:cs="Times New Roman"/>
                <w:sz w:val="21"/>
                <w:szCs w:val="18"/>
              </w:rPr>
              <w:t>，</w:t>
            </w:r>
            <w:r>
              <w:rPr>
                <w:rFonts w:ascii="Times New Roman" w:hAnsi="Times New Roman" w:cs="Times New Roman"/>
                <w:sz w:val="21"/>
                <w:szCs w:val="18"/>
              </w:rPr>
              <w:t>动物以中小型啮齿动物和鸟类为主</w:t>
            </w:r>
            <w:r>
              <w:rPr>
                <w:rFonts w:hint="eastAsia" w:ascii="Times New Roman" w:hAnsi="Times New Roman" w:cs="Times New Roman"/>
                <w:sz w:val="21"/>
                <w:szCs w:val="18"/>
              </w:rPr>
              <w:t>。</w:t>
            </w:r>
          </w:p>
        </w:tc>
      </w:tr>
    </w:tbl>
    <w:p w14:paraId="0FD43A6A">
      <w:pPr>
        <w:spacing w:line="360" w:lineRule="auto"/>
        <w:ind w:firstLine="456" w:firstLineChars="200"/>
        <w:jc w:val="both"/>
        <w:rPr>
          <w:rFonts w:ascii="Times New Roman" w:hAnsi="Times New Roman" w:cs="Times New Roman"/>
          <w:spacing w:val="-6"/>
        </w:rPr>
      </w:pPr>
      <w:r>
        <w:rPr>
          <w:rFonts w:hint="eastAsia" w:ascii="Times New Roman" w:hAnsi="Times New Roman" w:cs="Times New Roman"/>
          <w:spacing w:val="-6"/>
        </w:rPr>
        <w:t>本项目临时弃土场不涉及湿地自然保护区、国家湿地公园和生态保护红线。弃土场避开了耕地、村庄等敏感点，占地类型均为荒地。占地范围内无保护陆生动植物分布，未见鸟类营巢及大型兽类栖息活动，因此选址上基本无环境制约因素。弃渣选址均在植被覆盖较低的区域，待施工结束后及时对弃渣场进行土地平整，与周围地貌相衔接，减少水土流失。因此，从环评角度分析，弃渣场的选址是合理的。环评建议后期根据施工情况，对工程总体布置及取弃料数量进行进一步优化，尽量减少料渣场的设置，优化土石方平衡，工程弃渣场占地对生态环境影响较小。</w:t>
      </w:r>
    </w:p>
    <w:p w14:paraId="5BD1AEF3">
      <w:pPr>
        <w:spacing w:line="360" w:lineRule="auto"/>
        <w:ind w:firstLine="464" w:firstLineChars="200"/>
        <w:rPr>
          <w:rFonts w:ascii="Times New Roman" w:hAnsi="Times New Roman" w:cs="Times New Roman"/>
          <w:spacing w:val="-4"/>
        </w:rPr>
      </w:pPr>
    </w:p>
    <w:p w14:paraId="16319432">
      <w:pPr>
        <w:rPr>
          <w:rFonts w:ascii="Times New Roman" w:hAnsi="Times New Roman" w:eastAsia="隶书" w:cs="Times New Roman"/>
          <w:sz w:val="30"/>
          <w:szCs w:val="30"/>
        </w:rPr>
      </w:pPr>
    </w:p>
    <w:p w14:paraId="6113AFC7">
      <w:pPr>
        <w:ind w:firstLine="643" w:firstLineChars="200"/>
        <w:rPr>
          <w:rFonts w:ascii="Times New Roman" w:hAnsi="Times New Roman" w:cs="Times New Roman"/>
          <w:b/>
          <w:bCs/>
          <w:sz w:val="32"/>
        </w:rPr>
        <w:sectPr>
          <w:pgSz w:w="11906" w:h="16838"/>
          <w:pgMar w:top="1440" w:right="1797" w:bottom="1440" w:left="1797" w:header="794" w:footer="850" w:gutter="0"/>
          <w:cols w:space="720" w:num="1"/>
          <w:docGrid w:type="lines" w:linePitch="312" w:charSpace="0"/>
        </w:sectPr>
      </w:pPr>
    </w:p>
    <w:bookmarkEnd w:id="382"/>
    <w:p w14:paraId="63EF8661">
      <w:pPr>
        <w:pStyle w:val="2"/>
        <w:adjustRightInd w:val="0"/>
        <w:snapToGrid w:val="0"/>
        <w:spacing w:before="312" w:after="156" w:line="240" w:lineRule="auto"/>
        <w:rPr>
          <w:rFonts w:ascii="Times New Roman" w:hAnsi="Times New Roman" w:cs="Times New Roman"/>
        </w:rPr>
      </w:pPr>
      <w:bookmarkStart w:id="397" w:name="_Toc187675419"/>
      <w:r>
        <w:rPr>
          <w:rFonts w:ascii="Times New Roman" w:hAnsi="Times New Roman" w:cs="Times New Roman"/>
        </w:rPr>
        <w:t>4环境现状调查与评价</w:t>
      </w:r>
      <w:bookmarkEnd w:id="383"/>
      <w:bookmarkEnd w:id="384"/>
      <w:bookmarkEnd w:id="385"/>
      <w:bookmarkEnd w:id="386"/>
      <w:bookmarkEnd w:id="387"/>
      <w:bookmarkEnd w:id="388"/>
      <w:bookmarkEnd w:id="397"/>
    </w:p>
    <w:p w14:paraId="770314BF">
      <w:pPr>
        <w:pStyle w:val="3"/>
        <w:adjustRightInd w:val="0"/>
        <w:snapToGrid w:val="0"/>
        <w:spacing w:before="156" w:after="156" w:line="240" w:lineRule="auto"/>
        <w:rPr>
          <w:rFonts w:ascii="Times New Roman" w:hAnsi="Times New Roman" w:cs="Times New Roman"/>
        </w:rPr>
      </w:pPr>
      <w:bookmarkStart w:id="398" w:name="_Toc316511051"/>
      <w:bookmarkStart w:id="399" w:name="_Toc381606003"/>
      <w:bookmarkStart w:id="400" w:name="_Toc316561642"/>
      <w:bookmarkStart w:id="401" w:name="_Toc98413529"/>
      <w:bookmarkStart w:id="402" w:name="_Toc187675420"/>
      <w:bookmarkStart w:id="403" w:name="_Toc4507853"/>
      <w:r>
        <w:rPr>
          <w:rFonts w:ascii="Times New Roman" w:hAnsi="Times New Roman" w:cs="Times New Roman"/>
        </w:rPr>
        <w:t>4.1自然环境</w:t>
      </w:r>
      <w:bookmarkEnd w:id="398"/>
      <w:bookmarkEnd w:id="399"/>
      <w:bookmarkEnd w:id="400"/>
      <w:r>
        <w:rPr>
          <w:rFonts w:ascii="Times New Roman" w:hAnsi="Times New Roman" w:cs="Times New Roman"/>
        </w:rPr>
        <w:t>现状调查与评价</w:t>
      </w:r>
      <w:bookmarkEnd w:id="401"/>
      <w:bookmarkEnd w:id="402"/>
      <w:bookmarkEnd w:id="403"/>
    </w:p>
    <w:p w14:paraId="4C3FD79A">
      <w:pPr>
        <w:pStyle w:val="4"/>
        <w:adjustRightInd w:val="0"/>
        <w:snapToGrid w:val="0"/>
        <w:spacing w:before="156" w:after="156" w:line="240" w:lineRule="auto"/>
        <w:rPr>
          <w:rFonts w:ascii="Times New Roman" w:hAnsi="Times New Roman" w:cs="Times New Roman"/>
          <w:sz w:val="30"/>
          <w:szCs w:val="30"/>
        </w:rPr>
      </w:pPr>
      <w:bookmarkStart w:id="404" w:name="_Toc98414212"/>
      <w:bookmarkStart w:id="405" w:name="_Toc97464635"/>
      <w:bookmarkStart w:id="406" w:name="_Toc57826737"/>
      <w:bookmarkStart w:id="407" w:name="_Toc98413530"/>
      <w:bookmarkStart w:id="408" w:name="_Toc34989575"/>
      <w:r>
        <w:rPr>
          <w:rFonts w:ascii="Times New Roman" w:hAnsi="Times New Roman" w:cs="Times New Roman"/>
          <w:sz w:val="30"/>
          <w:szCs w:val="30"/>
        </w:rPr>
        <w:t>4.1.1建设地点</w:t>
      </w:r>
      <w:bookmarkEnd w:id="404"/>
      <w:bookmarkEnd w:id="405"/>
      <w:bookmarkEnd w:id="406"/>
      <w:bookmarkEnd w:id="407"/>
      <w:bookmarkEnd w:id="408"/>
    </w:p>
    <w:p w14:paraId="483EFE4B">
      <w:pPr>
        <w:pStyle w:val="8"/>
        <w:adjustRightInd w:val="0"/>
        <w:snapToGrid w:val="0"/>
        <w:spacing w:line="360" w:lineRule="auto"/>
        <w:ind w:firstLine="480"/>
        <w:jc w:val="both"/>
        <w:rPr>
          <w:rFonts w:ascii="Times New Roman" w:hAnsi="Times New Roman" w:cs="Times New Roman"/>
          <w:szCs w:val="24"/>
        </w:rPr>
      </w:pPr>
      <w:r>
        <w:rPr>
          <w:rFonts w:hint="eastAsia" w:ascii="Times New Roman" w:hAnsi="Times New Roman" w:cs="Times New Roman"/>
          <w:szCs w:val="24"/>
        </w:rPr>
        <w:t>草湖项目区地处喀什市、疏勒县、疏附县、阿克陶县“三县一市”咽喉地带，毗邻</w:t>
      </w:r>
      <w:r>
        <w:rPr>
          <w:rFonts w:ascii="Times New Roman" w:hAnsi="Times New Roman" w:cs="Times New Roman"/>
          <w:szCs w:val="24"/>
        </w:rPr>
        <w:t>6个乡镇，东西跨度24km，南北跨度6km，距南疆重镇喀什市22km，疏勒县12km、疏附县16km、阿克陶县17km，距兵团第三师驻地图木舒克市约350km。</w:t>
      </w:r>
    </w:p>
    <w:p w14:paraId="33AE6ACC">
      <w:pPr>
        <w:pStyle w:val="8"/>
        <w:adjustRightInd w:val="0"/>
        <w:snapToGrid w:val="0"/>
        <w:spacing w:line="360" w:lineRule="auto"/>
        <w:ind w:firstLine="480"/>
        <w:jc w:val="both"/>
        <w:rPr>
          <w:rFonts w:ascii="Times New Roman" w:hAnsi="Times New Roman" w:cs="Times New Roman"/>
          <w:szCs w:val="24"/>
        </w:rPr>
      </w:pPr>
      <w:r>
        <w:rPr>
          <w:rFonts w:ascii="Times New Roman" w:hAnsi="Times New Roman" w:cs="Times New Roman"/>
          <w:szCs w:val="24"/>
        </w:rPr>
        <w:t>拟建项目全线位于</w:t>
      </w:r>
      <w:r>
        <w:rPr>
          <w:rFonts w:hint="eastAsia" w:ascii="Times New Roman" w:hAnsi="Times New Roman" w:cs="Times New Roman"/>
          <w:szCs w:val="24"/>
        </w:rPr>
        <w:t>新疆生产建设兵团</w:t>
      </w:r>
      <w:r>
        <w:rPr>
          <w:rFonts w:ascii="Times New Roman" w:hAnsi="Times New Roman" w:cs="Times New Roman"/>
          <w:szCs w:val="24"/>
        </w:rPr>
        <w:t>41团草湖镇、喀什地区疏附县、克州阿克陶县境内</w:t>
      </w:r>
      <w:r>
        <w:rPr>
          <w:rFonts w:hint="eastAsia" w:ascii="Times New Roman" w:hAnsi="Times New Roman" w:cs="Times New Roman"/>
          <w:szCs w:val="24"/>
        </w:rPr>
        <w:t>，全长</w:t>
      </w:r>
      <w:r>
        <w:rPr>
          <w:rFonts w:ascii="Times New Roman" w:hAnsi="Times New Roman" w:cs="Times New Roman"/>
          <w:szCs w:val="24"/>
        </w:rPr>
        <w:t>33.453 Km（含完全利用段0.795Km），实际建设里程长 32.658km，路线总体走向由东向西。</w:t>
      </w:r>
    </w:p>
    <w:p w14:paraId="4543EEFF">
      <w:pPr>
        <w:pStyle w:val="8"/>
        <w:adjustRightInd w:val="0"/>
        <w:snapToGrid w:val="0"/>
        <w:spacing w:line="360" w:lineRule="auto"/>
        <w:ind w:firstLine="480"/>
        <w:rPr>
          <w:rFonts w:ascii="Times New Roman" w:hAnsi="Times New Roman" w:cs="Times New Roman"/>
          <w:szCs w:val="24"/>
        </w:rPr>
      </w:pPr>
      <w:r>
        <w:rPr>
          <w:rFonts w:ascii="Times New Roman" w:hAnsi="Times New Roman" w:cs="Times New Roman"/>
          <w:color w:val="FF0000"/>
          <w:szCs w:val="24"/>
        </w:rPr>
        <w:t>区域地理位置见图4.1-1。</w:t>
      </w:r>
      <w:bookmarkStart w:id="409" w:name="_Toc98413531"/>
      <w:bookmarkStart w:id="410" w:name="_Toc381606006"/>
      <w:bookmarkStart w:id="411" w:name="_Toc238954113"/>
      <w:bookmarkStart w:id="412" w:name="_Toc316511053"/>
      <w:bookmarkStart w:id="413" w:name="_Toc34989576"/>
      <w:bookmarkStart w:id="414" w:name="_Toc57826738"/>
      <w:bookmarkStart w:id="415" w:name="_Toc97464636"/>
      <w:bookmarkStart w:id="416" w:name="_Toc98414213"/>
      <w:bookmarkStart w:id="417" w:name="_Toc316561644"/>
    </w:p>
    <w:p w14:paraId="5A349323">
      <w:pPr>
        <w:pStyle w:val="4"/>
        <w:adjustRightInd w:val="0"/>
        <w:snapToGrid w:val="0"/>
        <w:spacing w:before="156" w:after="156" w:line="240" w:lineRule="auto"/>
        <w:rPr>
          <w:rFonts w:ascii="Times New Roman" w:hAnsi="Times New Roman" w:cs="Times New Roman"/>
          <w:sz w:val="30"/>
          <w:szCs w:val="30"/>
        </w:rPr>
      </w:pPr>
      <w:r>
        <w:rPr>
          <w:rFonts w:ascii="Times New Roman" w:hAnsi="Times New Roman" w:cs="Times New Roman"/>
          <w:sz w:val="30"/>
          <w:szCs w:val="30"/>
        </w:rPr>
        <w:t>4.1.2地形地貌</w:t>
      </w:r>
      <w:bookmarkEnd w:id="409"/>
      <w:bookmarkEnd w:id="410"/>
      <w:bookmarkEnd w:id="411"/>
      <w:bookmarkEnd w:id="412"/>
      <w:bookmarkEnd w:id="413"/>
      <w:bookmarkEnd w:id="414"/>
      <w:bookmarkEnd w:id="415"/>
      <w:bookmarkEnd w:id="416"/>
      <w:bookmarkEnd w:id="417"/>
    </w:p>
    <w:p w14:paraId="2DFD9223">
      <w:pPr>
        <w:pStyle w:val="8"/>
        <w:adjustRightInd w:val="0"/>
        <w:snapToGrid w:val="0"/>
        <w:spacing w:line="360" w:lineRule="auto"/>
        <w:ind w:firstLine="480"/>
        <w:jc w:val="both"/>
        <w:rPr>
          <w:rFonts w:ascii="Times New Roman" w:hAnsi="Times New Roman" w:cs="Times New Roman"/>
          <w:szCs w:val="24"/>
        </w:rPr>
      </w:pPr>
      <w:r>
        <w:rPr>
          <w:rFonts w:hint="eastAsia" w:ascii="Times New Roman" w:hAnsi="Times New Roman" w:cs="Times New Roman"/>
          <w:szCs w:val="24"/>
        </w:rPr>
        <w:t>项目区所在地位于盖孜河中游冲积平原，大地构造上属于西南坳陷的西北部地区，属盖孜河冲积平原前缘的地下水浅埋带，地势低洼，河网发达，盖孜河的支流岳普湖河、罕南里克河、塔孜洪河（跃进渠）自西向东贯穿全团，把四十一团分成三片：即小草湖、大草湖和红柳戈壁三片，总体地势表现为：西北高，东南低，地势自西向东缓倾。海拔位于</w:t>
      </w:r>
      <w:r>
        <w:rPr>
          <w:rFonts w:ascii="Times New Roman" w:hAnsi="Times New Roman" w:cs="Times New Roman"/>
          <w:szCs w:val="24"/>
        </w:rPr>
        <w:t>1272－1313m之间，自然坡降在3.5%以下，适宜开展建设。</w:t>
      </w:r>
    </w:p>
    <w:p w14:paraId="73DC1C2F">
      <w:pPr>
        <w:pStyle w:val="8"/>
        <w:adjustRightInd w:val="0"/>
        <w:snapToGrid w:val="0"/>
        <w:spacing w:line="360" w:lineRule="auto"/>
        <w:ind w:firstLine="480"/>
        <w:jc w:val="both"/>
        <w:rPr>
          <w:rFonts w:ascii="Times New Roman" w:hAnsi="Times New Roman" w:cs="Times New Roman"/>
          <w:szCs w:val="24"/>
        </w:rPr>
      </w:pPr>
      <w:r>
        <w:rPr>
          <w:rFonts w:hint="eastAsia" w:ascii="Times New Roman" w:hAnsi="Times New Roman" w:cs="Times New Roman"/>
          <w:szCs w:val="24"/>
        </w:rPr>
        <w:t>从地貌单元上划分，项目区所在地区域属盖孜河冲积平原前缘的地下水浅埋带。冲积平原地势平坦，地形开阔，由于潜水位埋深浅，小草湖片区</w:t>
      </w:r>
      <w:r>
        <w:rPr>
          <w:rFonts w:ascii="Times New Roman" w:hAnsi="Times New Roman" w:cs="Times New Roman"/>
          <w:szCs w:val="24"/>
        </w:rPr>
        <w:t>1.5~2m，大草湖片区1.1~2.2m，红柳戈壁区0.5~1.2m，区域土壤盐渍化现象较普遍。</w:t>
      </w:r>
    </w:p>
    <w:p w14:paraId="5E321E40">
      <w:pPr>
        <w:pStyle w:val="4"/>
        <w:adjustRightInd w:val="0"/>
        <w:snapToGrid w:val="0"/>
        <w:spacing w:before="156" w:after="156" w:line="240" w:lineRule="auto"/>
        <w:rPr>
          <w:rFonts w:ascii="Times New Roman" w:hAnsi="Times New Roman" w:cs="Times New Roman"/>
          <w:sz w:val="30"/>
          <w:szCs w:val="30"/>
        </w:rPr>
      </w:pPr>
      <w:bookmarkStart w:id="418" w:name="_Toc98414215"/>
      <w:bookmarkStart w:id="419" w:name="_Toc97464638"/>
      <w:bookmarkStart w:id="420" w:name="_Toc57826740"/>
      <w:bookmarkStart w:id="421" w:name="_Toc98413533"/>
      <w:bookmarkStart w:id="422" w:name="_Toc34989578"/>
      <w:r>
        <w:rPr>
          <w:rFonts w:ascii="Times New Roman" w:hAnsi="Times New Roman" w:cs="Times New Roman"/>
          <w:sz w:val="30"/>
          <w:szCs w:val="30"/>
        </w:rPr>
        <w:t>4.1.3</w:t>
      </w:r>
      <w:bookmarkEnd w:id="418"/>
      <w:bookmarkEnd w:id="419"/>
      <w:bookmarkEnd w:id="420"/>
      <w:bookmarkEnd w:id="421"/>
      <w:bookmarkEnd w:id="422"/>
      <w:r>
        <w:rPr>
          <w:rFonts w:hint="eastAsia" w:ascii="Times New Roman" w:hAnsi="Times New Roman" w:cs="Times New Roman"/>
          <w:sz w:val="30"/>
          <w:szCs w:val="30"/>
        </w:rPr>
        <w:t>地表水</w:t>
      </w:r>
    </w:p>
    <w:p w14:paraId="43BF5BBC">
      <w:pPr>
        <w:pStyle w:val="8"/>
        <w:adjustRightInd w:val="0"/>
        <w:snapToGrid w:val="0"/>
        <w:spacing w:line="360" w:lineRule="auto"/>
        <w:ind w:firstLine="480"/>
        <w:jc w:val="both"/>
        <w:rPr>
          <w:rFonts w:ascii="Times New Roman" w:hAnsi="Times New Roman" w:cs="Times New Roman"/>
          <w:szCs w:val="24"/>
        </w:rPr>
      </w:pPr>
      <w:r>
        <w:rPr>
          <w:rFonts w:hint="eastAsia" w:ascii="Times New Roman" w:hAnsi="Times New Roman" w:cs="Times New Roman"/>
          <w:szCs w:val="24"/>
        </w:rPr>
        <w:t>本项目沿线水系主要为盖孜河。</w:t>
      </w:r>
    </w:p>
    <w:p w14:paraId="1F2F1703">
      <w:pPr>
        <w:pStyle w:val="8"/>
        <w:adjustRightInd w:val="0"/>
        <w:snapToGrid w:val="0"/>
        <w:spacing w:line="360" w:lineRule="auto"/>
        <w:ind w:firstLine="480"/>
        <w:jc w:val="both"/>
        <w:rPr>
          <w:rFonts w:ascii="Times New Roman" w:hAnsi="Times New Roman" w:cs="Times New Roman"/>
          <w:szCs w:val="24"/>
        </w:rPr>
      </w:pPr>
      <w:r>
        <w:rPr>
          <w:rFonts w:hint="eastAsia" w:ascii="Times New Roman" w:hAnsi="Times New Roman" w:cs="Times New Roman"/>
          <w:szCs w:val="24"/>
        </w:rPr>
        <w:t>阿克陶县有木吉河、依格孜牙河、康西瓦河、喀拉塔什河等水系。阿克陶县境内河流属塔里木河流域，多发源于昆仑山脉、帕米尔高原上，由西南山区向东北平原而流。阿克陶县共有</w:t>
      </w:r>
      <w:r>
        <w:rPr>
          <w:rFonts w:ascii="Times New Roman" w:hAnsi="Times New Roman" w:cs="Times New Roman"/>
          <w:szCs w:val="24"/>
        </w:rPr>
        <w:t>5大</w:t>
      </w:r>
      <w:r>
        <w:rPr>
          <w:rFonts w:hint="eastAsia" w:ascii="Times New Roman" w:hAnsi="Times New Roman" w:cs="Times New Roman"/>
          <w:szCs w:val="24"/>
        </w:rPr>
        <w:t>水系，即叶尔羌河水系，包括塔什库尔干河、帕斯热瓦提河、恰尔隆河三条河流；依格孜牙河及其支流青干河水系；库山河水系，其支流有卡拉塔布河、其木干河；盖孜河水系，其支流有奥依塔克河、木吉河、康西瓦尔河；玛尔坎苏河及其支流卡拉尔特河水系。区域主要地表水为盖孜河。盖孜河发源于帕米尔公格山、慕士塔格山。高山终年积雪，水源主要为冰雪消融补给，在中山、浅山地带，夏、秋季常有暴雨洪水发生。</w:t>
      </w:r>
    </w:p>
    <w:p w14:paraId="6C928E27">
      <w:pPr>
        <w:pStyle w:val="8"/>
        <w:adjustRightInd w:val="0"/>
        <w:snapToGrid w:val="0"/>
        <w:spacing w:line="360" w:lineRule="auto"/>
        <w:ind w:firstLine="480"/>
        <w:jc w:val="both"/>
        <w:rPr>
          <w:rFonts w:ascii="Times New Roman" w:hAnsi="Times New Roman" w:cs="Times New Roman"/>
          <w:szCs w:val="24"/>
        </w:rPr>
      </w:pPr>
      <w:r>
        <w:rPr>
          <w:rFonts w:hint="eastAsia" w:ascii="Times New Roman" w:hAnsi="Times New Roman" w:cs="Times New Roman"/>
          <w:szCs w:val="24"/>
        </w:rPr>
        <w:t>盖孜河上游由喀拉库里河与木吉河两支流组成，其中喀拉库里河河长</w:t>
      </w:r>
      <w:r>
        <w:rPr>
          <w:rFonts w:ascii="Times New Roman" w:hAnsi="Times New Roman" w:cs="Times New Roman"/>
          <w:szCs w:val="24"/>
        </w:rPr>
        <w:t>82km，流域面积为1830km</w:t>
      </w:r>
      <w:r>
        <w:rPr>
          <w:rFonts w:ascii="Times New Roman" w:hAnsi="Times New Roman" w:cs="Times New Roman"/>
          <w:szCs w:val="24"/>
          <w:vertAlign w:val="superscript"/>
        </w:rPr>
        <w:t>2</w:t>
      </w:r>
      <w:r>
        <w:rPr>
          <w:rFonts w:ascii="Times New Roman" w:hAnsi="Times New Roman" w:cs="Times New Roman"/>
          <w:szCs w:val="24"/>
        </w:rPr>
        <w:t>，木吉河河长为112km，流域面积为5800km</w:t>
      </w:r>
      <w:r>
        <w:rPr>
          <w:rFonts w:ascii="Times New Roman" w:hAnsi="Times New Roman" w:cs="Times New Roman"/>
          <w:szCs w:val="24"/>
          <w:vertAlign w:val="superscript"/>
        </w:rPr>
        <w:t>2</w:t>
      </w:r>
      <w:r>
        <w:rPr>
          <w:rFonts w:ascii="Times New Roman" w:hAnsi="Times New Roman" w:cs="Times New Roman"/>
          <w:szCs w:val="24"/>
        </w:rPr>
        <w:t>。两支流汇合于布仑口凹地，汇合口以下称为盖孜河，从汇合口以下至盖孜村河段，河谷狭窄，成V型，两岸高山耸立，其间有五个跌水，河段较为弯曲，谷坡陡，成台阶状，河段下切很深，盖孜村以下，比降减缓，河谷成U型，谷宽增加，沿河两岸有滩地出现，河床成宽浅型，有分流，由卵石组成。</w:t>
      </w:r>
    </w:p>
    <w:p w14:paraId="4D64539F">
      <w:pPr>
        <w:pStyle w:val="446"/>
        <w:spacing w:line="360" w:lineRule="auto"/>
        <w:ind w:firstLine="480"/>
        <w:jc w:val="both"/>
        <w:rPr>
          <w:rFonts w:ascii="Times New Roman" w:hAnsi="Times New Roman"/>
        </w:rPr>
      </w:pPr>
      <w:r>
        <w:rPr>
          <w:rFonts w:ascii="Times New Roman" w:hAnsi="Times New Roman"/>
        </w:rPr>
        <w:t>盖孜河临近出山口处左岸有维他克河支流汇入，维他克河发源于慕士塔格山支脉其孜拉克冰川(海拔高度6400m)，河流由西向东汇入盖孜河，该河河长44km，其流域面积为497km</w:t>
      </w:r>
      <w:r>
        <w:rPr>
          <w:rFonts w:ascii="Times New Roman" w:hAnsi="Times New Roman"/>
          <w:vertAlign w:val="superscript"/>
        </w:rPr>
        <w:t>2</w:t>
      </w:r>
      <w:r>
        <w:rPr>
          <w:rFonts w:ascii="Times New Roman" w:hAnsi="Times New Roman"/>
        </w:rPr>
        <w:t>，该河主要以冰雪消融型洪水为主，5-8月之间常伴有暴雨型洪水发生，该河为山溪性河流，河床坡度大，因距河源较近，集流时间快。</w:t>
      </w:r>
    </w:p>
    <w:p w14:paraId="1CE8D281">
      <w:pPr>
        <w:pStyle w:val="446"/>
        <w:spacing w:line="360" w:lineRule="auto"/>
        <w:ind w:firstLine="480"/>
        <w:jc w:val="both"/>
        <w:rPr>
          <w:rFonts w:ascii="Times New Roman" w:hAnsi="Times New Roman"/>
        </w:rPr>
      </w:pPr>
      <w:r>
        <w:rPr>
          <w:rFonts w:ascii="Times New Roman" w:hAnsi="Times New Roman"/>
        </w:rPr>
        <w:t>在盖孜河的出山口处建立塔什米里克引水枢纽工程，其流域面积为10140km</w:t>
      </w:r>
      <w:r>
        <w:rPr>
          <w:rFonts w:ascii="Times New Roman" w:hAnsi="Times New Roman"/>
          <w:vertAlign w:val="superscript"/>
        </w:rPr>
        <w:t>2</w:t>
      </w:r>
      <w:r>
        <w:rPr>
          <w:rFonts w:ascii="Times New Roman" w:hAnsi="Times New Roman"/>
        </w:rPr>
        <w:t>，是盖孜河流入平原灌区的第一级水利枢纽工程。盖孜河出山口后，河段坡度减缓，河槽宽浅，水流分散，河床为砂砾组成，冲淤变化大。在塔什米里克渠首下游48.8km处建有第二级引水枢纽—三道桥渠首，在三道桥渠首下游35.7km建有第三级引水枢纽—合理闸渠首，在合理闸渠首下游10km建有吐逊木渠首。盖孜河主要用于农田灌溉，其次为绿化及牧草等。</w:t>
      </w:r>
      <w:r>
        <w:rPr>
          <w:rFonts w:hint="eastAsia" w:ascii="Times New Roman" w:hAnsi="Times New Roman"/>
        </w:rPr>
        <w:t>项目区</w:t>
      </w:r>
      <w:r>
        <w:rPr>
          <w:rFonts w:ascii="Times New Roman" w:hAnsi="Times New Roman"/>
        </w:rPr>
        <w:t>河床宽50～200m，河床纵坡0.14％～0.2％，河床较浅，阶地面高出河床水面1.0～3.2m。</w:t>
      </w:r>
    </w:p>
    <w:p w14:paraId="2AE06D3D">
      <w:pPr>
        <w:pStyle w:val="6"/>
        <w:kinsoku w:val="0"/>
        <w:overflowPunct w:val="0"/>
        <w:spacing w:after="0" w:line="360" w:lineRule="auto"/>
        <w:ind w:firstLine="397"/>
        <w:jc w:val="both"/>
      </w:pPr>
      <w:r>
        <w:rPr>
          <w:rFonts w:hint="eastAsia"/>
        </w:rPr>
        <w:t>（</w:t>
      </w:r>
      <w:r>
        <w:t>1</w:t>
      </w:r>
      <w:r>
        <w:rPr>
          <w:rFonts w:hint="eastAsia"/>
        </w:rPr>
        <w:t>）径流的组成</w:t>
      </w:r>
    </w:p>
    <w:p w14:paraId="7ECB96D9">
      <w:pPr>
        <w:pStyle w:val="6"/>
        <w:kinsoku w:val="0"/>
        <w:overflowPunct w:val="0"/>
        <w:spacing w:after="0" w:line="360" w:lineRule="auto"/>
        <w:ind w:firstLine="397"/>
        <w:jc w:val="both"/>
      </w:pPr>
      <w:r>
        <w:rPr>
          <w:rFonts w:hint="eastAsia"/>
        </w:rPr>
        <w:t>盖孜河属典型冰川消融型河流，根据中科院兰州冰川冻土研究所编写的《中国冰川水资源》，盖孜河克勒克站以上冰川面积为</w:t>
      </w:r>
      <w:r>
        <w:t>1439.6km²</w:t>
      </w:r>
      <w:r>
        <w:rPr>
          <w:rFonts w:hint="eastAsia"/>
        </w:rPr>
        <w:t>，冰川覆盖度为</w:t>
      </w:r>
      <w:r>
        <w:t>14.8%</w:t>
      </w:r>
      <w:r>
        <w:rPr>
          <w:rFonts w:hint="eastAsia"/>
        </w:rPr>
        <w:t>，其中冰川融水为</w:t>
      </w:r>
      <w:r>
        <w:t>6.220</w:t>
      </w:r>
      <w:r>
        <w:rPr>
          <w:rFonts w:hint="eastAsia"/>
        </w:rPr>
        <w:t>亿</w:t>
      </w:r>
      <w:r>
        <w:t>m³</w:t>
      </w:r>
      <w:r>
        <w:rPr>
          <w:rFonts w:hint="eastAsia"/>
        </w:rPr>
        <w:t>，占年径流量的</w:t>
      </w:r>
      <w:r>
        <w:t>65.6%</w:t>
      </w:r>
      <w:r>
        <w:rPr>
          <w:rFonts w:hint="eastAsia"/>
        </w:rPr>
        <w:t>，地下水补给量为</w:t>
      </w:r>
      <w:r>
        <w:t>2.299</w:t>
      </w:r>
      <w:r>
        <w:rPr>
          <w:rFonts w:hint="eastAsia"/>
        </w:rPr>
        <w:t>亿</w:t>
      </w:r>
      <w:r>
        <w:t>m³</w:t>
      </w:r>
      <w:r>
        <w:rPr>
          <w:rFonts w:hint="eastAsia"/>
        </w:rPr>
        <w:t>，占年径流量</w:t>
      </w:r>
      <w:r>
        <w:t>24.2%</w:t>
      </w:r>
      <w:r>
        <w:rPr>
          <w:rFonts w:hint="eastAsia"/>
        </w:rPr>
        <w:t>，雨雪混合水补给量为</w:t>
      </w:r>
      <w:r>
        <w:t xml:space="preserve">0.986 </w:t>
      </w:r>
      <w:r>
        <w:rPr>
          <w:rFonts w:hint="eastAsia"/>
        </w:rPr>
        <w:t>亿</w:t>
      </w:r>
      <w:r>
        <w:t>m³</w:t>
      </w:r>
      <w:r>
        <w:rPr>
          <w:rFonts w:hint="eastAsia"/>
        </w:rPr>
        <w:t>，占年径流量的</w:t>
      </w:r>
      <w:r>
        <w:t>10.4%</w:t>
      </w:r>
      <w:r>
        <w:rPr>
          <w:rFonts w:hint="eastAsia"/>
        </w:rPr>
        <w:t>，维他克河维他克站以上冰川面积为</w:t>
      </w:r>
      <w:r>
        <w:t>227.3km²</w:t>
      </w:r>
      <w:r>
        <w:rPr>
          <w:rFonts w:hint="eastAsia"/>
        </w:rPr>
        <w:t>，冰川覆盖度高达</w:t>
      </w:r>
      <w:r>
        <w:t>45.7%</w:t>
      </w:r>
      <w:r>
        <w:rPr>
          <w:rFonts w:hint="eastAsia"/>
        </w:rPr>
        <w:t>，冰川融水补给量为</w:t>
      </w:r>
      <w:r>
        <w:t>1.202</w:t>
      </w:r>
      <w:r>
        <w:rPr>
          <w:rFonts w:hint="eastAsia"/>
        </w:rPr>
        <w:t>亿</w:t>
      </w:r>
      <w:r>
        <w:t>m³</w:t>
      </w:r>
      <w:r>
        <w:rPr>
          <w:rFonts w:hint="eastAsia"/>
        </w:rPr>
        <w:t>，占年径流量</w:t>
      </w:r>
      <w:r>
        <w:t>70.0%</w:t>
      </w:r>
      <w:r>
        <w:rPr>
          <w:rFonts w:hint="eastAsia"/>
        </w:rPr>
        <w:t>，地下水补给量为</w:t>
      </w:r>
      <w:r>
        <w:t>0.360</w:t>
      </w:r>
      <w:r>
        <w:rPr>
          <w:rFonts w:hint="eastAsia"/>
        </w:rPr>
        <w:t>亿</w:t>
      </w:r>
      <w:r>
        <w:t>m³</w:t>
      </w:r>
      <w:r>
        <w:rPr>
          <w:rFonts w:hint="eastAsia"/>
        </w:rPr>
        <w:t>，占年径流量</w:t>
      </w:r>
      <w:r>
        <w:t>20.9%</w:t>
      </w:r>
      <w:r>
        <w:rPr>
          <w:rFonts w:hint="eastAsia"/>
        </w:rPr>
        <w:t>，雨雪混合水补给量为</w:t>
      </w:r>
      <w:r>
        <w:t>0.155</w:t>
      </w:r>
      <w:r>
        <w:rPr>
          <w:rFonts w:hint="eastAsia"/>
        </w:rPr>
        <w:t>亿</w:t>
      </w:r>
      <w:r>
        <w:t>m³</w:t>
      </w:r>
      <w:r>
        <w:rPr>
          <w:rFonts w:hint="eastAsia"/>
        </w:rPr>
        <w:t>，占年径流量的</w:t>
      </w:r>
      <w:r>
        <w:t>9.0%</w:t>
      </w:r>
      <w:r>
        <w:rPr>
          <w:rFonts w:hint="eastAsia"/>
        </w:rPr>
        <w:t>，由此可见，冰川融水是盖孜河径流补给的主要的来源。</w:t>
      </w:r>
    </w:p>
    <w:p w14:paraId="6366ECEE">
      <w:pPr>
        <w:pStyle w:val="6"/>
        <w:kinsoku w:val="0"/>
        <w:overflowPunct w:val="0"/>
        <w:spacing w:after="0" w:line="360" w:lineRule="auto"/>
        <w:ind w:firstLine="397"/>
        <w:jc w:val="both"/>
      </w:pPr>
      <w:r>
        <w:rPr>
          <w:rFonts w:hint="eastAsia"/>
        </w:rPr>
        <w:t>（</w:t>
      </w:r>
      <w:r>
        <w:t>2</w:t>
      </w:r>
      <w:r>
        <w:rPr>
          <w:rFonts w:hint="eastAsia"/>
        </w:rPr>
        <w:t>）径流的年际变化</w:t>
      </w:r>
    </w:p>
    <w:p w14:paraId="7E9C4817">
      <w:pPr>
        <w:pStyle w:val="6"/>
        <w:kinsoku w:val="0"/>
        <w:overflowPunct w:val="0"/>
        <w:spacing w:after="0" w:line="360" w:lineRule="auto"/>
        <w:ind w:firstLine="397"/>
        <w:jc w:val="both"/>
      </w:pPr>
      <w:r>
        <w:rPr>
          <w:rFonts w:hint="eastAsia"/>
        </w:rPr>
        <w:t>由于盖孜河冰川分布高寒山区，冰川雪线高度为</w:t>
      </w:r>
      <w:r>
        <w:t>4200-6000m</w:t>
      </w:r>
      <w:r>
        <w:rPr>
          <w:rFonts w:hint="eastAsia"/>
        </w:rPr>
        <w:t>，高寒山区负温期长，一般达半年以上</w:t>
      </w:r>
      <w:r>
        <w:t>（10</w:t>
      </w:r>
      <w:r>
        <w:rPr>
          <w:rFonts w:hint="eastAsia"/>
        </w:rPr>
        <w:t>月至次年</w:t>
      </w:r>
      <w:r>
        <w:t>4</w:t>
      </w:r>
      <w:r>
        <w:rPr>
          <w:rFonts w:hint="eastAsia"/>
        </w:rPr>
        <w:t>月</w:t>
      </w:r>
      <w:r>
        <w:t>）</w:t>
      </w:r>
      <w:r>
        <w:rPr>
          <w:rFonts w:hint="eastAsia"/>
        </w:rPr>
        <w:t>，春末夏初气温上升至</w:t>
      </w:r>
      <w:r>
        <w:t>0</w:t>
      </w:r>
      <w:r>
        <w:rPr>
          <w:rFonts w:hint="eastAsia"/>
        </w:rPr>
        <w:t>℃以上，高山冰雪消融。因此冰川径流的季节性较强，消融季节大体可分为弱消融期和强消融期。春末夏初及夏末秋初为弱消融期，此期间气温相对比较低，冰川表面有雪覆盖，冰面反射率强，所以冰川的消融相对微弱。夏季</w:t>
      </w:r>
      <w:r>
        <w:t>（6-8</w:t>
      </w:r>
      <w:r>
        <w:rPr>
          <w:rFonts w:hint="eastAsia"/>
        </w:rPr>
        <w:t>月</w:t>
      </w:r>
      <w:r>
        <w:t>）</w:t>
      </w:r>
      <w:r>
        <w:rPr>
          <w:rFonts w:hint="eastAsia"/>
        </w:rPr>
        <w:t>为冰川的强消融期，夏季由于气温的升高，零度层上升及日照时间增加，冰川融水量增大。由于辐射平衡有明显的日变化过程，冰川融水也表现出明显的日变化过程，一般水位峰谷出现时间滞后于气温分布出现时间，滞后时间与冰川末端到水文断面的远近有关。</w:t>
      </w:r>
    </w:p>
    <w:p w14:paraId="4C868E32">
      <w:pPr>
        <w:pStyle w:val="6"/>
        <w:kinsoku w:val="0"/>
        <w:overflowPunct w:val="0"/>
        <w:spacing w:after="0" w:line="360" w:lineRule="auto"/>
        <w:ind w:firstLine="397"/>
        <w:jc w:val="both"/>
      </w:pPr>
      <w:r>
        <w:rPr>
          <w:rFonts w:hint="eastAsia"/>
        </w:rPr>
        <w:t>盖孜河各站峰谷出现时间基本固定，冰川作为“固态水库”，一方面对径流有多年调节作用，使径流的年际变化较稳定；另一方面，对河流补给又与气温的季节变化密切相关，使径流年内分配极不均衡，季节分配悬殊，克勒克站夏季</w:t>
      </w:r>
      <w:r>
        <w:t>（6-8</w:t>
      </w:r>
      <w:r>
        <w:rPr>
          <w:rFonts w:hint="eastAsia"/>
        </w:rPr>
        <w:t>月</w:t>
      </w:r>
      <w:r>
        <w:t>）</w:t>
      </w:r>
      <w:r>
        <w:rPr>
          <w:rFonts w:hint="eastAsia"/>
        </w:rPr>
        <w:t>水量占全年水量的</w:t>
      </w:r>
      <w:r>
        <w:t>60.9%</w:t>
      </w:r>
      <w:r>
        <w:rPr>
          <w:rFonts w:hint="eastAsia"/>
        </w:rPr>
        <w:t>，春、秋季各占年径流量的</w:t>
      </w:r>
      <w:r>
        <w:t>14.3%</w:t>
      </w:r>
      <w:r>
        <w:rPr>
          <w:rFonts w:hint="eastAsia"/>
        </w:rPr>
        <w:t>和</w:t>
      </w:r>
      <w:r>
        <w:t>18.5%</w:t>
      </w:r>
      <w:r>
        <w:rPr>
          <w:rFonts w:hint="eastAsia"/>
        </w:rPr>
        <w:t>。</w:t>
      </w:r>
    </w:p>
    <w:p w14:paraId="6109E71C">
      <w:pPr>
        <w:pStyle w:val="6"/>
        <w:kinsoku w:val="0"/>
        <w:overflowPunct w:val="0"/>
        <w:spacing w:after="0" w:line="360" w:lineRule="auto"/>
        <w:ind w:firstLine="397"/>
        <w:jc w:val="both"/>
      </w:pPr>
      <w:r>
        <w:rPr>
          <w:rFonts w:hint="eastAsia"/>
        </w:rPr>
        <w:t>对克勒克站实测年径流量系列分析，</w:t>
      </w:r>
      <w:r>
        <w:t>1978</w:t>
      </w:r>
      <w:r>
        <w:rPr>
          <w:rFonts w:hint="eastAsia"/>
        </w:rPr>
        <w:t>年为最丰年，年径流量为</w:t>
      </w:r>
      <w:r>
        <w:t>14.29</w:t>
      </w:r>
      <w:r>
        <w:rPr>
          <w:rFonts w:hint="eastAsia"/>
        </w:rPr>
        <w:t>亿</w:t>
      </w:r>
      <w:r>
        <w:t>m³</w:t>
      </w:r>
      <w:r>
        <w:rPr>
          <w:rFonts w:hint="eastAsia"/>
        </w:rPr>
        <w:t>，</w:t>
      </w:r>
      <w:r>
        <w:t>1972</w:t>
      </w:r>
      <w:r>
        <w:rPr>
          <w:rFonts w:hint="eastAsia"/>
        </w:rPr>
        <w:t>年为最枯年，年径流量为</w:t>
      </w:r>
      <w:r>
        <w:t>6.533</w:t>
      </w:r>
      <w:r>
        <w:rPr>
          <w:rFonts w:hint="eastAsia"/>
        </w:rPr>
        <w:t>亿</w:t>
      </w:r>
      <w:r>
        <w:t>m³</w:t>
      </w:r>
      <w:r>
        <w:rPr>
          <w:rFonts w:hint="eastAsia"/>
        </w:rPr>
        <w:t>，年径流量最大变幅为多年平均径流量的</w:t>
      </w:r>
      <w:r>
        <w:t>0.82</w:t>
      </w:r>
      <w:r>
        <w:rPr>
          <w:rFonts w:hint="eastAsia"/>
        </w:rPr>
        <w:t>倍；对维他克站实测年径流量系列分析，</w:t>
      </w:r>
      <w:r>
        <w:t>1978</w:t>
      </w:r>
      <w:r>
        <w:rPr>
          <w:rFonts w:hint="eastAsia"/>
        </w:rPr>
        <w:t>年为最丰年，年径流量为</w:t>
      </w:r>
      <w:r>
        <w:t>2.294</w:t>
      </w:r>
      <w:r>
        <w:rPr>
          <w:rFonts w:hint="eastAsia"/>
        </w:rPr>
        <w:t>亿</w:t>
      </w:r>
      <w:r>
        <w:t>m³</w:t>
      </w:r>
      <w:r>
        <w:rPr>
          <w:rFonts w:hint="eastAsia"/>
        </w:rPr>
        <w:t>，</w:t>
      </w:r>
      <w:r>
        <w:t>2009</w:t>
      </w:r>
      <w:r>
        <w:rPr>
          <w:rFonts w:hint="eastAsia"/>
        </w:rPr>
        <w:t>年为最枯年，年径流量为</w:t>
      </w:r>
      <w:r>
        <w:t>1.328</w:t>
      </w:r>
      <w:r>
        <w:rPr>
          <w:rFonts w:hint="eastAsia"/>
        </w:rPr>
        <w:t>亿</w:t>
      </w:r>
      <w:r>
        <w:t>m³</w:t>
      </w:r>
      <w:r>
        <w:rPr>
          <w:rFonts w:hint="eastAsia"/>
        </w:rPr>
        <w:t>，年径流量最大变幅为多年平均径流量的</w:t>
      </w:r>
      <w:r>
        <w:t>0.56</w:t>
      </w:r>
      <w:r>
        <w:rPr>
          <w:rFonts w:hint="eastAsia"/>
        </w:rPr>
        <w:t>倍；可见盖孜河的径流量年际变化较平稳。</w:t>
      </w:r>
    </w:p>
    <w:p w14:paraId="53F3F9EF">
      <w:pPr>
        <w:pStyle w:val="6"/>
        <w:kinsoku w:val="0"/>
        <w:overflowPunct w:val="0"/>
        <w:spacing w:after="0" w:line="360" w:lineRule="auto"/>
        <w:ind w:firstLine="397"/>
        <w:jc w:val="both"/>
      </w:pPr>
      <w:r>
        <w:rPr>
          <w:rFonts w:hint="eastAsia"/>
        </w:rPr>
        <w:t>（</w:t>
      </w:r>
      <w:r>
        <w:t>3</w:t>
      </w:r>
      <w:r>
        <w:rPr>
          <w:rFonts w:hint="eastAsia"/>
        </w:rPr>
        <w:t>）径流的年内变化</w:t>
      </w:r>
    </w:p>
    <w:p w14:paraId="51C81AB8">
      <w:pPr>
        <w:pStyle w:val="6"/>
        <w:kinsoku w:val="0"/>
        <w:overflowPunct w:val="0"/>
        <w:spacing w:after="0" w:line="360" w:lineRule="auto"/>
        <w:ind w:firstLine="397"/>
        <w:jc w:val="both"/>
      </w:pPr>
      <w:r>
        <w:rPr>
          <w:rFonts w:hint="eastAsia"/>
        </w:rPr>
        <w:t>盖孜河属于冰川融水补给河流，因此年内分配极不均匀，对克勒克站实测径流资料分析，水量主要集中于</w:t>
      </w:r>
      <w:r>
        <w:t>6-9</w:t>
      </w:r>
      <w:r>
        <w:rPr>
          <w:rFonts w:hint="eastAsia"/>
        </w:rPr>
        <w:t>月，且占全年径流量的</w:t>
      </w:r>
      <w:r>
        <w:t>71.6%</w:t>
      </w:r>
      <w:r>
        <w:rPr>
          <w:rFonts w:hint="eastAsia"/>
        </w:rPr>
        <w:t>，而最小三个月径流量占全年径流</w:t>
      </w:r>
      <w:r>
        <w:t>7.5%</w:t>
      </w:r>
      <w:r>
        <w:rPr>
          <w:rFonts w:hint="eastAsia"/>
        </w:rPr>
        <w:t>，按照日历年四季分配，克勒克站为夏季</w:t>
      </w:r>
      <w:r>
        <w:t>（6-8</w:t>
      </w:r>
      <w:r>
        <w:rPr>
          <w:rFonts w:hint="eastAsia"/>
        </w:rPr>
        <w:t>月</w:t>
      </w:r>
      <w:r>
        <w:t>）&gt;</w:t>
      </w:r>
      <w:r>
        <w:rPr>
          <w:rFonts w:hint="eastAsia"/>
        </w:rPr>
        <w:t>秋季</w:t>
      </w:r>
      <w:r>
        <w:t>（9-11</w:t>
      </w:r>
      <w:r>
        <w:rPr>
          <w:rFonts w:hint="eastAsia"/>
        </w:rPr>
        <w:t>月</w:t>
      </w:r>
      <w:r>
        <w:t>）&gt;</w:t>
      </w:r>
      <w:r>
        <w:rPr>
          <w:rFonts w:hint="eastAsia"/>
        </w:rPr>
        <w:t>春季</w:t>
      </w:r>
      <w:r>
        <w:t>（3-5</w:t>
      </w:r>
      <w:r>
        <w:rPr>
          <w:rFonts w:hint="eastAsia"/>
        </w:rPr>
        <w:t>月</w:t>
      </w:r>
      <w:r>
        <w:t>）&gt;</w:t>
      </w:r>
      <w:r>
        <w:rPr>
          <w:rFonts w:hint="eastAsia"/>
        </w:rPr>
        <w:t>冬季</w:t>
      </w:r>
      <w:r>
        <w:t>（12-2</w:t>
      </w:r>
      <w:r>
        <w:rPr>
          <w:rFonts w:hint="eastAsia"/>
        </w:rPr>
        <w:t>月</w:t>
      </w:r>
      <w:r>
        <w:t>）</w:t>
      </w:r>
      <w:r>
        <w:rPr>
          <w:rFonts w:hint="eastAsia"/>
        </w:rPr>
        <w:t>。</w:t>
      </w:r>
    </w:p>
    <w:p w14:paraId="04B5D6F8">
      <w:pPr>
        <w:pStyle w:val="6"/>
        <w:kinsoku w:val="0"/>
        <w:overflowPunct w:val="0"/>
        <w:spacing w:after="0" w:line="360" w:lineRule="auto"/>
        <w:ind w:firstLine="397"/>
        <w:jc w:val="both"/>
      </w:pPr>
      <w:r>
        <w:rPr>
          <w:rFonts w:hint="eastAsia"/>
        </w:rPr>
        <w:t>盖孜河上游由木吉河和喀拉库里河两条大支流组成。左支木吉河发源于帕米尔高原的萨雷阔勒岭，上游由喀拉卓克沟和拜什布拉克泉群组成，于木吉村汇合后称木吉河，木吉河南北两岸东西向分布有高山冰川，但较分散，冰雪融水支流多为季节性河流。右支喀拉库里河发源于慕士塔格山，上源有丰富的冰川区，河道呈东南－西北向，喀拉库里河上的喀拉库里水文站河长</w:t>
      </w:r>
      <w:r>
        <w:t>71km</w:t>
      </w:r>
      <w:r>
        <w:rPr>
          <w:rFonts w:hint="eastAsia"/>
        </w:rPr>
        <w:t>，集水面积</w:t>
      </w:r>
      <w:r>
        <w:t>2542km²</w:t>
      </w:r>
      <w:r>
        <w:rPr>
          <w:rFonts w:hint="eastAsia"/>
        </w:rPr>
        <w:t>，该河在布仑口与木吉河汇合后始称盖孜河。盖孜河控制站克勒克站以上集水面积</w:t>
      </w:r>
      <w:r>
        <w:t>9736km²</w:t>
      </w:r>
      <w:r>
        <w:rPr>
          <w:rFonts w:hint="eastAsia"/>
        </w:rPr>
        <w:t>，</w:t>
      </w:r>
      <w:r>
        <w:t>1956</w:t>
      </w:r>
      <w:r>
        <w:rPr>
          <w:rFonts w:hint="eastAsia"/>
        </w:rPr>
        <w:t>～</w:t>
      </w:r>
      <w:r>
        <w:t>2013</w:t>
      </w:r>
      <w:r>
        <w:rPr>
          <w:rFonts w:hint="eastAsia"/>
        </w:rPr>
        <w:t>年多年平均径流量</w:t>
      </w:r>
      <w:r>
        <w:t>9.494</w:t>
      </w:r>
      <w:r>
        <w:rPr>
          <w:rFonts w:hint="eastAsia"/>
        </w:rPr>
        <w:t>亿</w:t>
      </w:r>
      <w:r>
        <w:t>m³</w:t>
      </w:r>
      <w:r>
        <w:rPr>
          <w:rFonts w:hint="eastAsia"/>
        </w:rPr>
        <w:t>。支流维他克河为暴雨区，维他克站集水面积</w:t>
      </w:r>
      <w:r>
        <w:t>497km²</w:t>
      </w:r>
      <w:r>
        <w:rPr>
          <w:rFonts w:hint="eastAsia"/>
        </w:rPr>
        <w:t>，</w:t>
      </w:r>
      <w:r>
        <w:t>1956</w:t>
      </w:r>
      <w:r>
        <w:rPr>
          <w:rFonts w:hint="eastAsia"/>
        </w:rPr>
        <w:t>～</w:t>
      </w:r>
      <w:r>
        <w:t>2013</w:t>
      </w:r>
      <w:r>
        <w:rPr>
          <w:rFonts w:hint="eastAsia"/>
        </w:rPr>
        <w:t>年多年平均径流量</w:t>
      </w:r>
      <w:r>
        <w:t>1.749</w:t>
      </w:r>
      <w:r>
        <w:rPr>
          <w:rFonts w:hint="eastAsia"/>
        </w:rPr>
        <w:t>亿</w:t>
      </w:r>
      <w:r>
        <w:t>m³</w:t>
      </w:r>
      <w:r>
        <w:rPr>
          <w:rFonts w:hint="eastAsia"/>
        </w:rPr>
        <w:t>。</w:t>
      </w:r>
    </w:p>
    <w:p w14:paraId="4F049E91">
      <w:pPr>
        <w:pStyle w:val="8"/>
        <w:adjustRightInd w:val="0"/>
        <w:snapToGrid w:val="0"/>
        <w:spacing w:line="360" w:lineRule="auto"/>
        <w:ind w:firstLine="480"/>
        <w:jc w:val="both"/>
        <w:rPr>
          <w:rFonts w:ascii="Times New Roman" w:hAnsi="Times New Roman" w:cs="Times New Roman"/>
          <w:szCs w:val="24"/>
        </w:rPr>
      </w:pPr>
      <w:r>
        <w:rPr>
          <w:rFonts w:ascii="Times New Roman" w:hAnsi="Times New Roman" w:cs="Times New Roman"/>
          <w:szCs w:val="24"/>
        </w:rPr>
        <w:t>本项目跨越的主要河流为</w:t>
      </w:r>
      <w:r>
        <w:rPr>
          <w:rFonts w:hint="eastAsia" w:ascii="Times New Roman" w:hAnsi="Times New Roman" w:cs="Times New Roman"/>
          <w:szCs w:val="24"/>
        </w:rPr>
        <w:t>盖孜河</w:t>
      </w:r>
      <w:r>
        <w:rPr>
          <w:rFonts w:ascii="Times New Roman" w:hAnsi="Times New Roman" w:cs="Times New Roman"/>
          <w:szCs w:val="24"/>
        </w:rPr>
        <w:t>。</w:t>
      </w:r>
    </w:p>
    <w:p w14:paraId="7F43FC89">
      <w:pPr>
        <w:pStyle w:val="8"/>
        <w:adjustRightInd w:val="0"/>
        <w:snapToGrid w:val="0"/>
        <w:spacing w:line="360" w:lineRule="auto"/>
        <w:ind w:firstLine="480"/>
        <w:rPr>
          <w:color w:val="00B0F0"/>
          <w:szCs w:val="24"/>
        </w:rPr>
      </w:pPr>
      <w:r>
        <w:rPr>
          <w:rFonts w:hint="eastAsia"/>
          <w:color w:val="FF0000"/>
          <w:szCs w:val="24"/>
        </w:rPr>
        <w:t>项目区水系分布见图4.1-</w:t>
      </w:r>
      <w:r>
        <w:rPr>
          <w:color w:val="FF0000"/>
          <w:szCs w:val="24"/>
        </w:rPr>
        <w:t>2</w:t>
      </w:r>
      <w:r>
        <w:rPr>
          <w:rFonts w:hint="eastAsia"/>
          <w:color w:val="FF0000"/>
          <w:szCs w:val="24"/>
        </w:rPr>
        <w:t>。</w:t>
      </w:r>
    </w:p>
    <w:p w14:paraId="6E3C0821">
      <w:pPr>
        <w:pStyle w:val="4"/>
        <w:adjustRightInd w:val="0"/>
        <w:snapToGrid w:val="0"/>
        <w:spacing w:before="156" w:after="156" w:line="240" w:lineRule="auto"/>
        <w:rPr>
          <w:rFonts w:ascii="Times New Roman" w:hAnsi="Times New Roman" w:cs="Times New Roman"/>
          <w:sz w:val="30"/>
          <w:szCs w:val="30"/>
        </w:rPr>
      </w:pPr>
      <w:bookmarkStart w:id="423" w:name="_Toc57826741"/>
      <w:bookmarkStart w:id="424" w:name="_Toc98413534"/>
      <w:bookmarkStart w:id="425" w:name="_Toc98414216"/>
      <w:bookmarkStart w:id="426" w:name="_Toc97464639"/>
      <w:bookmarkStart w:id="427" w:name="_Toc34989579"/>
      <w:r>
        <w:rPr>
          <w:rFonts w:ascii="Times New Roman" w:hAnsi="Times New Roman" w:cs="Times New Roman"/>
          <w:sz w:val="30"/>
          <w:szCs w:val="30"/>
        </w:rPr>
        <w:t>4.1.4气候与气象</w:t>
      </w:r>
      <w:bookmarkEnd w:id="423"/>
      <w:bookmarkEnd w:id="424"/>
      <w:bookmarkEnd w:id="425"/>
      <w:bookmarkEnd w:id="426"/>
      <w:bookmarkEnd w:id="427"/>
    </w:p>
    <w:p w14:paraId="1010DDA4">
      <w:pPr>
        <w:spacing w:line="360" w:lineRule="auto"/>
        <w:ind w:firstLine="480" w:firstLineChars="200"/>
        <w:jc w:val="both"/>
      </w:pPr>
      <w:r>
        <w:rPr>
          <w:rFonts w:hint="eastAsia"/>
        </w:rPr>
        <w:t>本项目</w:t>
      </w:r>
      <w:r>
        <w:t>所在地处于中纬度西风带，欧亚大陆中心，属极端干旱的荒漠气候。气候特征是春季多风，夏季炎热少雨，秋季降温迅速，冬季寒冷少雪。全年日照时间长，昼夜温差大，辐射强，热量丰富，蒸发量大，空气干燥，无霜期长。主风向为西北风，次为东北风和西南风，历年平均风速1.9m/s。多年平均气温11.4</w:t>
      </w:r>
      <w:r>
        <w:rPr>
          <w:rFonts w:hint="eastAsia"/>
        </w:rPr>
        <w:t>℃</w:t>
      </w:r>
      <w:r>
        <w:t>，极端最高气温40.1</w:t>
      </w:r>
      <w:r>
        <w:rPr>
          <w:rFonts w:hint="eastAsia"/>
        </w:rPr>
        <w:t>℃</w:t>
      </w:r>
      <w:r>
        <w:t>，极端最低气温－24.4</w:t>
      </w:r>
      <w:r>
        <w:rPr>
          <w:rFonts w:hint="eastAsia"/>
        </w:rPr>
        <w:t>℃</w:t>
      </w:r>
      <w:r>
        <w:t>，初霜期一般在10月中旬，终霜期一般在次年3月上旬；年平均降水量68.7mm，年平均蒸发量为2274.6mm，蒸降比33：1，相对温度54.3%，年日照时数3200小时以上，年太阳辐射为0.59MJ/cm²。独特的气候条件非常适于农作物和一些名、优、特水果生长，有利于作物光合作用和糖分的积累。主要灾害天气为冰雹和大风天气。冰雹多发生在每年7月份，8级以上大风天气多发生在4－7月及10月，多年平均大风日为20天，另外经常遭受干热风的侵袭，灾害性天气对农牧业生产和人民生活有一定威胁。</w:t>
      </w:r>
    </w:p>
    <w:p w14:paraId="303363A6">
      <w:pPr>
        <w:pStyle w:val="4"/>
        <w:adjustRightInd w:val="0"/>
        <w:snapToGrid w:val="0"/>
        <w:spacing w:before="156" w:after="156" w:line="240" w:lineRule="auto"/>
        <w:rPr>
          <w:rFonts w:ascii="Times New Roman" w:hAnsi="Times New Roman" w:cs="Times New Roman"/>
          <w:sz w:val="30"/>
          <w:szCs w:val="30"/>
        </w:rPr>
      </w:pPr>
      <w:bookmarkStart w:id="428" w:name="_Toc97464637"/>
      <w:bookmarkStart w:id="429" w:name="_Toc98413532"/>
      <w:bookmarkStart w:id="430" w:name="_Toc34989577"/>
      <w:bookmarkStart w:id="431" w:name="_Toc98414214"/>
      <w:bookmarkStart w:id="432" w:name="_Toc57826739"/>
      <w:r>
        <w:rPr>
          <w:rFonts w:ascii="Times New Roman" w:hAnsi="Times New Roman" w:cs="Times New Roman"/>
          <w:sz w:val="30"/>
          <w:szCs w:val="30"/>
        </w:rPr>
        <w:t>4.1.5地质</w:t>
      </w:r>
      <w:bookmarkEnd w:id="428"/>
      <w:bookmarkEnd w:id="429"/>
      <w:bookmarkEnd w:id="430"/>
      <w:bookmarkEnd w:id="431"/>
      <w:bookmarkEnd w:id="432"/>
    </w:p>
    <w:p w14:paraId="3E82AB3A">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4.1.5.1</w:t>
      </w:r>
      <w:r>
        <w:rPr>
          <w:rFonts w:hint="eastAsia" w:ascii="Times New Roman" w:hAnsi="Times New Roman" w:cs="Times New Roman"/>
          <w:i w:val="0"/>
        </w:rPr>
        <w:t>地质构造</w:t>
      </w:r>
    </w:p>
    <w:p w14:paraId="35EF9455">
      <w:pPr>
        <w:spacing w:line="360" w:lineRule="auto"/>
        <w:ind w:firstLine="480" w:firstLineChars="200"/>
        <w:jc w:val="both"/>
      </w:pPr>
      <w:r>
        <w:rPr>
          <w:rFonts w:hint="eastAsia"/>
        </w:rPr>
        <w:t>区域地层岩性在钻探所达深度范围内，场地地层主要为第四系松散堆积物，经野外勘察和室内试验分析结果，拟建场地地层岩性主要由粉土及细砂构成，自然地面以下地层结构自上而下可分为二层。</w:t>
      </w:r>
    </w:p>
    <w:p w14:paraId="431A4690">
      <w:pPr>
        <w:spacing w:line="360" w:lineRule="auto"/>
        <w:ind w:firstLine="480" w:firstLineChars="200"/>
        <w:jc w:val="both"/>
      </w:pPr>
      <w:r>
        <w:rPr>
          <w:rFonts w:hint="eastAsia"/>
        </w:rPr>
        <w:t>第</w:t>
      </w:r>
      <w:r>
        <w:t>1</w:t>
      </w:r>
      <w:r>
        <w:rPr>
          <w:rFonts w:hint="eastAsia"/>
        </w:rPr>
        <w:t>层：粉土，灰色，呈稍密～中密，稍湿～湿～很湿状态，局部砂感明显；土面粗糙无光泽反应；干强度低，易于用手指捏碎；韧性低，土条不能再揉成土团。层底埋深为自然地面以下</w:t>
      </w:r>
      <w:r>
        <w:t>7.40</w:t>
      </w:r>
      <w:r>
        <w:rPr>
          <w:rFonts w:hint="eastAsia"/>
        </w:rPr>
        <w:t>～</w:t>
      </w:r>
      <w:r>
        <w:t>8.50m</w:t>
      </w:r>
      <w:r>
        <w:rPr>
          <w:rFonts w:hint="eastAsia"/>
        </w:rPr>
        <w:t>，层厚</w:t>
      </w:r>
      <w:r>
        <w:t>7.50</w:t>
      </w:r>
      <w:r>
        <w:rPr>
          <w:rFonts w:hint="eastAsia"/>
        </w:rPr>
        <w:t>～</w:t>
      </w:r>
      <w:r>
        <w:t>8.50m</w:t>
      </w:r>
      <w:r>
        <w:rPr>
          <w:rFonts w:hint="eastAsia"/>
        </w:rPr>
        <w:t>。层底高程为</w:t>
      </w:r>
      <w:r>
        <w:t>1282.30</w:t>
      </w:r>
      <w:r>
        <w:rPr>
          <w:rFonts w:hint="eastAsia"/>
        </w:rPr>
        <w:t>～</w:t>
      </w:r>
      <w:r>
        <w:t>1288.5m</w:t>
      </w:r>
      <w:r>
        <w:rPr>
          <w:rFonts w:hint="eastAsia"/>
        </w:rPr>
        <w:t>。第</w:t>
      </w:r>
      <w:r>
        <w:t xml:space="preserve">2 </w:t>
      </w:r>
      <w:r>
        <w:rPr>
          <w:rFonts w:hint="eastAsia"/>
        </w:rPr>
        <w:t>层：细砂，青灰色，呈稍密～中密～密实，饱和状态，主要由石英、长石、云母等组成，颗粒呈棱角状。</w:t>
      </w:r>
    </w:p>
    <w:p w14:paraId="6211D94D">
      <w:pPr>
        <w:spacing w:line="360" w:lineRule="auto"/>
        <w:ind w:firstLine="480" w:firstLineChars="200"/>
        <w:jc w:val="both"/>
      </w:pPr>
      <w:r>
        <w:rPr>
          <w:rFonts w:hint="eastAsia"/>
        </w:rPr>
        <w:t>结合本地区工程实践经验，地基承载力特征值建议：第</w:t>
      </w:r>
      <w:r>
        <w:t>1</w:t>
      </w:r>
      <w:r>
        <w:rPr>
          <w:rFonts w:hint="eastAsia"/>
        </w:rPr>
        <w:t>层粉土</w:t>
      </w:r>
      <w:r>
        <w:t>fak=90kPa</w:t>
      </w:r>
      <w:r>
        <w:rPr>
          <w:rFonts w:hint="eastAsia"/>
        </w:rPr>
        <w:t>，第</w:t>
      </w:r>
      <w:r>
        <w:t>2</w:t>
      </w:r>
      <w:r>
        <w:rPr>
          <w:rFonts w:hint="eastAsia"/>
        </w:rPr>
        <w:t>层细砂</w:t>
      </w:r>
      <w:r>
        <w:t>fak=140kPa</w:t>
      </w:r>
      <w:r>
        <w:rPr>
          <w:rFonts w:hint="eastAsia"/>
        </w:rPr>
        <w:t>。</w:t>
      </w:r>
    </w:p>
    <w:p w14:paraId="61CA5AC1">
      <w:pPr>
        <w:pStyle w:val="8"/>
        <w:adjustRightInd w:val="0"/>
        <w:snapToGrid w:val="0"/>
        <w:spacing w:line="360" w:lineRule="auto"/>
        <w:ind w:firstLine="480"/>
        <w:jc w:val="both"/>
      </w:pPr>
      <w:r>
        <w:t>根据《中国地震动参数区划图》（GB18306-2001）确定本区地震动峰值加速度0.05g，对应地震基本烈度为Ⅵ度，区域构造稳定性较好</w:t>
      </w:r>
      <w:r>
        <w:rPr>
          <w:rFonts w:hint="eastAsia"/>
        </w:rPr>
        <w:t>。</w:t>
      </w:r>
    </w:p>
    <w:p w14:paraId="2B087AA7">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4.1.5.2</w:t>
      </w:r>
      <w:r>
        <w:rPr>
          <w:rFonts w:hint="eastAsia" w:ascii="Times New Roman" w:hAnsi="Times New Roman" w:cs="Times New Roman"/>
          <w:i w:val="0"/>
        </w:rPr>
        <w:t>区域地质条件</w:t>
      </w:r>
    </w:p>
    <w:p w14:paraId="7F5618A7">
      <w:pPr>
        <w:pStyle w:val="8"/>
        <w:adjustRightInd w:val="0"/>
        <w:snapToGrid w:val="0"/>
        <w:spacing w:line="360" w:lineRule="auto"/>
        <w:ind w:firstLine="480"/>
        <w:jc w:val="both"/>
        <w:rPr>
          <w:rFonts w:ascii="Times New Roman" w:hAnsi="Times New Roman" w:cs="Times New Roman"/>
          <w:szCs w:val="24"/>
        </w:rPr>
      </w:pPr>
      <w:r>
        <w:rPr>
          <w:rFonts w:hint="eastAsia" w:ascii="Times New Roman" w:hAnsi="Times New Roman" w:cs="Times New Roman"/>
          <w:szCs w:val="24"/>
        </w:rPr>
        <w:t>1、地层</w:t>
      </w:r>
    </w:p>
    <w:p w14:paraId="24FCC385">
      <w:pPr>
        <w:spacing w:line="360" w:lineRule="auto"/>
        <w:ind w:firstLine="480" w:firstLineChars="200"/>
        <w:jc w:val="both"/>
      </w:pPr>
      <w:r>
        <w:rPr>
          <w:rFonts w:hint="eastAsia"/>
        </w:rPr>
        <w:t>项目区</w:t>
      </w:r>
      <w:r>
        <w:t>地处西南天山和昆仑山之间的坳陷带，出露地层主要为新生界的第三系、第四系，现由老到新分述如下。</w:t>
      </w:r>
    </w:p>
    <w:p w14:paraId="0FE57ABE">
      <w:pPr>
        <w:spacing w:line="360" w:lineRule="auto"/>
        <w:ind w:firstLine="480" w:firstLineChars="200"/>
        <w:jc w:val="both"/>
      </w:pPr>
      <w:r>
        <w:t>（</w:t>
      </w:r>
      <w:r>
        <w:rPr>
          <w:rFonts w:hint="eastAsia"/>
        </w:rPr>
        <w:t>1</w:t>
      </w:r>
      <w:r>
        <w:t>）第三系（N）</w:t>
      </w:r>
    </w:p>
    <w:p w14:paraId="71A2920E">
      <w:pPr>
        <w:spacing w:line="360" w:lineRule="auto"/>
        <w:ind w:firstLine="480" w:firstLineChars="200"/>
        <w:jc w:val="both"/>
      </w:pPr>
      <w:r>
        <w:t>第三系主要分布于工作区南部的中低山区、北部库马塔格和艾孜热提毛拉木塔格低山丘陵一带，盖孜河大桥附近的河床两侧也有小面积的分布。出露的地层主要为第三系上新统（N</w:t>
      </w:r>
      <w:r>
        <w:rPr>
          <w:vertAlign w:val="subscript"/>
        </w:rPr>
        <w:t>2</w:t>
      </w:r>
      <w:r>
        <w:t>），为一套河湖相碎屑岩建造，岩性为浅灰色、浅青灰色半固结-固结状泥岩、砂岩、砾岩互层，风化强烈，节理发育，岩体破碎,总厚度300~1000m。</w:t>
      </w:r>
    </w:p>
    <w:p w14:paraId="04CA046C">
      <w:pPr>
        <w:spacing w:line="360" w:lineRule="auto"/>
        <w:ind w:firstLine="480" w:firstLineChars="200"/>
        <w:jc w:val="both"/>
      </w:pPr>
      <w:r>
        <w:t>（</w:t>
      </w:r>
      <w:r>
        <w:rPr>
          <w:rFonts w:hint="eastAsia"/>
        </w:rPr>
        <w:t>2</w:t>
      </w:r>
      <w:r>
        <w:t>）第四系（</w:t>
      </w:r>
      <w:r>
        <w:object>
          <v:shape id="_x0000_i1027" o:spt="75" type="#_x0000_t75" style="height:14.95pt;width:12.1pt;" o:ole="t" filled="f" o:preferrelative="t" stroked="f" coordsize="21600,21600">
            <v:path/>
            <v:fill on="f" focussize="0,0"/>
            <v:stroke on="f" joinstyle="miter"/>
            <v:imagedata r:id="rId33" o:title=""/>
            <o:lock v:ext="edit" aspectratio="t"/>
            <w10:wrap type="none"/>
            <w10:anchorlock/>
          </v:shape>
          <o:OLEObject Type="Embed" ProgID="Equation.3" ShapeID="_x0000_i1027" DrawAspect="Content" ObjectID="_1468075725" r:id="rId32">
            <o:LockedField>false</o:LockedField>
          </o:OLEObject>
        </w:object>
      </w:r>
      <w:r>
        <w:t>）</w:t>
      </w:r>
    </w:p>
    <w:p w14:paraId="551854E9">
      <w:pPr>
        <w:spacing w:line="360" w:lineRule="auto"/>
        <w:ind w:firstLine="480" w:firstLineChars="200"/>
        <w:jc w:val="both"/>
      </w:pPr>
      <w:r>
        <w:t>第四系广泛分布于区内，出露地层有下中更新统洪积层（</w:t>
      </w:r>
      <w:r>
        <w:object>
          <v:shape id="_x0000_i1028" o:spt="75" type="#_x0000_t75" style="height:17.1pt;width:22.8pt;" o:ole="t" filled="f" o:preferrelative="t" stroked="f" coordsize="21600,21600">
            <v:path/>
            <v:fill on="f" focussize="0,0"/>
            <v:stroke on="f" joinstyle="miter"/>
            <v:imagedata r:id="rId35" o:title=""/>
            <o:lock v:ext="edit" aspectratio="t"/>
            <w10:wrap type="none"/>
            <w10:anchorlock/>
          </v:shape>
          <o:OLEObject Type="Embed" ProgID="Equation.3" ShapeID="_x0000_i1028" DrawAspect="Content" ObjectID="_1468075726" r:id="rId34">
            <o:LockedField>false</o:LockedField>
          </o:OLEObject>
        </w:object>
      </w:r>
      <w:r>
        <w:t>）、中更新统冲积层（</w:t>
      </w:r>
      <w:r>
        <w:object>
          <v:shape id="_x0000_i1029" o:spt="75" type="#_x0000_t75" style="height:17.8pt;width:17.8pt;" o:ole="t" filled="f" o:preferrelative="t" stroked="f" coordsize="21600,21600">
            <v:path/>
            <v:fill on="f" focussize="0,0"/>
            <v:stroke on="f" joinstyle="miter"/>
            <v:imagedata r:id="rId37" o:title=""/>
            <o:lock v:ext="edit" aspectratio="t"/>
            <w10:wrap type="none"/>
            <w10:anchorlock/>
          </v:shape>
          <o:OLEObject Type="Embed" ProgID="Equation.3" ShapeID="_x0000_i1029" DrawAspect="Content" ObjectID="_1468075727" r:id="rId36">
            <o:LockedField>false</o:LockedField>
          </o:OLEObject>
        </w:object>
      </w:r>
      <w:r>
        <w:t>）、上更新统洪积层（</w:t>
      </w:r>
      <w:r>
        <w:object>
          <v:shape id="_x0000_i1030" o:spt="75" type="#_x0000_t75" style="height:17.8pt;width:22.1pt;" o:ole="t" filled="f" o:preferrelative="t" stroked="f" coordsize="21600,21600">
            <v:path/>
            <v:fill on="f" focussize="0,0"/>
            <v:stroke on="f" joinstyle="miter"/>
            <v:imagedata r:id="rId39" o:title=""/>
            <o:lock v:ext="edit" aspectratio="t"/>
            <w10:wrap type="none"/>
            <w10:anchorlock/>
          </v:shape>
          <o:OLEObject Type="Embed" ProgID="Equation.3" ShapeID="_x0000_i1030" DrawAspect="Content" ObjectID="_1468075728" r:id="rId38">
            <o:LockedField>false</o:LockedField>
          </o:OLEObject>
        </w:object>
      </w:r>
      <w:r>
        <w:t>）、全新统冲洪积层（</w:t>
      </w:r>
      <w:r>
        <w:object>
          <v:shape id="_x0000_i1031" o:spt="75" type="#_x0000_t75" style="height:17.1pt;width:22.8pt;" o:ole="t" filled="f" o:preferrelative="t" stroked="f" coordsize="21600,21600">
            <v:path/>
            <v:fill on="f" focussize="0,0"/>
            <v:stroke on="f" joinstyle="miter"/>
            <v:imagedata r:id="rId41" o:title=""/>
            <o:lock v:ext="edit" aspectratio="t"/>
            <w10:wrap type="none"/>
            <w10:anchorlock/>
          </v:shape>
          <o:OLEObject Type="Embed" ProgID="Equation.3" ShapeID="_x0000_i1031" DrawAspect="Content" ObjectID="_1468075729" r:id="rId40">
            <o:LockedField>false</o:LockedField>
          </o:OLEObject>
        </w:object>
      </w:r>
      <w:r>
        <w:t>）和全新统冲积层（</w:t>
      </w:r>
      <w:r>
        <w:object>
          <v:shape id="_x0000_i1032" o:spt="75" type="#_x0000_t75" style="height:17.8pt;width:17.8pt;" o:ole="t" filled="f" o:preferrelative="t" stroked="f" coordsize="21600,21600">
            <v:path/>
            <v:fill on="f" focussize="0,0"/>
            <v:stroke on="f" joinstyle="miter"/>
            <v:imagedata r:id="rId43" o:title=""/>
            <o:lock v:ext="edit" aspectratio="t"/>
            <w10:wrap type="none"/>
            <w10:anchorlock/>
          </v:shape>
          <o:OLEObject Type="Embed" ProgID="Equation.3" ShapeID="_x0000_i1032" DrawAspect="Content" ObjectID="_1468075730" r:id="rId42">
            <o:LockedField>false</o:LockedField>
          </o:OLEObject>
        </w:object>
      </w:r>
      <w:r>
        <w:t>）。</w:t>
      </w:r>
    </w:p>
    <w:p w14:paraId="217E58E5">
      <w:pPr>
        <w:spacing w:line="360" w:lineRule="auto"/>
        <w:ind w:firstLine="480" w:firstLineChars="200"/>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t>下中更新统洪积层（</w:t>
      </w:r>
      <w:r>
        <w:object>
          <v:shape id="_x0000_i1033" o:spt="75" type="#_x0000_t75" style="height:17.1pt;width:22.8pt;" o:ole="t" filled="f" o:preferrelative="t" stroked="f" coordsize="21600,21600">
            <v:path/>
            <v:fill on="f" focussize="0,0"/>
            <v:stroke on="f" joinstyle="miter"/>
            <v:imagedata r:id="rId45" o:title=""/>
            <o:lock v:ext="edit" aspectratio="t"/>
            <w10:wrap type="none"/>
            <w10:anchorlock/>
          </v:shape>
          <o:OLEObject Type="Embed" ProgID="Equation.3" ShapeID="_x0000_i1033" DrawAspect="Content" ObjectID="_1468075731" r:id="rId44">
            <o:LockedField>false</o:LockedField>
          </o:OLEObject>
        </w:object>
      </w:r>
      <w:r>
        <w:t>）</w:t>
      </w:r>
    </w:p>
    <w:p w14:paraId="07251266">
      <w:pPr>
        <w:spacing w:line="360" w:lineRule="auto"/>
        <w:ind w:firstLine="480" w:firstLineChars="200"/>
        <w:jc w:val="both"/>
      </w:pPr>
      <w:r>
        <w:t>出露于北部低山丘陵与南部中低山前缘，下伏第三系上新统，其它地段埋藏于上更新统、全新统之下,据前人资料与物探、勘探成果，为一套胶结与半胶结的砂砾岩，灰褐色。</w:t>
      </w:r>
    </w:p>
    <w:p w14:paraId="343F984A">
      <w:pPr>
        <w:spacing w:line="360" w:lineRule="auto"/>
        <w:ind w:firstLine="480" w:firstLineChars="200"/>
        <w:jc w:val="both"/>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t>中更新统冲积层（</w:t>
      </w:r>
      <w:r>
        <w:object>
          <v:shape id="_x0000_i1034" o:spt="75" type="#_x0000_t75" style="height:17.8pt;width:17.8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2" r:id="rId46">
            <o:LockedField>false</o:LockedField>
          </o:OLEObject>
        </w:object>
      </w:r>
      <w:r>
        <w:t>）</w:t>
      </w:r>
    </w:p>
    <w:p w14:paraId="06C2226F">
      <w:pPr>
        <w:spacing w:line="360" w:lineRule="auto"/>
        <w:ind w:firstLine="480" w:firstLineChars="200"/>
        <w:jc w:val="both"/>
      </w:pPr>
      <w:r>
        <w:t>出露于盖孜河出山口的高阶地上。岩性为灰黑色、灰色砂砾石、卵砾石，厚50m左右。岩性分选、磨圆较好，水平层理清晰，粒径一般2—30cm，粒径大者达50cm，岩石成份主要为灰岩和砂岩，次为花岗岩。</w:t>
      </w:r>
    </w:p>
    <w:p w14:paraId="60AF9DBE">
      <w:pPr>
        <w:spacing w:line="360" w:lineRule="auto"/>
        <w:ind w:firstLine="480" w:firstLineChars="200"/>
        <w:jc w:val="both"/>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t>上更新统洪积层（</w:t>
      </w:r>
      <w:r>
        <w:object>
          <v:shape id="_x0000_i1035" o:spt="75" type="#_x0000_t75" style="height:17.8pt;width:22.1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3" r:id="rId47">
            <o:LockedField>false</o:LockedField>
          </o:OLEObject>
        </w:object>
      </w:r>
      <w:r>
        <w:t>）</w:t>
      </w:r>
    </w:p>
    <w:p w14:paraId="4C435C50">
      <w:pPr>
        <w:spacing w:line="360" w:lineRule="auto"/>
        <w:ind w:firstLine="480" w:firstLineChars="200"/>
        <w:jc w:val="both"/>
      </w:pPr>
      <w:r>
        <w:t>分布于工作区南部、北部与西部冲洪积倾斜平原，呈环带状展布，岩性为灰色、灰褐色砂砾石、卵砾石、漂石为主，结构松散，分选性较好，磨圆度中等，粒径一般1~8cm，最大可达30cm左右，卵石约占40~60%，砾石约占30~45%，砂土质充填物约占10~15%，上更新统洪积层厚100~300m。</w:t>
      </w:r>
    </w:p>
    <w:p w14:paraId="4F393E2E">
      <w:pPr>
        <w:spacing w:line="360" w:lineRule="auto"/>
        <w:ind w:firstLine="480" w:firstLineChars="200"/>
        <w:jc w:val="both"/>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t>全新统冲洪积层（</w:t>
      </w:r>
      <w:r>
        <w:object>
          <v:shape id="_x0000_i1036" o:spt="75" type="#_x0000_t75" style="height:17.1pt;width:22.8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4" r:id="rId48">
            <o:LockedField>false</o:LockedField>
          </o:OLEObject>
        </w:object>
      </w:r>
      <w:r>
        <w:t>）</w:t>
      </w:r>
    </w:p>
    <w:p w14:paraId="621351BC">
      <w:pPr>
        <w:spacing w:line="360" w:lineRule="auto"/>
        <w:ind w:firstLine="480" w:firstLineChars="200"/>
        <w:jc w:val="both"/>
      </w:pPr>
      <w:r>
        <w:t>分布于乌鲁阿特小河流域细土平原区和塔什米里克-巴仁乡一带，由冲积与洪积物组成，表层均为5~20m的亚砂土及粉细砂层，灰白色；下部则为分选、磨圆较好、结构松散的砂砾石、砾石，中夹亚砂土、砂质亚粘土薄层，厚约1~3m。</w:t>
      </w:r>
    </w:p>
    <w:p w14:paraId="1A339023">
      <w:pPr>
        <w:spacing w:line="360" w:lineRule="auto"/>
        <w:ind w:firstLine="480" w:firstLineChars="200"/>
        <w:jc w:val="both"/>
      </w:pPr>
      <w:r>
        <w:fldChar w:fldCharType="begin"/>
      </w:r>
      <w:r>
        <w:instrText xml:space="preserve"> </w:instrText>
      </w:r>
      <w:r>
        <w:rPr>
          <w:rFonts w:hint="eastAsia"/>
        </w:rPr>
        <w:instrText xml:space="preserve">= 5 \* GB3</w:instrText>
      </w:r>
      <w:r>
        <w:instrText xml:space="preserve"> </w:instrText>
      </w:r>
      <w:r>
        <w:fldChar w:fldCharType="separate"/>
      </w:r>
      <w:r>
        <w:rPr>
          <w:rFonts w:hint="eastAsia"/>
        </w:rPr>
        <w:t>⑤</w:t>
      </w:r>
      <w:r>
        <w:fldChar w:fldCharType="end"/>
      </w:r>
      <w:r>
        <w:t>全新统冲积层（</w:t>
      </w:r>
      <w:r>
        <w:object>
          <v:shape id="_x0000_i1037" o:spt="75" type="#_x0000_t75" style="height:17.8pt;width:17.8pt;" o:ole="t" filled="f" o:preferrelative="t" stroked="f" coordsize="21600,21600">
            <v:path/>
            <v:fill on="f" focussize="0,0"/>
            <v:stroke on="f" joinstyle="miter"/>
            <v:imagedata r:id="rId43" o:title=""/>
            <o:lock v:ext="edit" aspectratio="t"/>
            <w10:wrap type="none"/>
            <w10:anchorlock/>
          </v:shape>
          <o:OLEObject Type="Embed" ProgID="Equation.3" ShapeID="_x0000_i1037" DrawAspect="Content" ObjectID="_1468075735" r:id="rId49">
            <o:LockedField>false</o:LockedField>
          </o:OLEObject>
        </w:object>
      </w:r>
      <w:r>
        <w:t>）</w:t>
      </w:r>
    </w:p>
    <w:p w14:paraId="472D4556">
      <w:pPr>
        <w:spacing w:line="360" w:lineRule="auto"/>
        <w:ind w:firstLine="480" w:firstLineChars="200"/>
        <w:jc w:val="both"/>
      </w:pPr>
      <w:r>
        <w:t>广泛分布于盖孜河流域与乌鲁阿特河谷地带，岩性变化有如下规律：水平方向上，即从上游至下游，地表岩性颗粒由粗变细，颗粒分选性、磨圆度由中等过渡为较好，结构松散；上游为漂卵砾石、砂卵砾石，下游过渡为亚砂土、亚粘土；垂直方向上，上部为粗颗粒的漂卵砾石，下部颗粒较细的卵砾石、砂砾石、砾石，厚约50m。按其沉积时间划分为早期冲积层（</w:t>
      </w:r>
      <w:r>
        <w:object>
          <v:shape id="_x0000_i1038" o:spt="75" type="#_x0000_t75" style="height:17.8pt;width:22.1pt;" o:ole="t" filled="f" o:preferrelative="t" stroked="f" coordsize="21600,21600">
            <v:path/>
            <v:fill on="f" focussize="0,0"/>
            <v:stroke on="f" joinstyle="miter"/>
            <v:imagedata r:id="rId51" o:title=""/>
            <o:lock v:ext="edit" aspectratio="t"/>
            <w10:wrap type="none"/>
            <w10:anchorlock/>
          </v:shape>
          <o:OLEObject Type="Embed" ProgID="Equation.3" ShapeID="_x0000_i1038" DrawAspect="Content" ObjectID="_1468075736" r:id="rId50">
            <o:LockedField>false</o:LockedField>
          </o:OLEObject>
        </w:object>
      </w:r>
      <w:r>
        <w:t>）和现代冲积层（</w:t>
      </w:r>
      <w:r>
        <w:object>
          <v:shape id="_x0000_i1039" o:spt="75" type="#_x0000_t75" style="height:17.1pt;width:22.8pt;" o:ole="t" filled="f" o:preferrelative="t" stroked="f" coordsize="21600,21600">
            <v:path/>
            <v:fill on="f" focussize="0,0"/>
            <v:stroke on="f" joinstyle="miter"/>
            <v:imagedata r:id="rId53" o:title=""/>
            <o:lock v:ext="edit" aspectratio="t"/>
            <w10:wrap type="none"/>
            <w10:anchorlock/>
          </v:shape>
          <o:OLEObject Type="Embed" ProgID="Equation.3" ShapeID="_x0000_i1039" DrawAspect="Content" ObjectID="_1468075737" r:id="rId52">
            <o:LockedField>false</o:LockedField>
          </o:OLEObject>
        </w:object>
      </w:r>
      <w:r>
        <w:t>）。</w:t>
      </w:r>
    </w:p>
    <w:p w14:paraId="2EC9DE0B">
      <w:pPr>
        <w:spacing w:line="360" w:lineRule="auto"/>
        <w:ind w:firstLine="480" w:firstLineChars="200"/>
        <w:jc w:val="both"/>
      </w:pP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rPr>
          <w:rFonts w:hint="eastAsia"/>
        </w:rPr>
        <w:t>、</w:t>
      </w:r>
      <w:r>
        <w:t>早期冲积层（</w:t>
      </w:r>
      <w:r>
        <w:object>
          <v:shape id="_x0000_i1040" o:spt="75" type="#_x0000_t75" style="height:17.8pt;width:22.1pt;" o:ole="t" filled="f" o:preferrelative="t" stroked="f" coordsize="21600,21600">
            <v:path/>
            <v:fill on="f" focussize="0,0"/>
            <v:stroke on="f" joinstyle="miter"/>
            <v:imagedata r:id="rId51" o:title=""/>
            <o:lock v:ext="edit" aspectratio="t"/>
            <w10:wrap type="none"/>
            <w10:anchorlock/>
          </v:shape>
          <o:OLEObject Type="Embed" ProgID="Equation.3" ShapeID="_x0000_i1040" DrawAspect="Content" ObjectID="_1468075738" r:id="rId54">
            <o:LockedField>false</o:LockedField>
          </o:OLEObject>
        </w:object>
      </w:r>
      <w:r>
        <w:t>）</w:t>
      </w:r>
    </w:p>
    <w:p w14:paraId="115811C2">
      <w:pPr>
        <w:spacing w:line="360" w:lineRule="auto"/>
        <w:ind w:firstLine="480" w:firstLineChars="200"/>
        <w:jc w:val="both"/>
      </w:pPr>
      <w:r>
        <w:t>广泛分布于盖孜河冲积细土平原区，由早期冲积物组成，表层均为5-20m的亚砂土、亚粘土及粉细砂层，灰白色；下部则为分选、磨圆较好、结构松散的砂砾石、砾石，中夹亚砂土、砂质亚粘土薄层，厚约1.2~3.5m。</w:t>
      </w:r>
    </w:p>
    <w:p w14:paraId="7AADF712">
      <w:pPr>
        <w:spacing w:line="360" w:lineRule="auto"/>
        <w:ind w:firstLine="480" w:firstLineChars="200"/>
        <w:jc w:val="both"/>
      </w:pPr>
      <w:r>
        <w:fldChar w:fldCharType="begin"/>
      </w:r>
      <w:r>
        <w:instrText xml:space="preserve"> </w:instrText>
      </w:r>
      <w:r>
        <w:rPr>
          <w:rFonts w:hint="eastAsia"/>
        </w:rPr>
        <w:instrText xml:space="preserve">= 2 \* ROMAN</w:instrText>
      </w:r>
      <w:r>
        <w:instrText xml:space="preserve"> </w:instrText>
      </w:r>
      <w:r>
        <w:fldChar w:fldCharType="separate"/>
      </w:r>
      <w:r>
        <w:t>II</w:t>
      </w:r>
      <w:r>
        <w:fldChar w:fldCharType="end"/>
      </w:r>
      <w:r>
        <w:rPr>
          <w:rFonts w:hint="eastAsia"/>
        </w:rPr>
        <w:t>、</w:t>
      </w:r>
      <w:r>
        <w:t>现代冲积层（</w:t>
      </w:r>
      <w:r>
        <w:object>
          <v:shape id="_x0000_i1041" o:spt="75" type="#_x0000_t75" style="height:17.1pt;width:22.8pt;" o:ole="t" filled="f" o:preferrelative="t" stroked="f" coordsize="21600,21600">
            <v:path/>
            <v:fill on="f" focussize="0,0"/>
            <v:stroke on="f" joinstyle="miter"/>
            <v:imagedata r:id="rId53" o:title=""/>
            <o:lock v:ext="edit" aspectratio="t"/>
            <w10:wrap type="none"/>
            <w10:anchorlock/>
          </v:shape>
          <o:OLEObject Type="Embed" ProgID="Equation.3" ShapeID="_x0000_i1041" DrawAspect="Content" ObjectID="_1468075739" r:id="rId55">
            <o:LockedField>false</o:LockedField>
          </o:OLEObject>
        </w:object>
      </w:r>
      <w:r>
        <w:t>）</w:t>
      </w:r>
    </w:p>
    <w:p w14:paraId="7EEC6532">
      <w:pPr>
        <w:spacing w:line="360" w:lineRule="auto"/>
        <w:ind w:firstLine="480" w:firstLineChars="200"/>
        <w:jc w:val="both"/>
      </w:pPr>
      <w:r>
        <w:t>分布于盖孜河冲积扇、库山河冲积扇和乌鲁阿特小河现代河谷中，出山口地段地表岩性以漂卵砾石为主，灰白色，结构松散，分选、磨圆较好，粒径一般6~30cm，最大粒径可达150cm，漂石约占20~30%，卵石约占40~60%，砾石约占10~40%，现代冲积层厚度小于50m；下部为胶结与半胶结的砂砾岩。往下至冲积扇缘，上部地层岩性为漂卵砾石，下部为卵砾石、砂砾石、砾石、砂等，具有较为典型的二元结构。</w:t>
      </w:r>
    </w:p>
    <w:p w14:paraId="4DF33283">
      <w:pPr>
        <w:spacing w:line="360" w:lineRule="auto"/>
        <w:ind w:firstLine="480" w:firstLineChars="200"/>
        <w:jc w:val="both"/>
      </w:pPr>
      <w:r>
        <w:fldChar w:fldCharType="begin"/>
      </w:r>
      <w:r>
        <w:instrText xml:space="preserve"> </w:instrText>
      </w:r>
      <w:r>
        <w:rPr>
          <w:rFonts w:hint="eastAsia"/>
        </w:rPr>
        <w:instrText xml:space="preserve">= 3 \* ROMAN</w:instrText>
      </w:r>
      <w:r>
        <w:instrText xml:space="preserve"> </w:instrText>
      </w:r>
      <w:r>
        <w:fldChar w:fldCharType="separate"/>
      </w:r>
      <w:r>
        <w:t>III</w:t>
      </w:r>
      <w:r>
        <w:fldChar w:fldCharType="end"/>
      </w:r>
      <w:r>
        <w:rPr>
          <w:rFonts w:hint="eastAsia"/>
        </w:rPr>
        <w:t>、</w:t>
      </w:r>
      <w:r>
        <w:t>第四系厚度</w:t>
      </w:r>
    </w:p>
    <w:p w14:paraId="05E5B578">
      <w:pPr>
        <w:spacing w:line="360" w:lineRule="auto"/>
        <w:ind w:firstLine="480" w:firstLineChars="200"/>
        <w:jc w:val="both"/>
      </w:pPr>
      <w:r>
        <w:t>受新构造运动的控制，区内第四纪地壳总体为下降趋势，南北方向上表现为中部下降幅度远大于南部与北部，东西方向上则表现为以乌帕尔隐伏断裂带为中心下降幅度小于东部与西部。受库马塔格-盖孜河大桥凹陷构造与乌帕尔乡西部隐伏断裂的控制，第四系厚度变化较大，南北向上中间第四系厚度大，东西向上以乌帕尔断裂为中心向两侧变厚。</w:t>
      </w:r>
    </w:p>
    <w:p w14:paraId="586F62F5">
      <w:pPr>
        <w:spacing w:line="360" w:lineRule="auto"/>
        <w:ind w:firstLine="480" w:firstLineChars="200"/>
        <w:jc w:val="both"/>
      </w:pPr>
      <w:r>
        <w:t>据物探电测深法和TEM法资料、结合本次钻探资料等综合分析，南北方向上，由南部与北部向中部第四系厚度逐渐变厚，在钻孔ZK3—ZK9一带厚度达450~540m；南部钻孔ZK1至ZK2（盖孜河大桥）第四系厚度60~230m，上部20~50m为松散层，下部为胶结半胶结层；中部铁日木地带第四厚度350~450 m，上部300~350 m为松散层，下部为胶结半胶结层；北部ZK7向北东至布拉克苏即皮拉勒一带，第四系厚度250~350 m，上部200~280 m为松散层，下部为胶结半胶结层；北部的314公路以北地段以及巴仁乡以南的地段第四厚度120~300 m，上部80~180m以上为松散层，下部为胶结半胶结层。</w:t>
      </w:r>
    </w:p>
    <w:p w14:paraId="44342AD8">
      <w:pPr>
        <w:spacing w:line="360" w:lineRule="auto"/>
        <w:ind w:firstLine="480" w:firstLineChars="200"/>
        <w:jc w:val="both"/>
      </w:pPr>
      <w:r>
        <w:t>东西方向上，由乌帕尔隐伏断裂带向西第四厚度变厚，乌帕尔150~250m，上部100~200m为松散层，下部为胶结半胶结层；向西南种羊场350~450m，上部250~350m为松散层，下部为胶结半胶结层。</w:t>
      </w:r>
    </w:p>
    <w:p w14:paraId="205C7225">
      <w:pPr>
        <w:spacing w:line="360" w:lineRule="auto"/>
        <w:ind w:firstLine="480" w:firstLineChars="200"/>
      </w:pPr>
    </w:p>
    <w:p w14:paraId="1593A878">
      <w:pPr>
        <w:spacing w:line="360" w:lineRule="auto"/>
        <w:rPr>
          <w:color w:val="00B0F0"/>
        </w:rPr>
      </w:pPr>
    </w:p>
    <w:p w14:paraId="5CB2D1D1">
      <w:pPr>
        <w:spacing w:line="360" w:lineRule="auto"/>
        <w:ind w:firstLine="1680" w:firstLineChars="700"/>
        <w:rPr>
          <w:rFonts w:eastAsia="黑体"/>
        </w:rPr>
      </w:pPr>
      <w:r>
        <w:rPr>
          <w:rFonts w:hint="eastAsia" w:eastAsia="黑体"/>
        </w:rPr>
        <w:t>图</w:t>
      </w:r>
      <w:r>
        <w:rPr>
          <w:rFonts w:eastAsia="黑体"/>
        </w:rPr>
        <w:t xml:space="preserve">4.1-11    </w:t>
      </w:r>
      <w:r>
        <w:rPr>
          <w:rFonts w:hint="eastAsia" w:eastAsia="黑体"/>
        </w:rPr>
        <w:t xml:space="preserve"> 区域第四系等厚度图</w:t>
      </w:r>
    </w:p>
    <w:p w14:paraId="5328310A">
      <w:pPr>
        <w:spacing w:line="360" w:lineRule="auto"/>
        <w:ind w:firstLine="480" w:firstLineChars="200"/>
        <w:jc w:val="both"/>
      </w:pPr>
      <w:r>
        <w:rPr>
          <w:rFonts w:hint="eastAsia"/>
        </w:rPr>
        <w:t>2、构造</w:t>
      </w:r>
    </w:p>
    <w:p w14:paraId="47EE3EF9">
      <w:pPr>
        <w:spacing w:line="360" w:lineRule="auto"/>
        <w:ind w:firstLine="480" w:firstLineChars="200"/>
        <w:jc w:val="both"/>
      </w:pPr>
      <w:r>
        <w:rPr>
          <w:rFonts w:hint="eastAsia"/>
        </w:rPr>
        <w:t>项目区</w:t>
      </w:r>
      <w:r>
        <w:t>位于塔里木盆地西缘（喀什噶尔平原西部），大地构造上属于南天山及西昆仑两大褶皱带中的坳陷地带。根据前人资料与本次地面调查、地面物探、结合钻探成果分析，由于受燕山运动及喜马拉雅运动的影响，区内构造与新构造发育强烈、复杂，特别是新构造运动，它作用广泛，形迹明显，控制了工作区内第四纪的发育和分布以及区域地貌的演变，从而对本区地下水的形成、分布及赋存产生重大影响。</w:t>
      </w:r>
    </w:p>
    <w:p w14:paraId="19F2B758">
      <w:pPr>
        <w:spacing w:line="360" w:lineRule="auto"/>
        <w:ind w:firstLine="480" w:firstLineChars="200"/>
      </w:pPr>
    </w:p>
    <w:p w14:paraId="0F705921">
      <w:pPr>
        <w:spacing w:line="360" w:lineRule="auto"/>
        <w:ind w:firstLine="1680" w:firstLineChars="700"/>
        <w:rPr>
          <w:rFonts w:eastAsia="黑体"/>
        </w:rPr>
      </w:pPr>
      <w:r>
        <w:rPr>
          <w:rFonts w:hint="eastAsia" w:eastAsia="黑体"/>
        </w:rPr>
        <w:t>图</w:t>
      </w:r>
      <w:r>
        <w:rPr>
          <w:rFonts w:eastAsia="黑体"/>
        </w:rPr>
        <w:t>4.1-12</w:t>
      </w:r>
      <w:r>
        <w:rPr>
          <w:rFonts w:hint="eastAsia" w:eastAsia="黑体"/>
        </w:rPr>
        <w:t xml:space="preserve"> </w:t>
      </w:r>
      <w:r>
        <w:rPr>
          <w:rFonts w:eastAsia="黑体"/>
        </w:rPr>
        <w:t xml:space="preserve">  </w:t>
      </w:r>
      <w:r>
        <w:rPr>
          <w:rFonts w:hint="eastAsia" w:eastAsia="黑体"/>
        </w:rPr>
        <w:t>区域地质剖面图</w:t>
      </w:r>
    </w:p>
    <w:p w14:paraId="6417F644">
      <w:pPr>
        <w:pStyle w:val="3"/>
        <w:adjustRightInd w:val="0"/>
        <w:snapToGrid w:val="0"/>
        <w:spacing w:before="156" w:after="156" w:line="240" w:lineRule="auto"/>
        <w:rPr>
          <w:rFonts w:ascii="Times New Roman" w:hAnsi="Times New Roman" w:cs="Times New Roman"/>
        </w:rPr>
      </w:pPr>
      <w:bookmarkStart w:id="433" w:name="_Toc187675421"/>
      <w:bookmarkStart w:id="434" w:name="_Toc98414221"/>
      <w:bookmarkStart w:id="435" w:name="_Toc57826746"/>
      <w:bookmarkStart w:id="436" w:name="_Toc34989585"/>
      <w:bookmarkStart w:id="437" w:name="_Toc98413539"/>
      <w:bookmarkStart w:id="438" w:name="_Toc97464644"/>
      <w:bookmarkStart w:id="439" w:name="_Toc4507855"/>
      <w:bookmarkStart w:id="440" w:name="_Toc98413535"/>
      <w:bookmarkStart w:id="441" w:name="_Toc381606011"/>
      <w:bookmarkStart w:id="442" w:name="_Toc316561650"/>
      <w:bookmarkStart w:id="443" w:name="_Toc238954118"/>
      <w:bookmarkStart w:id="444" w:name="_Toc316511059"/>
      <w:r>
        <w:rPr>
          <w:rFonts w:ascii="Times New Roman" w:hAnsi="Times New Roman" w:cs="Times New Roman"/>
        </w:rPr>
        <w:t>4.2生态环境调查及评价</w:t>
      </w:r>
      <w:bookmarkEnd w:id="433"/>
      <w:bookmarkEnd w:id="434"/>
      <w:bookmarkEnd w:id="435"/>
      <w:bookmarkEnd w:id="436"/>
      <w:bookmarkEnd w:id="437"/>
      <w:bookmarkEnd w:id="438"/>
    </w:p>
    <w:p w14:paraId="064F8026">
      <w:pPr>
        <w:pStyle w:val="4"/>
        <w:adjustRightInd w:val="0"/>
        <w:snapToGrid w:val="0"/>
        <w:spacing w:before="156" w:after="156" w:line="240" w:lineRule="auto"/>
        <w:rPr>
          <w:rFonts w:ascii="Times New Roman" w:hAnsi="Times New Roman" w:cs="Times New Roman"/>
          <w:sz w:val="30"/>
          <w:szCs w:val="30"/>
        </w:rPr>
      </w:pPr>
      <w:r>
        <w:rPr>
          <w:rFonts w:ascii="Times New Roman" w:hAnsi="Times New Roman" w:cs="Times New Roman"/>
          <w:sz w:val="30"/>
          <w:szCs w:val="30"/>
        </w:rPr>
        <w:t>4.2.1</w:t>
      </w:r>
      <w:r>
        <w:rPr>
          <w:rFonts w:hint="eastAsia" w:ascii="Times New Roman" w:hAnsi="Times New Roman" w:cs="Times New Roman"/>
          <w:sz w:val="30"/>
          <w:szCs w:val="30"/>
        </w:rPr>
        <w:t>陆生生态环境现状调查与评价</w:t>
      </w:r>
    </w:p>
    <w:p w14:paraId="32F3E56E">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4.2.1.1调查</w:t>
      </w:r>
      <w:r>
        <w:rPr>
          <w:rFonts w:hint="eastAsia" w:ascii="Times New Roman" w:hAnsi="Times New Roman" w:cs="Times New Roman"/>
          <w:i w:val="0"/>
        </w:rPr>
        <w:t>概况</w:t>
      </w:r>
    </w:p>
    <w:p w14:paraId="51B58C92">
      <w:pPr>
        <w:spacing w:line="360" w:lineRule="auto"/>
        <w:ind w:firstLine="480" w:firstLineChars="200"/>
        <w:jc w:val="both"/>
      </w:pPr>
      <w:r>
        <w:rPr>
          <w:rFonts w:hint="eastAsia"/>
        </w:rPr>
        <w:t>①</w:t>
      </w:r>
      <w:r>
        <w:t>植物调查概况</w:t>
      </w:r>
    </w:p>
    <w:p w14:paraId="3CDE8E30">
      <w:pPr>
        <w:spacing w:line="360" w:lineRule="auto"/>
        <w:ind w:firstLine="480" w:firstLineChars="200"/>
        <w:jc w:val="both"/>
      </w:pPr>
      <w:r>
        <w:t>植物调查是以野外现场勘察为基础，于天然植被生长旺季，对地表植被物种组成、分布及群落特征进行调查与监测，在选定的样地内调查植被类型及其分布。在流域规划工程布置区，敏感生态保护目标内设置野外观测断面，每个监测断面以“Z”型设置1～2条样带，样带长度按天然植被的实际分布宽幅界定，并考虑植被类型的代表性，在样带内选取不同干扰典型区设置乔木、灌木、草类的样方，对样方内的植被类型，植被属性进行调查和分类整理，同时采集观测样方的地理坐标和高程信息。布设天然植被调查样方的方法和</w:t>
      </w:r>
      <w:r>
        <w:rPr>
          <w:rFonts w:hint="eastAsia"/>
        </w:rPr>
        <w:t>记录</w:t>
      </w:r>
      <w:r>
        <w:t>内容如下所述：</w:t>
      </w:r>
    </w:p>
    <w:p w14:paraId="4101966A">
      <w:pPr>
        <w:spacing w:line="360" w:lineRule="auto"/>
        <w:ind w:firstLine="480" w:firstLineChars="200"/>
        <w:jc w:val="both"/>
      </w:pPr>
      <w:r>
        <w:t>A.乔木（</w:t>
      </w:r>
      <w:r>
        <w:rPr>
          <w:rFonts w:hint="eastAsia"/>
        </w:rPr>
        <w:t>园地和林地</w:t>
      </w:r>
      <w:r>
        <w:t>）：依据样点的地形，布设50m×50m的样方若干，统计样方内的乔木种类、株数，测量胸径、冠幅、株高，测定覆盖度。同时</w:t>
      </w:r>
      <w:r>
        <w:rPr>
          <w:rFonts w:hint="eastAsia"/>
        </w:rPr>
        <w:t>记录</w:t>
      </w:r>
      <w:r>
        <w:t>GPS坐标，拍摄样方照片、环境照片。</w:t>
      </w:r>
    </w:p>
    <w:p w14:paraId="74F42537">
      <w:pPr>
        <w:spacing w:line="360" w:lineRule="auto"/>
        <w:ind w:firstLine="480" w:firstLineChars="200"/>
        <w:jc w:val="both"/>
      </w:pPr>
      <w:r>
        <w:t>B.灌木（低矮灌丛）：依据样点的地形布设，25m×25m的样方若干，统计样方内的灌木种类、株数，测量冠幅、株高，测定覆盖度。同时</w:t>
      </w:r>
      <w:r>
        <w:rPr>
          <w:rFonts w:hint="eastAsia"/>
        </w:rPr>
        <w:t>记录</w:t>
      </w:r>
      <w:r>
        <w:t>GPS坐标，拍摄样方照片、环境照片。</w:t>
      </w:r>
    </w:p>
    <w:p w14:paraId="55449E79">
      <w:pPr>
        <w:spacing w:line="360" w:lineRule="auto"/>
        <w:ind w:firstLine="480" w:firstLineChars="200"/>
        <w:jc w:val="both"/>
      </w:pPr>
      <w:r>
        <w:t>C.草类（河道周围）：布设若干1m×1m或5m×5m的样方，统计样方内的草本种类、数量，观测长势，估测覆盖度，测定地上生物量，并在室内风干称干草重量。同时</w:t>
      </w:r>
      <w:r>
        <w:rPr>
          <w:rFonts w:hint="eastAsia"/>
        </w:rPr>
        <w:t>记录</w:t>
      </w:r>
      <w:r>
        <w:t>GPS坐标，拍摄样方、环境照片。</w:t>
      </w:r>
    </w:p>
    <w:p w14:paraId="44806C96">
      <w:pPr>
        <w:spacing w:line="360" w:lineRule="auto"/>
        <w:ind w:firstLine="480" w:firstLineChars="200"/>
        <w:jc w:val="both"/>
      </w:pPr>
      <w:r>
        <w:t>根据</w:t>
      </w:r>
      <w:r>
        <w:rPr>
          <w:rFonts w:hint="eastAsia"/>
        </w:rPr>
        <w:t>样方记录结合</w:t>
      </w:r>
      <w:r>
        <w:t>以往有关研究等资料进行分析，由此对调查区植被及植物资源状况获得初步认识。</w:t>
      </w:r>
    </w:p>
    <w:p w14:paraId="0DD28E29">
      <w:pPr>
        <w:spacing w:line="360" w:lineRule="auto"/>
        <w:ind w:firstLine="480" w:firstLineChars="200"/>
        <w:jc w:val="both"/>
      </w:pPr>
      <w:r>
        <w:rPr>
          <w:rFonts w:hint="eastAsia"/>
        </w:rPr>
        <w:t>②</w:t>
      </w:r>
      <w:r>
        <w:t>动物调查概况</w:t>
      </w:r>
    </w:p>
    <w:p w14:paraId="61A4824D">
      <w:pPr>
        <w:spacing w:line="360" w:lineRule="auto"/>
        <w:ind w:firstLine="480" w:firstLineChars="200"/>
        <w:jc w:val="both"/>
      </w:pPr>
      <w:r>
        <w:t>依据原林业部《全国陆生野生动物资源调查与监测技术规程(修订版)》的有关规定，主要采用样带法进行野生动物大型兽类种群数量与分布调查。主要依据地形地貌布设调查线路，样线长度依据调查区域实际情况而定，可视宽度限定在调查路线两侧约1000m的条带内，样带尽可能覆盖全部调查区域以提高调查精确度。调查时沿设置的样线，驾驶越野车，车速控制在&lt;30km/h。用8×12双筒望远镜和20×60倍单筒望远镜观察并记录样带内大型兽类及其活动痕迹以及距离调查线路的中线距离。采用样线调查法调查鸟类。样线单侧宽度设定为50m。样线调查时由2人合作进行，1人负责观察报告、1人负责记录。记录调查中遇到的鸟类的种类、数量以及生境等信息。另外针对调查区还通过内业查阅了大量的资料和文献，初步获得了调查区野生动物的分布信息。</w:t>
      </w:r>
    </w:p>
    <w:p w14:paraId="7F27A1C8">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4.2.1.2生态功能区划</w:t>
      </w:r>
    </w:p>
    <w:p w14:paraId="2E765F62">
      <w:pPr>
        <w:spacing w:line="360" w:lineRule="auto"/>
        <w:ind w:firstLine="480" w:firstLineChars="200"/>
        <w:jc w:val="both"/>
        <w:rPr>
          <w:lang w:val="zh-CN"/>
        </w:rPr>
      </w:pPr>
      <w:r>
        <w:rPr>
          <w:lang w:val="zh-CN"/>
        </w:rPr>
        <w:t>根据《新疆生态功能区划》，</w:t>
      </w:r>
      <w:r>
        <w:rPr>
          <w:rFonts w:hint="eastAsia"/>
          <w:lang w:val="zh-CN"/>
        </w:rPr>
        <w:t>项目区</w:t>
      </w:r>
      <w:r>
        <w:rPr>
          <w:lang w:val="zh-CN"/>
        </w:rPr>
        <w:t>属于</w:t>
      </w:r>
      <w:r>
        <w:rPr>
          <w:bCs/>
        </w:rPr>
        <w:t>Ⅳ 塔里木盆地暖温荒漠及绿洲农业生态区</w:t>
      </w:r>
      <w:r>
        <w:rPr>
          <w:lang w:val="zh-CN"/>
        </w:rPr>
        <w:t>-</w:t>
      </w:r>
      <w:r>
        <w:rPr>
          <w:bCs/>
        </w:rPr>
        <w:t>Ⅳ</w:t>
      </w:r>
      <w:r>
        <w:rPr>
          <w:bCs/>
          <w:vertAlign w:val="subscript"/>
        </w:rPr>
        <w:t>1</w:t>
      </w:r>
      <w:r>
        <w:rPr>
          <w:bCs/>
        </w:rPr>
        <w:t xml:space="preserve"> 塔里木盆地西部、北部荒漠及绿洲农业生态亚区</w:t>
      </w:r>
      <w:r>
        <w:rPr>
          <w:lang w:val="zh-CN"/>
        </w:rPr>
        <w:t>-</w:t>
      </w:r>
      <w:r>
        <w:t>5</w:t>
      </w:r>
      <w:r>
        <w:rPr>
          <w:rFonts w:hint="eastAsia"/>
        </w:rPr>
        <w:t>7．喀什三角洲绿洲农业盐渍化敏感生态功能区</w:t>
      </w:r>
      <w:r>
        <w:rPr>
          <w:rFonts w:hint="eastAsia"/>
          <w:lang w:val="zh-CN"/>
        </w:rPr>
        <w:t>，</w:t>
      </w:r>
      <w:r>
        <w:t>区域</w:t>
      </w:r>
      <w:r>
        <w:rPr>
          <w:lang w:val="zh-CN"/>
        </w:rPr>
        <w:t>主要生态服务功能为</w:t>
      </w:r>
      <w:r>
        <w:rPr>
          <w:rFonts w:hint="eastAsia"/>
          <w:lang w:val="zh-CN"/>
        </w:rPr>
        <w:t>农畜产品生产、荒漠化控制、旅游</w:t>
      </w:r>
      <w:r>
        <w:rPr>
          <w:lang w:val="zh-CN"/>
        </w:rPr>
        <w:t>；</w:t>
      </w:r>
      <w:r>
        <w:t>区域</w:t>
      </w:r>
      <w:r>
        <w:rPr>
          <w:lang w:val="zh-CN"/>
        </w:rPr>
        <w:t>主要生态环境问题是</w:t>
      </w:r>
      <w:r>
        <w:rPr>
          <w:rFonts w:hint="eastAsia"/>
          <w:lang w:val="zh-CN"/>
        </w:rPr>
        <w:t>土壤盐渍化、三角洲下部天然水质差、城市污水处理滞后、浮尘天气多、土壤质量下降</w:t>
      </w:r>
      <w:r>
        <w:rPr>
          <w:lang w:val="zh-CN"/>
        </w:rPr>
        <w:t>等；</w:t>
      </w:r>
      <w:r>
        <w:t>区域</w:t>
      </w:r>
      <w:r>
        <w:rPr>
          <w:lang w:val="zh-CN"/>
        </w:rPr>
        <w:t>主要环境保护目标为</w:t>
      </w:r>
      <w:r>
        <w:rPr>
          <w:rFonts w:hint="eastAsia"/>
          <w:lang w:val="zh-CN"/>
        </w:rPr>
        <w:t>保护人群身体健康、保护水资源、保护农田、保护荒漠植被、保护文物古迹与民俗风情</w:t>
      </w:r>
      <w:r>
        <w:rPr>
          <w:lang w:val="zh-CN"/>
        </w:rPr>
        <w:t>等；</w:t>
      </w:r>
      <w:r>
        <w:t>区域</w:t>
      </w:r>
      <w:r>
        <w:rPr>
          <w:lang w:val="zh-CN"/>
        </w:rPr>
        <w:t>主要生态环境保护措施为</w:t>
      </w:r>
      <w:r>
        <w:rPr>
          <w:rFonts w:hint="eastAsia"/>
          <w:lang w:val="zh-CN"/>
        </w:rPr>
        <w:t>改善人畜饮用水质、防治地方病、引洪放淤扩大植被覆盖、建设城镇污水处理系统、加强农田投入品的使用管理</w:t>
      </w:r>
      <w:r>
        <w:rPr>
          <w:lang w:val="zh-CN"/>
        </w:rPr>
        <w:t>。</w:t>
      </w:r>
    </w:p>
    <w:p w14:paraId="0E35F178">
      <w:pPr>
        <w:spacing w:line="360" w:lineRule="auto"/>
        <w:ind w:firstLine="480" w:firstLineChars="200"/>
        <w:jc w:val="both"/>
      </w:pPr>
      <w:r>
        <w:rPr>
          <w:rFonts w:hint="eastAsia"/>
        </w:rPr>
        <w:t>新疆</w:t>
      </w:r>
      <w:r>
        <w:t>生态功能区的主要生态服务功能、生态敏感因子、主要生态环境问题和主要保护目标见</w:t>
      </w:r>
      <w:r>
        <w:rPr>
          <w:rFonts w:hint="eastAsia"/>
        </w:rPr>
        <w:t>表</w:t>
      </w:r>
      <w:r>
        <w:t>4.2-1</w:t>
      </w:r>
      <w:r>
        <w:rPr>
          <w:rFonts w:hint="eastAsia"/>
        </w:rPr>
        <w:t>。</w:t>
      </w:r>
    </w:p>
    <w:p w14:paraId="467D4B48">
      <w:pPr>
        <w:tabs>
          <w:tab w:val="left" w:pos="905"/>
        </w:tabs>
        <w:jc w:val="center"/>
        <w:rPr>
          <w:rFonts w:ascii="黑体" w:hAnsi="黑体" w:eastAsia="黑体"/>
        </w:rPr>
      </w:pPr>
      <w:r>
        <w:rPr>
          <w:rFonts w:ascii="黑体" w:hAnsi="黑体" w:eastAsia="黑体"/>
        </w:rPr>
        <w:t xml:space="preserve">表4.2-1    </w:t>
      </w:r>
      <w:r>
        <w:rPr>
          <w:rFonts w:hint="eastAsia" w:ascii="黑体" w:hAnsi="黑体" w:eastAsia="黑体"/>
        </w:rPr>
        <w:t>新疆</w:t>
      </w:r>
      <w:r>
        <w:rPr>
          <w:rFonts w:ascii="黑体" w:hAnsi="黑体" w:eastAsia="黑体"/>
        </w:rPr>
        <w:t>生态功能区主要特征</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6434"/>
      </w:tblGrid>
      <w:tr w14:paraId="05E711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exact"/>
        </w:trPr>
        <w:tc>
          <w:tcPr>
            <w:tcW w:w="1228" w:type="pct"/>
            <w:vAlign w:val="center"/>
          </w:tcPr>
          <w:p w14:paraId="4FBDD5F5">
            <w:pPr>
              <w:pStyle w:val="340"/>
              <w:overflowPunct w:val="0"/>
              <w:topLinePunct/>
              <w:autoSpaceDN w:val="0"/>
              <w:adjustRightInd w:val="0"/>
              <w:snapToGrid w:val="0"/>
              <w:rPr>
                <w:sz w:val="21"/>
                <w:szCs w:val="18"/>
              </w:rPr>
            </w:pPr>
            <w:r>
              <w:rPr>
                <w:sz w:val="21"/>
                <w:szCs w:val="18"/>
              </w:rPr>
              <w:t>生态区</w:t>
            </w:r>
          </w:p>
        </w:tc>
        <w:tc>
          <w:tcPr>
            <w:tcW w:w="3772" w:type="pct"/>
            <w:vAlign w:val="center"/>
          </w:tcPr>
          <w:p w14:paraId="40C5F8D0">
            <w:pPr>
              <w:pStyle w:val="340"/>
              <w:overflowPunct w:val="0"/>
              <w:topLinePunct/>
              <w:autoSpaceDN w:val="0"/>
              <w:adjustRightInd w:val="0"/>
              <w:snapToGrid w:val="0"/>
              <w:rPr>
                <w:sz w:val="21"/>
                <w:szCs w:val="18"/>
              </w:rPr>
            </w:pPr>
            <w:r>
              <w:rPr>
                <w:rFonts w:hint="eastAsia"/>
                <w:sz w:val="21"/>
                <w:szCs w:val="18"/>
              </w:rPr>
              <w:t>塔里木盆地暖温荒漠及绿洲农业生态区</w:t>
            </w:r>
          </w:p>
        </w:tc>
      </w:tr>
      <w:tr w14:paraId="75AAE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228" w:type="pct"/>
            <w:vAlign w:val="center"/>
          </w:tcPr>
          <w:p w14:paraId="0C885F4D">
            <w:pPr>
              <w:pStyle w:val="340"/>
              <w:overflowPunct w:val="0"/>
              <w:topLinePunct/>
              <w:autoSpaceDN w:val="0"/>
              <w:adjustRightInd w:val="0"/>
              <w:snapToGrid w:val="0"/>
              <w:rPr>
                <w:sz w:val="21"/>
                <w:szCs w:val="18"/>
              </w:rPr>
            </w:pPr>
            <w:r>
              <w:rPr>
                <w:rFonts w:hint="eastAsia"/>
                <w:sz w:val="21"/>
                <w:szCs w:val="18"/>
              </w:rPr>
              <w:t>生态亚区</w:t>
            </w:r>
          </w:p>
        </w:tc>
        <w:tc>
          <w:tcPr>
            <w:tcW w:w="3772" w:type="pct"/>
            <w:vAlign w:val="center"/>
          </w:tcPr>
          <w:p w14:paraId="66BCD7AD">
            <w:pPr>
              <w:pStyle w:val="340"/>
              <w:overflowPunct w:val="0"/>
              <w:topLinePunct/>
              <w:autoSpaceDN w:val="0"/>
              <w:adjustRightInd w:val="0"/>
              <w:snapToGrid w:val="0"/>
              <w:rPr>
                <w:sz w:val="21"/>
                <w:szCs w:val="18"/>
              </w:rPr>
            </w:pPr>
            <w:r>
              <w:rPr>
                <w:rFonts w:hint="eastAsia"/>
                <w:sz w:val="21"/>
                <w:szCs w:val="18"/>
              </w:rPr>
              <w:t>塔里木盆地西部、北部荒漠及绿洲农业生态亚区</w:t>
            </w:r>
          </w:p>
        </w:tc>
      </w:tr>
      <w:tr w14:paraId="08835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228" w:type="pct"/>
            <w:vAlign w:val="center"/>
          </w:tcPr>
          <w:p w14:paraId="382DC846">
            <w:pPr>
              <w:pStyle w:val="340"/>
              <w:overflowPunct w:val="0"/>
              <w:topLinePunct/>
              <w:autoSpaceDN w:val="0"/>
              <w:adjustRightInd w:val="0"/>
              <w:snapToGrid w:val="0"/>
              <w:rPr>
                <w:sz w:val="21"/>
                <w:szCs w:val="18"/>
              </w:rPr>
            </w:pPr>
            <w:r>
              <w:rPr>
                <w:sz w:val="21"/>
                <w:szCs w:val="18"/>
              </w:rPr>
              <w:t>生态功能</w:t>
            </w:r>
            <w:r>
              <w:rPr>
                <w:rFonts w:hint="eastAsia"/>
                <w:sz w:val="21"/>
                <w:szCs w:val="18"/>
              </w:rPr>
              <w:t>区</w:t>
            </w:r>
          </w:p>
        </w:tc>
        <w:tc>
          <w:tcPr>
            <w:tcW w:w="3772" w:type="pct"/>
            <w:vAlign w:val="center"/>
          </w:tcPr>
          <w:p w14:paraId="4F68F4C7">
            <w:pPr>
              <w:pStyle w:val="340"/>
              <w:overflowPunct w:val="0"/>
              <w:topLinePunct/>
              <w:autoSpaceDN w:val="0"/>
              <w:adjustRightInd w:val="0"/>
              <w:snapToGrid w:val="0"/>
              <w:rPr>
                <w:sz w:val="21"/>
                <w:szCs w:val="18"/>
              </w:rPr>
            </w:pPr>
            <w:r>
              <w:rPr>
                <w:rFonts w:hint="eastAsia"/>
                <w:sz w:val="21"/>
                <w:szCs w:val="18"/>
              </w:rPr>
              <w:t>喀什三角洲绿洲农业盐渍化敏感生态功能区</w:t>
            </w:r>
          </w:p>
        </w:tc>
      </w:tr>
      <w:tr w14:paraId="16EBB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228" w:type="pct"/>
            <w:vAlign w:val="center"/>
          </w:tcPr>
          <w:p w14:paraId="32B4025C">
            <w:pPr>
              <w:pStyle w:val="340"/>
              <w:overflowPunct w:val="0"/>
              <w:topLinePunct/>
              <w:autoSpaceDN w:val="0"/>
              <w:adjustRightInd w:val="0"/>
              <w:snapToGrid w:val="0"/>
              <w:rPr>
                <w:sz w:val="21"/>
                <w:szCs w:val="18"/>
              </w:rPr>
            </w:pPr>
            <w:r>
              <w:rPr>
                <w:sz w:val="21"/>
                <w:szCs w:val="18"/>
              </w:rPr>
              <w:t>主要生态服务功能</w:t>
            </w:r>
          </w:p>
        </w:tc>
        <w:tc>
          <w:tcPr>
            <w:tcW w:w="3772" w:type="pct"/>
            <w:vAlign w:val="center"/>
          </w:tcPr>
          <w:p w14:paraId="3ECB4390">
            <w:pPr>
              <w:pStyle w:val="340"/>
              <w:overflowPunct w:val="0"/>
              <w:topLinePunct/>
              <w:autoSpaceDN w:val="0"/>
              <w:adjustRightInd w:val="0"/>
              <w:snapToGrid w:val="0"/>
              <w:rPr>
                <w:sz w:val="21"/>
                <w:szCs w:val="18"/>
              </w:rPr>
            </w:pPr>
            <w:r>
              <w:rPr>
                <w:rFonts w:hint="eastAsia"/>
                <w:sz w:val="21"/>
                <w:szCs w:val="18"/>
              </w:rPr>
              <w:t>农畜产品生产、荒漠化控制、旅游</w:t>
            </w:r>
          </w:p>
        </w:tc>
      </w:tr>
      <w:tr w14:paraId="6740D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228" w:type="pct"/>
            <w:vAlign w:val="center"/>
          </w:tcPr>
          <w:p w14:paraId="6B005CFB">
            <w:pPr>
              <w:pStyle w:val="340"/>
              <w:overflowPunct w:val="0"/>
              <w:topLinePunct/>
              <w:autoSpaceDN w:val="0"/>
              <w:adjustRightInd w:val="0"/>
              <w:snapToGrid w:val="0"/>
              <w:rPr>
                <w:sz w:val="21"/>
                <w:szCs w:val="18"/>
              </w:rPr>
            </w:pPr>
            <w:r>
              <w:rPr>
                <w:sz w:val="21"/>
                <w:szCs w:val="18"/>
              </w:rPr>
              <w:t>主要生态</w:t>
            </w:r>
            <w:r>
              <w:rPr>
                <w:rFonts w:hint="eastAsia"/>
                <w:sz w:val="21"/>
                <w:szCs w:val="18"/>
              </w:rPr>
              <w:t>环境</w:t>
            </w:r>
            <w:r>
              <w:rPr>
                <w:sz w:val="21"/>
                <w:szCs w:val="18"/>
              </w:rPr>
              <w:t>问题</w:t>
            </w:r>
          </w:p>
        </w:tc>
        <w:tc>
          <w:tcPr>
            <w:tcW w:w="3772" w:type="pct"/>
            <w:vAlign w:val="center"/>
          </w:tcPr>
          <w:p w14:paraId="07FBF05D">
            <w:pPr>
              <w:pStyle w:val="340"/>
              <w:overflowPunct w:val="0"/>
              <w:topLinePunct/>
              <w:autoSpaceDN w:val="0"/>
              <w:adjustRightInd w:val="0"/>
              <w:snapToGrid w:val="0"/>
              <w:rPr>
                <w:sz w:val="21"/>
                <w:szCs w:val="18"/>
              </w:rPr>
            </w:pPr>
            <w:r>
              <w:rPr>
                <w:rFonts w:hint="eastAsia"/>
                <w:sz w:val="21"/>
                <w:szCs w:val="18"/>
              </w:rPr>
              <w:t>土壤盐渍化、三角洲下部天然水质差、城市污水处理滞后、浮尘天气多、土壤质量下降</w:t>
            </w:r>
          </w:p>
        </w:tc>
      </w:tr>
      <w:tr w14:paraId="10322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228" w:type="pct"/>
            <w:vAlign w:val="center"/>
          </w:tcPr>
          <w:p w14:paraId="3DA7BAFE">
            <w:pPr>
              <w:pStyle w:val="340"/>
              <w:overflowPunct w:val="0"/>
              <w:topLinePunct/>
              <w:autoSpaceDN w:val="0"/>
              <w:adjustRightInd w:val="0"/>
              <w:snapToGrid w:val="0"/>
              <w:rPr>
                <w:sz w:val="21"/>
                <w:szCs w:val="18"/>
              </w:rPr>
            </w:pPr>
            <w:r>
              <w:rPr>
                <w:sz w:val="21"/>
                <w:szCs w:val="18"/>
              </w:rPr>
              <w:t>主要生态敏感因子、敏感程度</w:t>
            </w:r>
          </w:p>
        </w:tc>
        <w:tc>
          <w:tcPr>
            <w:tcW w:w="3772" w:type="pct"/>
            <w:vAlign w:val="center"/>
          </w:tcPr>
          <w:p w14:paraId="66BD88B3">
            <w:pPr>
              <w:pStyle w:val="340"/>
              <w:overflowPunct w:val="0"/>
              <w:topLinePunct/>
              <w:autoSpaceDN w:val="0"/>
              <w:adjustRightInd w:val="0"/>
              <w:snapToGrid w:val="0"/>
              <w:rPr>
                <w:sz w:val="21"/>
                <w:szCs w:val="18"/>
              </w:rPr>
            </w:pPr>
            <w:r>
              <w:rPr>
                <w:rFonts w:hint="eastAsia"/>
                <w:sz w:val="21"/>
                <w:szCs w:val="18"/>
              </w:rPr>
              <w:t>生物多样性及其生境中度敏感，土地沙漠化、土壤盐渍化高度敏感</w:t>
            </w:r>
          </w:p>
        </w:tc>
      </w:tr>
      <w:tr w14:paraId="61A3A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228" w:type="pct"/>
            <w:vAlign w:val="center"/>
          </w:tcPr>
          <w:p w14:paraId="6E14E646">
            <w:pPr>
              <w:pStyle w:val="340"/>
              <w:overflowPunct w:val="0"/>
              <w:topLinePunct/>
              <w:autoSpaceDN w:val="0"/>
              <w:adjustRightInd w:val="0"/>
              <w:snapToGrid w:val="0"/>
              <w:rPr>
                <w:sz w:val="21"/>
                <w:szCs w:val="18"/>
              </w:rPr>
            </w:pPr>
            <w:r>
              <w:rPr>
                <w:sz w:val="21"/>
                <w:szCs w:val="18"/>
              </w:rPr>
              <w:t>主要保护目标</w:t>
            </w:r>
          </w:p>
        </w:tc>
        <w:tc>
          <w:tcPr>
            <w:tcW w:w="3772" w:type="pct"/>
            <w:vAlign w:val="center"/>
          </w:tcPr>
          <w:p w14:paraId="32D2F23C">
            <w:pPr>
              <w:pStyle w:val="340"/>
              <w:overflowPunct w:val="0"/>
              <w:topLinePunct/>
              <w:autoSpaceDN w:val="0"/>
              <w:adjustRightInd w:val="0"/>
              <w:snapToGrid w:val="0"/>
              <w:rPr>
                <w:sz w:val="21"/>
                <w:szCs w:val="18"/>
              </w:rPr>
            </w:pPr>
            <w:r>
              <w:rPr>
                <w:rFonts w:hint="eastAsia"/>
                <w:sz w:val="21"/>
                <w:szCs w:val="18"/>
              </w:rPr>
              <w:t>保护人群身体健康、保护水资源、保护农田、保护荒漠植被、保护文物古迹与民俗风情</w:t>
            </w:r>
          </w:p>
        </w:tc>
      </w:tr>
      <w:tr w14:paraId="3691C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228" w:type="pct"/>
            <w:vAlign w:val="center"/>
          </w:tcPr>
          <w:p w14:paraId="5DBF1022">
            <w:pPr>
              <w:pStyle w:val="340"/>
              <w:overflowPunct w:val="0"/>
              <w:topLinePunct/>
              <w:autoSpaceDN w:val="0"/>
              <w:adjustRightInd w:val="0"/>
              <w:snapToGrid w:val="0"/>
              <w:rPr>
                <w:sz w:val="21"/>
                <w:szCs w:val="18"/>
              </w:rPr>
            </w:pPr>
            <w:r>
              <w:rPr>
                <w:sz w:val="21"/>
                <w:szCs w:val="18"/>
              </w:rPr>
              <w:t>主要保护</w:t>
            </w:r>
            <w:r>
              <w:rPr>
                <w:rFonts w:hint="eastAsia"/>
                <w:sz w:val="21"/>
                <w:szCs w:val="18"/>
              </w:rPr>
              <w:t>措施</w:t>
            </w:r>
          </w:p>
        </w:tc>
        <w:tc>
          <w:tcPr>
            <w:tcW w:w="3772" w:type="pct"/>
            <w:vAlign w:val="center"/>
          </w:tcPr>
          <w:p w14:paraId="05DAD108">
            <w:pPr>
              <w:pStyle w:val="340"/>
              <w:overflowPunct w:val="0"/>
              <w:topLinePunct/>
              <w:autoSpaceDN w:val="0"/>
              <w:adjustRightInd w:val="0"/>
              <w:snapToGrid w:val="0"/>
              <w:rPr>
                <w:sz w:val="21"/>
                <w:szCs w:val="18"/>
              </w:rPr>
            </w:pPr>
            <w:r>
              <w:rPr>
                <w:rFonts w:hint="eastAsia"/>
                <w:sz w:val="21"/>
                <w:szCs w:val="18"/>
              </w:rPr>
              <w:t>改善人畜饮用水质、防治地方病、引洪放淤扩大植被覆盖、建设城镇污水处理系统、加强农田投入品的使用管理</w:t>
            </w:r>
          </w:p>
        </w:tc>
      </w:tr>
    </w:tbl>
    <w:p w14:paraId="11FA18B3">
      <w:pPr>
        <w:spacing w:line="360" w:lineRule="auto"/>
        <w:ind w:firstLine="480" w:firstLineChars="200"/>
      </w:pPr>
      <w:r>
        <w:t>根据《新疆生产建设兵团生态功能区划》，</w:t>
      </w:r>
      <w:r>
        <w:rPr>
          <w:rFonts w:hint="eastAsia"/>
        </w:rPr>
        <w:t>项目区</w:t>
      </w:r>
      <w:r>
        <w:t>用地区域属于</w:t>
      </w:r>
      <w:r>
        <w:rPr>
          <w:rFonts w:hint="eastAsia"/>
        </w:rPr>
        <w:t>Ⅳ兵团塔里木盆地暖温带极干旱沙漠、戈壁及绿洲农业生态区</w:t>
      </w:r>
      <w:r>
        <w:t>-</w:t>
      </w:r>
      <w:r>
        <w:rPr>
          <w:rFonts w:hint="eastAsia"/>
        </w:rPr>
        <w:t>Ⅳ1一、二、三师塔里木盆地西部、北部荒漠、绿洲农业生态亚区</w:t>
      </w:r>
      <w:r>
        <w:t>-</w:t>
      </w:r>
      <w:r>
        <w:rPr>
          <w:rFonts w:hint="eastAsia"/>
        </w:rPr>
        <w:t>29.三师喀什三角洲绿洲农业、盐渍化敏感生态功能区</w:t>
      </w:r>
      <w:r>
        <w:t>。区域主要生态服务功能为</w:t>
      </w:r>
      <w:r>
        <w:rPr>
          <w:rFonts w:hint="eastAsia"/>
        </w:rPr>
        <w:t>农畜产品生产、土壤保持</w:t>
      </w:r>
      <w:r>
        <w:t>；区域主要生态环境问题为</w:t>
      </w:r>
      <w:r>
        <w:rPr>
          <w:rFonts w:hint="eastAsia"/>
        </w:rPr>
        <w:t>能源短缺、土壤盐渍化</w:t>
      </w:r>
      <w:r>
        <w:t>；区域主要保护目标为</w:t>
      </w:r>
      <w:r>
        <w:rPr>
          <w:rFonts w:hint="eastAsia"/>
        </w:rPr>
        <w:t>保护农田、保护荒漠植被</w:t>
      </w:r>
      <w:r>
        <w:t>；区域主要保护措施为</w:t>
      </w:r>
      <w:r>
        <w:rPr>
          <w:rFonts w:hint="eastAsia"/>
        </w:rPr>
        <w:t>引洪放淤扩大植被、促进荒漠植被生长，改变能源结构、禁止樵采，完善生态防护林体系</w:t>
      </w:r>
      <w:r>
        <w:t>。</w:t>
      </w:r>
    </w:p>
    <w:p w14:paraId="429256B5">
      <w:pPr>
        <w:spacing w:line="360" w:lineRule="auto"/>
        <w:ind w:firstLine="480" w:firstLineChars="200"/>
      </w:pPr>
      <w:r>
        <w:rPr>
          <w:rFonts w:hint="eastAsia"/>
        </w:rPr>
        <w:t>兵团</w:t>
      </w:r>
      <w:r>
        <w:t>生态功能区的主要生态服务功能、生态敏感因子、主要生态环境问题和主要保护目标见</w:t>
      </w:r>
      <w:r>
        <w:rPr>
          <w:rFonts w:hint="eastAsia"/>
        </w:rPr>
        <w:t>表</w:t>
      </w:r>
      <w:r>
        <w:t>4.2-2</w:t>
      </w:r>
      <w:r>
        <w:rPr>
          <w:rFonts w:hint="eastAsia"/>
        </w:rPr>
        <w:t>。</w:t>
      </w:r>
    </w:p>
    <w:p w14:paraId="031522C4">
      <w:pPr>
        <w:tabs>
          <w:tab w:val="left" w:pos="905"/>
        </w:tabs>
        <w:jc w:val="center"/>
        <w:rPr>
          <w:rFonts w:eastAsia="黑体"/>
        </w:rPr>
      </w:pPr>
      <w:r>
        <w:rPr>
          <w:rFonts w:eastAsia="黑体"/>
        </w:rPr>
        <w:t xml:space="preserve">表4.2-2  </w:t>
      </w:r>
      <w:r>
        <w:rPr>
          <w:rFonts w:hint="eastAsia" w:eastAsia="黑体"/>
        </w:rPr>
        <w:t>兵团</w:t>
      </w:r>
      <w:r>
        <w:rPr>
          <w:rFonts w:eastAsia="黑体"/>
        </w:rPr>
        <w:t>生态功能区主要特征</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810"/>
        <w:gridCol w:w="6718"/>
      </w:tblGrid>
      <w:tr w14:paraId="566F10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Merge w:val="restart"/>
            <w:vAlign w:val="center"/>
          </w:tcPr>
          <w:p w14:paraId="5CE377D7">
            <w:pPr>
              <w:topLinePunct/>
              <w:jc w:val="center"/>
              <w:rPr>
                <w:sz w:val="21"/>
                <w:szCs w:val="18"/>
              </w:rPr>
            </w:pPr>
            <w:r>
              <w:rPr>
                <w:sz w:val="21"/>
                <w:szCs w:val="18"/>
              </w:rPr>
              <w:t>生态功能区</w:t>
            </w:r>
          </w:p>
        </w:tc>
        <w:tc>
          <w:tcPr>
            <w:tcW w:w="3939" w:type="pct"/>
            <w:vAlign w:val="center"/>
          </w:tcPr>
          <w:p w14:paraId="1D796D9E">
            <w:pPr>
              <w:topLinePunct/>
              <w:rPr>
                <w:sz w:val="21"/>
                <w:szCs w:val="18"/>
              </w:rPr>
            </w:pPr>
            <w:r>
              <w:rPr>
                <w:rFonts w:hint="eastAsia"/>
                <w:sz w:val="21"/>
                <w:szCs w:val="18"/>
              </w:rPr>
              <w:t>Ⅳ兵团塔里木盆地暖温带极干旱沙漠、戈壁及绿洲农业生态区</w:t>
            </w:r>
          </w:p>
        </w:tc>
      </w:tr>
      <w:tr w14:paraId="040479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Merge w:val="continue"/>
            <w:vAlign w:val="center"/>
          </w:tcPr>
          <w:p w14:paraId="7DCD7181">
            <w:pPr>
              <w:topLinePunct/>
              <w:jc w:val="center"/>
              <w:rPr>
                <w:sz w:val="21"/>
                <w:szCs w:val="18"/>
              </w:rPr>
            </w:pPr>
          </w:p>
        </w:tc>
        <w:tc>
          <w:tcPr>
            <w:tcW w:w="3939" w:type="pct"/>
            <w:vAlign w:val="center"/>
          </w:tcPr>
          <w:p w14:paraId="4D88612A">
            <w:pPr>
              <w:topLinePunct/>
              <w:rPr>
                <w:sz w:val="21"/>
                <w:szCs w:val="18"/>
              </w:rPr>
            </w:pPr>
            <w:r>
              <w:rPr>
                <w:rFonts w:hint="eastAsia"/>
                <w:sz w:val="21"/>
                <w:szCs w:val="18"/>
              </w:rPr>
              <w:t>一、二、三师塔里木盆地西部、北部荒漠、绿洲农业生态亚区</w:t>
            </w:r>
          </w:p>
        </w:tc>
      </w:tr>
      <w:tr w14:paraId="62836D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Merge w:val="continue"/>
            <w:vAlign w:val="center"/>
          </w:tcPr>
          <w:p w14:paraId="3AB50268">
            <w:pPr>
              <w:topLinePunct/>
              <w:jc w:val="center"/>
              <w:rPr>
                <w:sz w:val="21"/>
                <w:szCs w:val="18"/>
              </w:rPr>
            </w:pPr>
          </w:p>
        </w:tc>
        <w:tc>
          <w:tcPr>
            <w:tcW w:w="3939" w:type="pct"/>
            <w:vAlign w:val="center"/>
          </w:tcPr>
          <w:p w14:paraId="4D2A1564">
            <w:pPr>
              <w:topLinePunct/>
              <w:rPr>
                <w:sz w:val="21"/>
                <w:szCs w:val="18"/>
              </w:rPr>
            </w:pPr>
            <w:r>
              <w:rPr>
                <w:rFonts w:hint="eastAsia"/>
                <w:sz w:val="21"/>
              </w:rPr>
              <w:t>三师喀什三角洲绿洲农业、盐渍化敏感生态功能区</w:t>
            </w:r>
          </w:p>
        </w:tc>
      </w:tr>
      <w:tr w14:paraId="043C1C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6706EF3C">
            <w:pPr>
              <w:topLinePunct/>
              <w:jc w:val="center"/>
              <w:rPr>
                <w:sz w:val="21"/>
                <w:szCs w:val="18"/>
              </w:rPr>
            </w:pPr>
            <w:r>
              <w:rPr>
                <w:sz w:val="21"/>
                <w:szCs w:val="18"/>
              </w:rPr>
              <w:t>隶属师团场</w:t>
            </w:r>
          </w:p>
        </w:tc>
        <w:tc>
          <w:tcPr>
            <w:tcW w:w="3939" w:type="pct"/>
            <w:vAlign w:val="center"/>
          </w:tcPr>
          <w:p w14:paraId="1014ACF6">
            <w:pPr>
              <w:topLinePunct/>
              <w:rPr>
                <w:sz w:val="21"/>
                <w:szCs w:val="18"/>
              </w:rPr>
            </w:pPr>
            <w:r>
              <w:rPr>
                <w:rFonts w:hint="eastAsia"/>
                <w:sz w:val="21"/>
              </w:rPr>
              <w:t>农三师四十一团、42团、东风农场、红旗农场、伽师农场和师直单位</w:t>
            </w:r>
          </w:p>
        </w:tc>
      </w:tr>
      <w:tr w14:paraId="4D3547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112CB078">
            <w:pPr>
              <w:topLinePunct/>
              <w:jc w:val="center"/>
              <w:rPr>
                <w:sz w:val="21"/>
                <w:szCs w:val="18"/>
              </w:rPr>
            </w:pPr>
            <w:r>
              <w:rPr>
                <w:sz w:val="21"/>
                <w:szCs w:val="18"/>
              </w:rPr>
              <w:t>主要生态服务功能</w:t>
            </w:r>
          </w:p>
        </w:tc>
        <w:tc>
          <w:tcPr>
            <w:tcW w:w="3939" w:type="pct"/>
            <w:vAlign w:val="center"/>
          </w:tcPr>
          <w:p w14:paraId="7A7A9F11">
            <w:pPr>
              <w:topLinePunct/>
              <w:rPr>
                <w:sz w:val="21"/>
                <w:szCs w:val="18"/>
              </w:rPr>
            </w:pPr>
            <w:r>
              <w:rPr>
                <w:rFonts w:hint="eastAsia"/>
                <w:sz w:val="21"/>
              </w:rPr>
              <w:t>农畜产品生产、土壤保持</w:t>
            </w:r>
          </w:p>
        </w:tc>
      </w:tr>
      <w:tr w14:paraId="6C3D3E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0FF9BC29">
            <w:pPr>
              <w:topLinePunct/>
              <w:jc w:val="center"/>
              <w:rPr>
                <w:sz w:val="21"/>
                <w:szCs w:val="18"/>
              </w:rPr>
            </w:pPr>
            <w:r>
              <w:rPr>
                <w:sz w:val="21"/>
                <w:szCs w:val="18"/>
              </w:rPr>
              <w:t>主要生态问题</w:t>
            </w:r>
          </w:p>
        </w:tc>
        <w:tc>
          <w:tcPr>
            <w:tcW w:w="3939" w:type="pct"/>
            <w:vAlign w:val="center"/>
          </w:tcPr>
          <w:p w14:paraId="7AB426B1">
            <w:pPr>
              <w:topLinePunct/>
              <w:rPr>
                <w:sz w:val="21"/>
                <w:szCs w:val="18"/>
              </w:rPr>
            </w:pPr>
            <w:r>
              <w:rPr>
                <w:rFonts w:hint="eastAsia"/>
                <w:sz w:val="21"/>
              </w:rPr>
              <w:t>能源短缺、土壤盐渍化</w:t>
            </w:r>
          </w:p>
        </w:tc>
      </w:tr>
      <w:tr w14:paraId="272B97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04871127">
            <w:pPr>
              <w:topLinePunct/>
              <w:jc w:val="center"/>
              <w:rPr>
                <w:sz w:val="21"/>
                <w:szCs w:val="18"/>
              </w:rPr>
            </w:pPr>
            <w:r>
              <w:rPr>
                <w:sz w:val="21"/>
                <w:szCs w:val="18"/>
              </w:rPr>
              <w:t>保护目标</w:t>
            </w:r>
          </w:p>
        </w:tc>
        <w:tc>
          <w:tcPr>
            <w:tcW w:w="3939" w:type="pct"/>
            <w:vAlign w:val="center"/>
          </w:tcPr>
          <w:p w14:paraId="4CA9BFB0">
            <w:pPr>
              <w:topLinePunct/>
              <w:rPr>
                <w:sz w:val="21"/>
                <w:szCs w:val="18"/>
              </w:rPr>
            </w:pPr>
            <w:r>
              <w:rPr>
                <w:rFonts w:hint="eastAsia"/>
                <w:sz w:val="21"/>
              </w:rPr>
              <w:t>保护农田、保护荒漠植被</w:t>
            </w:r>
          </w:p>
        </w:tc>
      </w:tr>
      <w:tr w14:paraId="4E5D85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4E5E3925">
            <w:pPr>
              <w:topLinePunct/>
              <w:jc w:val="center"/>
              <w:rPr>
                <w:sz w:val="21"/>
                <w:szCs w:val="18"/>
              </w:rPr>
            </w:pPr>
            <w:r>
              <w:rPr>
                <w:sz w:val="21"/>
                <w:szCs w:val="18"/>
              </w:rPr>
              <w:t>保护措施</w:t>
            </w:r>
          </w:p>
        </w:tc>
        <w:tc>
          <w:tcPr>
            <w:tcW w:w="3939" w:type="pct"/>
          </w:tcPr>
          <w:p w14:paraId="0FC331E3">
            <w:pPr>
              <w:rPr>
                <w:sz w:val="21"/>
              </w:rPr>
            </w:pPr>
            <w:r>
              <w:rPr>
                <w:rFonts w:hint="eastAsia"/>
                <w:sz w:val="21"/>
              </w:rPr>
              <w:t>引洪放淤扩大植被、促进荒漠植被生长，改变能源结构、保护野生植被，完善生态防护林体系</w:t>
            </w:r>
          </w:p>
        </w:tc>
      </w:tr>
      <w:tr w14:paraId="5318BC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61" w:type="pct"/>
            <w:vAlign w:val="center"/>
          </w:tcPr>
          <w:p w14:paraId="74C7A2F6">
            <w:pPr>
              <w:topLinePunct/>
              <w:jc w:val="center"/>
              <w:rPr>
                <w:sz w:val="21"/>
                <w:szCs w:val="18"/>
              </w:rPr>
            </w:pPr>
            <w:r>
              <w:rPr>
                <w:sz w:val="21"/>
                <w:szCs w:val="18"/>
              </w:rPr>
              <w:t>发展方向</w:t>
            </w:r>
          </w:p>
        </w:tc>
        <w:tc>
          <w:tcPr>
            <w:tcW w:w="3939" w:type="pct"/>
            <w:vAlign w:val="center"/>
          </w:tcPr>
          <w:p w14:paraId="29C3AEE1">
            <w:pPr>
              <w:topLinePunct/>
              <w:rPr>
                <w:sz w:val="21"/>
                <w:szCs w:val="18"/>
              </w:rPr>
            </w:pPr>
            <w:r>
              <w:rPr>
                <w:rFonts w:hint="eastAsia"/>
                <w:sz w:val="21"/>
              </w:rPr>
              <w:t>以农牧业为基础，发展以棉花和林果业为主的特色农业。</w:t>
            </w:r>
          </w:p>
        </w:tc>
      </w:tr>
    </w:tbl>
    <w:p w14:paraId="770F5D0F">
      <w:pPr>
        <w:tabs>
          <w:tab w:val="left" w:pos="1503"/>
        </w:tabs>
        <w:spacing w:before="156" w:beforeLines="50" w:after="156" w:afterLines="50" w:line="360" w:lineRule="auto"/>
        <w:outlineLvl w:val="3"/>
        <w:rPr>
          <w:rFonts w:ascii="Times New Roman" w:hAnsi="Times New Roman" w:cs="Times New Roman"/>
          <w:b/>
          <w:kern w:val="28"/>
        </w:rPr>
      </w:pPr>
      <w:r>
        <w:rPr>
          <w:rFonts w:ascii="Times New Roman" w:hAnsi="Times New Roman" w:cs="Times New Roman"/>
          <w:b/>
          <w:kern w:val="28"/>
        </w:rPr>
        <w:t>4.2.1.3</w:t>
      </w:r>
      <w:r>
        <w:rPr>
          <w:rFonts w:hint="eastAsia" w:ascii="Times New Roman" w:hAnsi="Times New Roman" w:cs="Times New Roman"/>
          <w:b/>
          <w:kern w:val="28"/>
        </w:rPr>
        <w:t>陆生植物现状调查与评价</w:t>
      </w:r>
    </w:p>
    <w:p w14:paraId="2371F3D3">
      <w:pPr>
        <w:pStyle w:val="725"/>
        <w:jc w:val="both"/>
        <w:rPr>
          <w:rFonts w:cs="Times New Roman"/>
          <w:szCs w:val="24"/>
        </w:rPr>
      </w:pPr>
      <w:r>
        <w:rPr>
          <w:rFonts w:cs="Times New Roman"/>
        </w:rPr>
        <w:t>本工程位于41 团草湖镇、疏</w:t>
      </w:r>
      <w:r>
        <w:rPr>
          <w:rFonts w:hint="eastAsia" w:cs="Times New Roman"/>
        </w:rPr>
        <w:t>附县、阿克陶县</w:t>
      </w:r>
      <w:r>
        <w:rPr>
          <w:rFonts w:cs="Times New Roman"/>
        </w:rPr>
        <w:t>境内，</w:t>
      </w:r>
      <w:r>
        <w:rPr>
          <w:rFonts w:hint="eastAsia" w:cs="Times New Roman"/>
        </w:rPr>
        <w:t>大部分</w:t>
      </w:r>
      <w:r>
        <w:rPr>
          <w:rFonts w:cs="Times New Roman"/>
        </w:rPr>
        <w:t>自然植被被人工植被代替，为典型的绿洲农业生态景观</w:t>
      </w:r>
      <w:r>
        <w:rPr>
          <w:rFonts w:hint="eastAsia" w:cs="Times New Roman"/>
        </w:rPr>
        <w:t>，工程调查区生态系统主要为城镇生态系统，工程不涉及湿地生态系统。</w:t>
      </w:r>
      <w:r>
        <w:rPr>
          <w:rFonts w:cs="Times New Roman"/>
          <w:szCs w:val="24"/>
        </w:rPr>
        <w:t>项目区植被类型具体见图4.3-3</w:t>
      </w:r>
      <w:r>
        <w:rPr>
          <w:rFonts w:hint="eastAsia" w:cs="Times New Roman"/>
          <w:szCs w:val="24"/>
        </w:rPr>
        <w:t>和表4.3-</w:t>
      </w:r>
      <w:r>
        <w:rPr>
          <w:rFonts w:cs="Times New Roman"/>
          <w:szCs w:val="24"/>
        </w:rPr>
        <w:t>3</w:t>
      </w:r>
      <w:r>
        <w:rPr>
          <w:rFonts w:hint="eastAsia" w:cs="Times New Roman"/>
          <w:szCs w:val="24"/>
        </w:rPr>
        <w:t>。</w:t>
      </w:r>
    </w:p>
    <w:p w14:paraId="65A3A45E">
      <w:pPr>
        <w:topLinePunct/>
        <w:spacing w:line="360" w:lineRule="auto"/>
        <w:ind w:firstLine="480" w:firstLineChars="200"/>
        <w:jc w:val="both"/>
      </w:pPr>
      <w:r>
        <w:rPr>
          <w:rFonts w:hint="eastAsia"/>
        </w:rPr>
        <w:t>白杨树、桃树等乔木、柽柳、假木贼、芦苇、碱蓬、滨藜、琵琶柴等植被，芦苇的可食性差，属劣等牧草，根据《全国重点牧区草场资源调查大纲和技术规程》中的五等八级标准，项目区荒草地划入五等八级草场。植被分布相对较为稀疏且分布极不均匀，总体覆盖度相对很低，生物量取值</w:t>
      </w:r>
      <w:r>
        <w:t>750</w:t>
      </w:r>
      <w:r>
        <w:rPr>
          <w:rFonts w:hint="eastAsia"/>
        </w:rPr>
        <w:t>kg/hm</w:t>
      </w:r>
      <w:r>
        <w:rPr>
          <w:rFonts w:hint="eastAsia"/>
          <w:vertAlign w:val="superscript"/>
        </w:rPr>
        <w:t>2</w:t>
      </w:r>
      <w:r>
        <w:rPr>
          <w:rFonts w:hint="eastAsia"/>
        </w:rPr>
        <w:t>。植物区系多为灌丛、低地草甸、荒漠植物和绿洲人工种植植物为主。野生植被有柽柳、假木贼、芦苇、碱蓬、滨藜、琵琶柴、芨芨草、猪毛菜、</w:t>
      </w:r>
      <w:r>
        <w:t>狗尾草</w:t>
      </w:r>
      <w:r>
        <w:rPr>
          <w:rFonts w:hint="eastAsia"/>
        </w:rPr>
        <w:t>等，农田植被主要为麦、玉米、棉花、哈密瓜、桃树等。原生植被覆盖率25%，人工植被覆盖度约60%，未见珍稀濒危植物分布。</w:t>
      </w:r>
    </w:p>
    <w:p w14:paraId="51E58543">
      <w:pPr>
        <w:jc w:val="center"/>
        <w:rPr>
          <w:rFonts w:eastAsia="黑体"/>
          <w:bCs/>
          <w:color w:val="00B050"/>
          <w:highlight w:val="yellow"/>
        </w:rPr>
      </w:pPr>
      <w:r>
        <w:rPr>
          <w:rFonts w:eastAsia="黑体"/>
          <w:bCs/>
        </w:rPr>
        <w:t>表4.2</w:t>
      </w:r>
      <w:r>
        <w:rPr>
          <w:rFonts w:hint="eastAsia" w:eastAsia="黑体"/>
          <w:bCs/>
        </w:rPr>
        <w:t>-</w:t>
      </w:r>
      <w:r>
        <w:rPr>
          <w:rFonts w:eastAsia="黑体"/>
          <w:bCs/>
        </w:rPr>
        <w:t xml:space="preserve">3   </w:t>
      </w:r>
      <w:r>
        <w:rPr>
          <w:rFonts w:hint="eastAsia" w:eastAsia="黑体"/>
          <w:bCs/>
        </w:rPr>
        <w:t>各段工程评价区植被类型一览表</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57" w:type="dxa"/>
          <w:bottom w:w="0" w:type="dxa"/>
          <w:right w:w="57" w:type="dxa"/>
        </w:tblCellMar>
      </w:tblPr>
      <w:tblGrid>
        <w:gridCol w:w="2214"/>
        <w:gridCol w:w="6212"/>
      </w:tblGrid>
      <w:tr w14:paraId="1C5ECB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1314" w:type="pct"/>
            <w:noWrap/>
            <w:vAlign w:val="center"/>
          </w:tcPr>
          <w:p w14:paraId="6D363062">
            <w:pPr>
              <w:pStyle w:val="340"/>
              <w:overflowPunct w:val="0"/>
              <w:topLinePunct/>
              <w:autoSpaceDN w:val="0"/>
              <w:adjustRightInd w:val="0"/>
              <w:snapToGrid w:val="0"/>
              <w:rPr>
                <w:sz w:val="21"/>
                <w:szCs w:val="18"/>
              </w:rPr>
            </w:pPr>
            <w:r>
              <w:rPr>
                <w:sz w:val="21"/>
                <w:szCs w:val="18"/>
              </w:rPr>
              <w:t>区段</w:t>
            </w:r>
          </w:p>
        </w:tc>
        <w:tc>
          <w:tcPr>
            <w:tcW w:w="3686" w:type="pct"/>
            <w:vAlign w:val="center"/>
          </w:tcPr>
          <w:p w14:paraId="52EAFFA9">
            <w:pPr>
              <w:pStyle w:val="340"/>
              <w:overflowPunct w:val="0"/>
              <w:topLinePunct/>
              <w:autoSpaceDN w:val="0"/>
              <w:adjustRightInd w:val="0"/>
              <w:snapToGrid w:val="0"/>
              <w:rPr>
                <w:sz w:val="21"/>
                <w:szCs w:val="18"/>
              </w:rPr>
            </w:pPr>
            <w:r>
              <w:rPr>
                <w:rFonts w:hint="eastAsia"/>
                <w:sz w:val="21"/>
                <w:szCs w:val="18"/>
              </w:rPr>
              <w:t>植被类型</w:t>
            </w:r>
          </w:p>
        </w:tc>
      </w:tr>
      <w:tr w14:paraId="07E4DF1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1314" w:type="pct"/>
            <w:noWrap/>
            <w:vAlign w:val="center"/>
          </w:tcPr>
          <w:p w14:paraId="7BA3E842">
            <w:pPr>
              <w:pStyle w:val="340"/>
              <w:overflowPunct w:val="0"/>
              <w:topLinePunct/>
              <w:autoSpaceDN w:val="0"/>
              <w:adjustRightInd w:val="0"/>
              <w:snapToGrid w:val="0"/>
              <w:rPr>
                <w:sz w:val="21"/>
                <w:szCs w:val="18"/>
              </w:rPr>
            </w:pPr>
            <w:r>
              <w:rPr>
                <w:rFonts w:hint="eastAsia"/>
                <w:sz w:val="21"/>
                <w:szCs w:val="18"/>
              </w:rPr>
              <w:t>K</w:t>
            </w:r>
            <w:r>
              <w:rPr>
                <w:sz w:val="21"/>
                <w:szCs w:val="18"/>
              </w:rPr>
              <w:t>0~K13+200</w:t>
            </w:r>
          </w:p>
        </w:tc>
        <w:tc>
          <w:tcPr>
            <w:tcW w:w="3686" w:type="pct"/>
            <w:vAlign w:val="center"/>
          </w:tcPr>
          <w:p w14:paraId="5A12376B">
            <w:pPr>
              <w:pStyle w:val="340"/>
              <w:overflowPunct w:val="0"/>
              <w:topLinePunct/>
              <w:autoSpaceDN w:val="0"/>
              <w:adjustRightInd w:val="0"/>
              <w:snapToGrid w:val="0"/>
              <w:rPr>
                <w:sz w:val="21"/>
                <w:szCs w:val="18"/>
              </w:rPr>
            </w:pPr>
            <w:r>
              <w:rPr>
                <w:rFonts w:hint="eastAsia"/>
                <w:sz w:val="21"/>
                <w:szCs w:val="18"/>
              </w:rPr>
              <w:t>道路两侧均为人工植被，耕地农作物主要为小麦，少量生长的自然植被主要有骆驼刺、芨芨草、猪毛菜等。</w:t>
            </w:r>
          </w:p>
        </w:tc>
      </w:tr>
      <w:tr w14:paraId="4B3B63E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1314" w:type="pct"/>
            <w:noWrap/>
            <w:vAlign w:val="center"/>
          </w:tcPr>
          <w:p w14:paraId="724E1E75">
            <w:pPr>
              <w:pStyle w:val="340"/>
              <w:overflowPunct w:val="0"/>
              <w:topLinePunct/>
              <w:autoSpaceDN w:val="0"/>
              <w:adjustRightInd w:val="0"/>
              <w:snapToGrid w:val="0"/>
              <w:rPr>
                <w:sz w:val="21"/>
                <w:szCs w:val="18"/>
              </w:rPr>
            </w:pPr>
            <w:r>
              <w:rPr>
                <w:rFonts w:hint="eastAsia"/>
                <w:sz w:val="21"/>
                <w:szCs w:val="18"/>
              </w:rPr>
              <w:t>K</w:t>
            </w:r>
            <w:r>
              <w:rPr>
                <w:sz w:val="21"/>
                <w:szCs w:val="18"/>
              </w:rPr>
              <w:t>13+200~K21+200</w:t>
            </w:r>
          </w:p>
        </w:tc>
        <w:tc>
          <w:tcPr>
            <w:tcW w:w="3686" w:type="pct"/>
            <w:vAlign w:val="center"/>
          </w:tcPr>
          <w:p w14:paraId="39F370CE">
            <w:pPr>
              <w:pStyle w:val="340"/>
              <w:overflowPunct w:val="0"/>
              <w:topLinePunct/>
              <w:autoSpaceDN w:val="0"/>
              <w:adjustRightInd w:val="0"/>
              <w:snapToGrid w:val="0"/>
              <w:rPr>
                <w:sz w:val="21"/>
                <w:szCs w:val="18"/>
              </w:rPr>
            </w:pPr>
            <w:r>
              <w:rPr>
                <w:rFonts w:hint="eastAsia"/>
                <w:sz w:val="21"/>
                <w:szCs w:val="18"/>
              </w:rPr>
              <w:t>道路两侧均为荒地。主要植被包括芨芨草、猪毛菜、狗尾草等，植被覆盖率</w:t>
            </w:r>
            <w:r>
              <w:rPr>
                <w:sz w:val="21"/>
                <w:szCs w:val="18"/>
              </w:rPr>
              <w:t>10%</w:t>
            </w:r>
          </w:p>
        </w:tc>
      </w:tr>
      <w:tr w14:paraId="47A062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1314" w:type="pct"/>
            <w:noWrap/>
            <w:vAlign w:val="center"/>
          </w:tcPr>
          <w:p w14:paraId="40738ECC">
            <w:pPr>
              <w:pStyle w:val="340"/>
              <w:overflowPunct w:val="0"/>
              <w:topLinePunct/>
              <w:autoSpaceDN w:val="0"/>
              <w:adjustRightInd w:val="0"/>
              <w:snapToGrid w:val="0"/>
              <w:rPr>
                <w:sz w:val="21"/>
                <w:szCs w:val="18"/>
                <w:highlight w:val="yellow"/>
              </w:rPr>
            </w:pPr>
            <w:r>
              <w:rPr>
                <w:rFonts w:hint="eastAsia"/>
                <w:sz w:val="21"/>
                <w:szCs w:val="18"/>
              </w:rPr>
              <w:t>K</w:t>
            </w:r>
            <w:r>
              <w:rPr>
                <w:sz w:val="21"/>
                <w:szCs w:val="18"/>
              </w:rPr>
              <w:t>21+200~K27+100</w:t>
            </w:r>
          </w:p>
        </w:tc>
        <w:tc>
          <w:tcPr>
            <w:tcW w:w="3686" w:type="pct"/>
            <w:vAlign w:val="center"/>
          </w:tcPr>
          <w:p w14:paraId="2C39FCB4">
            <w:pPr>
              <w:pStyle w:val="340"/>
              <w:overflowPunct w:val="0"/>
              <w:topLinePunct/>
              <w:autoSpaceDN w:val="0"/>
              <w:adjustRightInd w:val="0"/>
              <w:snapToGrid w:val="0"/>
              <w:rPr>
                <w:sz w:val="21"/>
                <w:szCs w:val="18"/>
                <w:highlight w:val="yellow"/>
              </w:rPr>
            </w:pPr>
            <w:r>
              <w:rPr>
                <w:rFonts w:hint="eastAsia"/>
                <w:sz w:val="21"/>
                <w:szCs w:val="18"/>
              </w:rPr>
              <w:t>道路两侧大部为荒地和河滩。主要植被包括芨芨草、猪毛菜、狗尾草等，河生长的植被主要有假木贼、芦苇、碱蓬、猪毛菜等。</w:t>
            </w:r>
          </w:p>
        </w:tc>
      </w:tr>
      <w:tr w14:paraId="425DC7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57" w:type="dxa"/>
            <w:bottom w:w="0" w:type="dxa"/>
            <w:right w:w="57" w:type="dxa"/>
          </w:tblCellMar>
        </w:tblPrEx>
        <w:trPr>
          <w:trHeight w:val="20" w:hRule="atLeast"/>
          <w:jc w:val="center"/>
        </w:trPr>
        <w:tc>
          <w:tcPr>
            <w:tcW w:w="1314" w:type="pct"/>
            <w:noWrap/>
            <w:vAlign w:val="center"/>
          </w:tcPr>
          <w:p w14:paraId="6EDC8751">
            <w:pPr>
              <w:pStyle w:val="340"/>
              <w:overflowPunct w:val="0"/>
              <w:topLinePunct/>
              <w:autoSpaceDN w:val="0"/>
              <w:adjustRightInd w:val="0"/>
              <w:snapToGrid w:val="0"/>
              <w:rPr>
                <w:sz w:val="21"/>
                <w:szCs w:val="18"/>
                <w:highlight w:val="yellow"/>
              </w:rPr>
            </w:pPr>
            <w:r>
              <w:rPr>
                <w:rFonts w:hint="eastAsia"/>
                <w:sz w:val="21"/>
                <w:szCs w:val="18"/>
              </w:rPr>
              <w:t>K</w:t>
            </w:r>
            <w:r>
              <w:rPr>
                <w:sz w:val="21"/>
                <w:szCs w:val="18"/>
              </w:rPr>
              <w:t>27+100~K33</w:t>
            </w:r>
          </w:p>
        </w:tc>
        <w:tc>
          <w:tcPr>
            <w:tcW w:w="3686" w:type="pct"/>
            <w:vAlign w:val="center"/>
          </w:tcPr>
          <w:p w14:paraId="1D402F28">
            <w:pPr>
              <w:pStyle w:val="340"/>
              <w:overflowPunct w:val="0"/>
              <w:topLinePunct/>
              <w:autoSpaceDN w:val="0"/>
              <w:adjustRightInd w:val="0"/>
              <w:snapToGrid w:val="0"/>
              <w:rPr>
                <w:sz w:val="21"/>
                <w:szCs w:val="18"/>
                <w:highlight w:val="yellow"/>
              </w:rPr>
            </w:pPr>
            <w:r>
              <w:rPr>
                <w:rFonts w:hint="eastAsia"/>
                <w:sz w:val="21"/>
                <w:szCs w:val="18"/>
              </w:rPr>
              <w:t>道路两侧均为人工植被，耕地农作物主要为小麦，少量生长的自然植被主要有芨芨草、猪毛菜等。</w:t>
            </w:r>
          </w:p>
        </w:tc>
      </w:tr>
    </w:tbl>
    <w:p w14:paraId="22B7AB43">
      <w:pPr>
        <w:pStyle w:val="35"/>
        <w:spacing w:after="0" w:line="360" w:lineRule="auto"/>
        <w:ind w:left="0" w:leftChars="0" w:firstLine="480" w:firstLineChars="200"/>
        <w:rPr>
          <w:szCs w:val="21"/>
        </w:rPr>
      </w:pPr>
      <w:r>
        <w:rPr>
          <w:szCs w:val="21"/>
        </w:rPr>
        <w:t>根据在当地林业部门收集的资料，</w:t>
      </w:r>
      <w:r>
        <w:rPr>
          <w:rFonts w:hint="eastAsia"/>
          <w:szCs w:val="21"/>
        </w:rPr>
        <w:t>本</w:t>
      </w:r>
      <w:r>
        <w:rPr>
          <w:szCs w:val="21"/>
        </w:rPr>
        <w:t>工程沿线分布的主要野生植物</w:t>
      </w:r>
      <w:r>
        <w:rPr>
          <w:rFonts w:hint="eastAsia"/>
          <w:szCs w:val="21"/>
        </w:rPr>
        <w:t>名录</w:t>
      </w:r>
      <w:r>
        <w:rPr>
          <w:szCs w:val="21"/>
        </w:rPr>
        <w:t>见表4.3-4。</w:t>
      </w:r>
    </w:p>
    <w:p w14:paraId="7B31F1F1">
      <w:pPr>
        <w:jc w:val="center"/>
        <w:rPr>
          <w:rFonts w:eastAsia="黑体"/>
          <w:bCs/>
          <w:sz w:val="21"/>
          <w:szCs w:val="21"/>
        </w:rPr>
      </w:pPr>
      <w:r>
        <w:rPr>
          <w:rFonts w:hint="eastAsia" w:eastAsia="黑体"/>
          <w:bCs/>
          <w:szCs w:val="21"/>
        </w:rPr>
        <w:t>表4.</w:t>
      </w:r>
      <w:r>
        <w:rPr>
          <w:rFonts w:eastAsia="黑体"/>
          <w:bCs/>
          <w:szCs w:val="21"/>
        </w:rPr>
        <w:t>2-4</w:t>
      </w:r>
      <w:r>
        <w:rPr>
          <w:rFonts w:hint="eastAsia" w:eastAsia="黑体"/>
          <w:bCs/>
          <w:szCs w:val="21"/>
        </w:rPr>
        <w:t xml:space="preserve">   评价区主要野生植被名录</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2582"/>
        <w:gridCol w:w="4984"/>
      </w:tblGrid>
      <w:tr w14:paraId="2BAEE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564" w:type="pct"/>
            <w:vAlign w:val="center"/>
          </w:tcPr>
          <w:p w14:paraId="461BAB21">
            <w:pPr>
              <w:ind w:left="-57" w:right="-96"/>
              <w:jc w:val="center"/>
              <w:rPr>
                <w:sz w:val="21"/>
                <w:szCs w:val="21"/>
              </w:rPr>
            </w:pPr>
            <w:r>
              <w:rPr>
                <w:rFonts w:hint="eastAsia"/>
                <w:sz w:val="21"/>
                <w:szCs w:val="21"/>
              </w:rPr>
              <w:t>序号</w:t>
            </w:r>
          </w:p>
        </w:tc>
        <w:tc>
          <w:tcPr>
            <w:tcW w:w="1514" w:type="pct"/>
            <w:vAlign w:val="center"/>
          </w:tcPr>
          <w:p w14:paraId="2E80DF24">
            <w:pPr>
              <w:ind w:left="-57" w:right="-96"/>
              <w:jc w:val="center"/>
              <w:rPr>
                <w:sz w:val="21"/>
                <w:szCs w:val="21"/>
              </w:rPr>
            </w:pPr>
            <w:r>
              <w:rPr>
                <w:rFonts w:hint="eastAsia"/>
                <w:sz w:val="21"/>
                <w:szCs w:val="21"/>
              </w:rPr>
              <w:t>种</w:t>
            </w:r>
            <w:r>
              <w:rPr>
                <w:sz w:val="21"/>
                <w:szCs w:val="21"/>
              </w:rPr>
              <w:t xml:space="preserve">  </w:t>
            </w:r>
            <w:r>
              <w:rPr>
                <w:rFonts w:hint="eastAsia"/>
                <w:sz w:val="21"/>
                <w:szCs w:val="21"/>
              </w:rPr>
              <w:t>类</w:t>
            </w:r>
          </w:p>
        </w:tc>
        <w:tc>
          <w:tcPr>
            <w:tcW w:w="2922" w:type="pct"/>
            <w:vAlign w:val="center"/>
          </w:tcPr>
          <w:p w14:paraId="20FD2CDD">
            <w:pPr>
              <w:ind w:left="27" w:right="-96"/>
              <w:jc w:val="center"/>
              <w:rPr>
                <w:sz w:val="21"/>
                <w:szCs w:val="21"/>
              </w:rPr>
            </w:pPr>
            <w:r>
              <w:rPr>
                <w:rFonts w:hint="eastAsia"/>
                <w:sz w:val="21"/>
                <w:szCs w:val="21"/>
              </w:rPr>
              <w:t>学</w:t>
            </w:r>
            <w:r>
              <w:rPr>
                <w:sz w:val="21"/>
                <w:szCs w:val="21"/>
              </w:rPr>
              <w:t xml:space="preserve">    </w:t>
            </w:r>
            <w:r>
              <w:rPr>
                <w:rFonts w:hint="eastAsia"/>
                <w:sz w:val="21"/>
                <w:szCs w:val="21"/>
              </w:rPr>
              <w:t>名</w:t>
            </w:r>
          </w:p>
        </w:tc>
      </w:tr>
      <w:tr w14:paraId="64B7F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7062921B">
            <w:pPr>
              <w:ind w:left="-57" w:right="-96"/>
              <w:jc w:val="center"/>
              <w:rPr>
                <w:sz w:val="21"/>
                <w:szCs w:val="21"/>
              </w:rPr>
            </w:pPr>
            <w:r>
              <w:rPr>
                <w:sz w:val="21"/>
                <w:szCs w:val="21"/>
              </w:rPr>
              <w:t>1</w:t>
            </w:r>
          </w:p>
        </w:tc>
        <w:tc>
          <w:tcPr>
            <w:tcW w:w="1514" w:type="pct"/>
            <w:vAlign w:val="center"/>
          </w:tcPr>
          <w:p w14:paraId="108C1437">
            <w:pPr>
              <w:ind w:left="-57" w:right="-96"/>
              <w:jc w:val="center"/>
              <w:rPr>
                <w:sz w:val="21"/>
                <w:szCs w:val="21"/>
              </w:rPr>
            </w:pPr>
            <w:r>
              <w:rPr>
                <w:rFonts w:hint="eastAsia"/>
                <w:sz w:val="21"/>
                <w:szCs w:val="21"/>
              </w:rPr>
              <w:t>柽柳</w:t>
            </w:r>
          </w:p>
        </w:tc>
        <w:tc>
          <w:tcPr>
            <w:tcW w:w="2922" w:type="pct"/>
            <w:vAlign w:val="center"/>
          </w:tcPr>
          <w:p w14:paraId="68F045F0">
            <w:pPr>
              <w:ind w:left="27" w:right="-96"/>
              <w:jc w:val="center"/>
              <w:rPr>
                <w:i/>
                <w:sz w:val="21"/>
                <w:szCs w:val="21"/>
              </w:rPr>
            </w:pPr>
            <w:r>
              <w:rPr>
                <w:i/>
                <w:sz w:val="21"/>
                <w:szCs w:val="21"/>
              </w:rPr>
              <w:t>Tamarix sp</w:t>
            </w:r>
          </w:p>
        </w:tc>
      </w:tr>
      <w:tr w14:paraId="2D66F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01B3E6B0">
            <w:pPr>
              <w:ind w:left="-57" w:right="-96"/>
              <w:jc w:val="center"/>
              <w:rPr>
                <w:sz w:val="21"/>
                <w:szCs w:val="21"/>
              </w:rPr>
            </w:pPr>
            <w:r>
              <w:rPr>
                <w:sz w:val="21"/>
                <w:szCs w:val="21"/>
              </w:rPr>
              <w:t>2</w:t>
            </w:r>
          </w:p>
        </w:tc>
        <w:tc>
          <w:tcPr>
            <w:tcW w:w="1514" w:type="pct"/>
            <w:vAlign w:val="center"/>
          </w:tcPr>
          <w:p w14:paraId="6DA59B7E">
            <w:pPr>
              <w:ind w:left="-57" w:right="-96"/>
              <w:jc w:val="center"/>
              <w:rPr>
                <w:sz w:val="21"/>
                <w:szCs w:val="21"/>
              </w:rPr>
            </w:pPr>
            <w:r>
              <w:rPr>
                <w:rFonts w:hint="eastAsia"/>
                <w:sz w:val="21"/>
                <w:szCs w:val="21"/>
              </w:rPr>
              <w:t>盐生假木贼</w:t>
            </w:r>
          </w:p>
        </w:tc>
        <w:tc>
          <w:tcPr>
            <w:tcW w:w="2922" w:type="pct"/>
            <w:vAlign w:val="center"/>
          </w:tcPr>
          <w:p w14:paraId="054B1B67">
            <w:pPr>
              <w:ind w:left="27" w:right="-96"/>
              <w:jc w:val="center"/>
              <w:rPr>
                <w:i/>
                <w:sz w:val="21"/>
                <w:szCs w:val="21"/>
              </w:rPr>
            </w:pPr>
            <w:r>
              <w:rPr>
                <w:i/>
                <w:sz w:val="21"/>
                <w:szCs w:val="21"/>
              </w:rPr>
              <w:t>Anabasis salsa</w:t>
            </w:r>
          </w:p>
        </w:tc>
      </w:tr>
      <w:tr w14:paraId="3FB2E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61C7EAF2">
            <w:pPr>
              <w:ind w:left="-57" w:right="-96"/>
              <w:jc w:val="center"/>
              <w:rPr>
                <w:sz w:val="21"/>
                <w:szCs w:val="21"/>
              </w:rPr>
            </w:pPr>
            <w:r>
              <w:rPr>
                <w:rFonts w:hint="eastAsia"/>
                <w:sz w:val="21"/>
                <w:szCs w:val="21"/>
              </w:rPr>
              <w:t>3</w:t>
            </w:r>
          </w:p>
        </w:tc>
        <w:tc>
          <w:tcPr>
            <w:tcW w:w="1514" w:type="pct"/>
            <w:vAlign w:val="center"/>
          </w:tcPr>
          <w:p w14:paraId="4D8D4285">
            <w:pPr>
              <w:ind w:left="-57" w:right="-96"/>
              <w:jc w:val="center"/>
              <w:rPr>
                <w:sz w:val="21"/>
                <w:szCs w:val="21"/>
              </w:rPr>
            </w:pPr>
            <w:r>
              <w:rPr>
                <w:rFonts w:hint="eastAsia"/>
                <w:sz w:val="21"/>
                <w:szCs w:val="21"/>
              </w:rPr>
              <w:t>猪毛菜</w:t>
            </w:r>
          </w:p>
        </w:tc>
        <w:tc>
          <w:tcPr>
            <w:tcW w:w="2922" w:type="pct"/>
            <w:vAlign w:val="center"/>
          </w:tcPr>
          <w:p w14:paraId="3F3DC4C7">
            <w:pPr>
              <w:ind w:left="27" w:right="-96"/>
              <w:jc w:val="center"/>
              <w:rPr>
                <w:i/>
                <w:sz w:val="21"/>
                <w:szCs w:val="21"/>
              </w:rPr>
            </w:pPr>
            <w:r>
              <w:rPr>
                <w:i/>
                <w:sz w:val="21"/>
                <w:szCs w:val="21"/>
              </w:rPr>
              <w:t>Salsola sp</w:t>
            </w:r>
          </w:p>
        </w:tc>
      </w:tr>
      <w:tr w14:paraId="49493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4D220074">
            <w:pPr>
              <w:ind w:left="-57" w:right="-96"/>
              <w:jc w:val="center"/>
              <w:rPr>
                <w:sz w:val="21"/>
                <w:szCs w:val="21"/>
              </w:rPr>
            </w:pPr>
            <w:r>
              <w:rPr>
                <w:rFonts w:hint="eastAsia"/>
                <w:sz w:val="21"/>
                <w:szCs w:val="21"/>
              </w:rPr>
              <w:t>4</w:t>
            </w:r>
          </w:p>
        </w:tc>
        <w:tc>
          <w:tcPr>
            <w:tcW w:w="1514" w:type="pct"/>
            <w:vAlign w:val="center"/>
          </w:tcPr>
          <w:p w14:paraId="2C783D7B">
            <w:pPr>
              <w:ind w:left="-57" w:right="-96"/>
              <w:jc w:val="center"/>
              <w:rPr>
                <w:sz w:val="21"/>
                <w:szCs w:val="21"/>
              </w:rPr>
            </w:pPr>
            <w:r>
              <w:rPr>
                <w:rFonts w:hint="eastAsia"/>
                <w:sz w:val="21"/>
                <w:szCs w:val="21"/>
              </w:rPr>
              <w:t>芨芨草</w:t>
            </w:r>
          </w:p>
        </w:tc>
        <w:tc>
          <w:tcPr>
            <w:tcW w:w="2922" w:type="pct"/>
            <w:vAlign w:val="center"/>
          </w:tcPr>
          <w:p w14:paraId="1BDB5B45">
            <w:pPr>
              <w:ind w:left="27" w:right="-96"/>
              <w:jc w:val="center"/>
              <w:rPr>
                <w:i/>
                <w:sz w:val="21"/>
                <w:szCs w:val="21"/>
              </w:rPr>
            </w:pPr>
            <w:r>
              <w:rPr>
                <w:i/>
                <w:sz w:val="21"/>
                <w:szCs w:val="21"/>
              </w:rPr>
              <w:t>Achanatherum splendeds</w:t>
            </w:r>
          </w:p>
        </w:tc>
      </w:tr>
      <w:tr w14:paraId="7F52D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1939C38F">
            <w:pPr>
              <w:ind w:left="-57" w:right="-96"/>
              <w:jc w:val="center"/>
              <w:rPr>
                <w:sz w:val="21"/>
                <w:szCs w:val="21"/>
              </w:rPr>
            </w:pPr>
            <w:r>
              <w:rPr>
                <w:rFonts w:hint="eastAsia"/>
                <w:sz w:val="21"/>
                <w:szCs w:val="21"/>
              </w:rPr>
              <w:t>5</w:t>
            </w:r>
          </w:p>
        </w:tc>
        <w:tc>
          <w:tcPr>
            <w:tcW w:w="1514" w:type="pct"/>
            <w:vAlign w:val="center"/>
          </w:tcPr>
          <w:p w14:paraId="581016FF">
            <w:pPr>
              <w:ind w:left="-57" w:right="-96"/>
              <w:jc w:val="center"/>
              <w:rPr>
                <w:sz w:val="21"/>
                <w:szCs w:val="21"/>
              </w:rPr>
            </w:pPr>
            <w:r>
              <w:rPr>
                <w:rFonts w:hint="eastAsia"/>
                <w:sz w:val="21"/>
                <w:szCs w:val="21"/>
              </w:rPr>
              <w:t>琵琶柴</w:t>
            </w:r>
          </w:p>
        </w:tc>
        <w:tc>
          <w:tcPr>
            <w:tcW w:w="2922" w:type="pct"/>
            <w:vAlign w:val="center"/>
          </w:tcPr>
          <w:p w14:paraId="7C4F0A80">
            <w:pPr>
              <w:ind w:left="27" w:right="-96"/>
              <w:jc w:val="center"/>
              <w:rPr>
                <w:i/>
                <w:sz w:val="21"/>
                <w:szCs w:val="21"/>
              </w:rPr>
            </w:pPr>
            <w:r>
              <w:rPr>
                <w:i/>
                <w:sz w:val="21"/>
                <w:szCs w:val="21"/>
              </w:rPr>
              <w:t>Reaumuria Soongorica</w:t>
            </w:r>
          </w:p>
        </w:tc>
      </w:tr>
      <w:tr w14:paraId="4680D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28091089">
            <w:pPr>
              <w:ind w:left="-57" w:right="-96"/>
              <w:jc w:val="center"/>
              <w:rPr>
                <w:sz w:val="21"/>
                <w:szCs w:val="21"/>
              </w:rPr>
            </w:pPr>
            <w:r>
              <w:rPr>
                <w:rFonts w:hint="eastAsia"/>
                <w:sz w:val="21"/>
                <w:szCs w:val="21"/>
              </w:rPr>
              <w:t>6</w:t>
            </w:r>
          </w:p>
        </w:tc>
        <w:tc>
          <w:tcPr>
            <w:tcW w:w="1514" w:type="pct"/>
            <w:vAlign w:val="center"/>
          </w:tcPr>
          <w:p w14:paraId="7ECC192E">
            <w:pPr>
              <w:ind w:left="-57" w:right="-96"/>
              <w:jc w:val="center"/>
              <w:rPr>
                <w:sz w:val="21"/>
                <w:szCs w:val="21"/>
              </w:rPr>
            </w:pPr>
            <w:r>
              <w:rPr>
                <w:rFonts w:hint="eastAsia"/>
                <w:sz w:val="21"/>
                <w:szCs w:val="21"/>
              </w:rPr>
              <w:t>小叶碱蓬</w:t>
            </w:r>
          </w:p>
        </w:tc>
        <w:tc>
          <w:tcPr>
            <w:tcW w:w="2922" w:type="pct"/>
            <w:vAlign w:val="center"/>
          </w:tcPr>
          <w:p w14:paraId="76EEE980">
            <w:pPr>
              <w:ind w:left="27" w:right="-96"/>
              <w:jc w:val="center"/>
              <w:rPr>
                <w:i/>
                <w:sz w:val="21"/>
                <w:szCs w:val="21"/>
              </w:rPr>
            </w:pPr>
            <w:r>
              <w:rPr>
                <w:i/>
                <w:sz w:val="21"/>
                <w:szCs w:val="21"/>
              </w:rPr>
              <w:t>Suaeda microphylla</w:t>
            </w:r>
          </w:p>
        </w:tc>
      </w:tr>
      <w:tr w14:paraId="52FE3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5751F19E">
            <w:pPr>
              <w:ind w:left="-57" w:right="-96"/>
              <w:jc w:val="center"/>
              <w:rPr>
                <w:sz w:val="21"/>
                <w:szCs w:val="21"/>
              </w:rPr>
            </w:pPr>
            <w:r>
              <w:rPr>
                <w:rFonts w:hint="eastAsia"/>
                <w:sz w:val="21"/>
                <w:szCs w:val="21"/>
              </w:rPr>
              <w:t>7</w:t>
            </w:r>
          </w:p>
        </w:tc>
        <w:tc>
          <w:tcPr>
            <w:tcW w:w="1514" w:type="pct"/>
            <w:vAlign w:val="center"/>
          </w:tcPr>
          <w:p w14:paraId="7DAF30A2">
            <w:pPr>
              <w:ind w:left="-57" w:right="-96"/>
              <w:jc w:val="center"/>
              <w:rPr>
                <w:sz w:val="21"/>
                <w:szCs w:val="21"/>
              </w:rPr>
            </w:pPr>
            <w:r>
              <w:rPr>
                <w:rFonts w:hint="eastAsia"/>
                <w:sz w:val="21"/>
                <w:szCs w:val="21"/>
              </w:rPr>
              <w:t>芦苇</w:t>
            </w:r>
          </w:p>
        </w:tc>
        <w:tc>
          <w:tcPr>
            <w:tcW w:w="2922" w:type="pct"/>
            <w:vAlign w:val="center"/>
          </w:tcPr>
          <w:p w14:paraId="44E9A8D1">
            <w:pPr>
              <w:ind w:left="27" w:right="-96"/>
              <w:jc w:val="center"/>
              <w:rPr>
                <w:i/>
                <w:sz w:val="21"/>
                <w:szCs w:val="21"/>
              </w:rPr>
            </w:pPr>
            <w:r>
              <w:rPr>
                <w:i/>
                <w:sz w:val="21"/>
                <w:szCs w:val="21"/>
              </w:rPr>
              <w:t>Phragmites communis</w:t>
            </w:r>
          </w:p>
        </w:tc>
      </w:tr>
      <w:tr w14:paraId="106AC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7EACE582">
            <w:pPr>
              <w:ind w:left="-57" w:right="-96"/>
              <w:jc w:val="center"/>
              <w:rPr>
                <w:sz w:val="21"/>
                <w:szCs w:val="21"/>
              </w:rPr>
            </w:pPr>
            <w:r>
              <w:rPr>
                <w:rFonts w:hint="eastAsia"/>
                <w:sz w:val="21"/>
                <w:szCs w:val="21"/>
              </w:rPr>
              <w:t>8</w:t>
            </w:r>
          </w:p>
        </w:tc>
        <w:tc>
          <w:tcPr>
            <w:tcW w:w="1514" w:type="pct"/>
            <w:vAlign w:val="center"/>
          </w:tcPr>
          <w:p w14:paraId="49EDA23D">
            <w:pPr>
              <w:ind w:left="-57" w:right="-96"/>
              <w:jc w:val="center"/>
              <w:rPr>
                <w:sz w:val="21"/>
                <w:szCs w:val="21"/>
              </w:rPr>
            </w:pPr>
            <w:r>
              <w:rPr>
                <w:rFonts w:hint="eastAsia"/>
                <w:sz w:val="21"/>
                <w:szCs w:val="21"/>
              </w:rPr>
              <w:t>滨藜一种</w:t>
            </w:r>
          </w:p>
        </w:tc>
        <w:tc>
          <w:tcPr>
            <w:tcW w:w="2922" w:type="pct"/>
            <w:vAlign w:val="center"/>
          </w:tcPr>
          <w:p w14:paraId="3C75DB4C">
            <w:pPr>
              <w:ind w:left="27" w:right="-96"/>
              <w:jc w:val="center"/>
              <w:rPr>
                <w:i/>
                <w:sz w:val="21"/>
                <w:szCs w:val="21"/>
              </w:rPr>
            </w:pPr>
            <w:r>
              <w:rPr>
                <w:i/>
                <w:sz w:val="21"/>
                <w:szCs w:val="21"/>
              </w:rPr>
              <w:t>Atriplex sp</w:t>
            </w:r>
          </w:p>
        </w:tc>
      </w:tr>
      <w:tr w14:paraId="22A86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64" w:type="pct"/>
            <w:vAlign w:val="center"/>
          </w:tcPr>
          <w:p w14:paraId="6AED5810">
            <w:pPr>
              <w:ind w:left="-57" w:right="-96"/>
              <w:jc w:val="center"/>
              <w:rPr>
                <w:sz w:val="21"/>
                <w:szCs w:val="21"/>
              </w:rPr>
            </w:pPr>
            <w:r>
              <w:rPr>
                <w:rFonts w:hint="eastAsia"/>
                <w:sz w:val="21"/>
                <w:szCs w:val="21"/>
              </w:rPr>
              <w:t>9</w:t>
            </w:r>
          </w:p>
        </w:tc>
        <w:tc>
          <w:tcPr>
            <w:tcW w:w="1514" w:type="pct"/>
            <w:vAlign w:val="center"/>
          </w:tcPr>
          <w:p w14:paraId="2E583C86">
            <w:pPr>
              <w:ind w:left="-57" w:right="-96"/>
              <w:jc w:val="center"/>
              <w:rPr>
                <w:sz w:val="21"/>
                <w:szCs w:val="21"/>
              </w:rPr>
            </w:pPr>
            <w:r>
              <w:rPr>
                <w:sz w:val="21"/>
                <w:szCs w:val="21"/>
              </w:rPr>
              <w:t>狗尾草</w:t>
            </w:r>
          </w:p>
        </w:tc>
        <w:tc>
          <w:tcPr>
            <w:tcW w:w="2922" w:type="pct"/>
            <w:vAlign w:val="center"/>
          </w:tcPr>
          <w:p w14:paraId="0A16AAF0">
            <w:pPr>
              <w:ind w:left="27" w:right="-96"/>
              <w:jc w:val="center"/>
              <w:rPr>
                <w:i/>
                <w:sz w:val="21"/>
                <w:szCs w:val="21"/>
              </w:rPr>
            </w:pPr>
            <w:r>
              <w:rPr>
                <w:i/>
                <w:sz w:val="21"/>
                <w:szCs w:val="21"/>
              </w:rPr>
              <w:t>Setaira viridis</w:t>
            </w:r>
          </w:p>
        </w:tc>
      </w:tr>
    </w:tbl>
    <w:p w14:paraId="3266270B">
      <w:pPr>
        <w:rPr>
          <w:b/>
          <w:bCs/>
          <w:sz w:val="21"/>
          <w:szCs w:val="21"/>
        </w:rPr>
      </w:pPr>
    </w:p>
    <w:p w14:paraId="13F49E07">
      <w:pPr>
        <w:tabs>
          <w:tab w:val="left" w:pos="1503"/>
        </w:tabs>
        <w:spacing w:before="156" w:beforeLines="50" w:after="156" w:afterLines="50" w:line="360" w:lineRule="auto"/>
        <w:outlineLvl w:val="3"/>
        <w:rPr>
          <w:rFonts w:ascii="Times New Roman" w:hAnsi="Times New Roman" w:cs="Times New Roman"/>
          <w:b/>
          <w:kern w:val="28"/>
        </w:rPr>
      </w:pPr>
      <w:r>
        <w:rPr>
          <w:rFonts w:ascii="Times New Roman" w:hAnsi="Times New Roman" w:cs="Times New Roman"/>
          <w:b/>
          <w:kern w:val="28"/>
        </w:rPr>
        <w:t>4.2.</w:t>
      </w:r>
      <w:r>
        <w:rPr>
          <w:rFonts w:hint="eastAsia" w:ascii="Times New Roman" w:hAnsi="Times New Roman" w:cs="Times New Roman"/>
          <w:b/>
          <w:kern w:val="28"/>
        </w:rPr>
        <w:t>1.</w:t>
      </w:r>
      <w:r>
        <w:rPr>
          <w:rFonts w:ascii="Times New Roman" w:hAnsi="Times New Roman" w:cs="Times New Roman"/>
          <w:b/>
          <w:kern w:val="28"/>
        </w:rPr>
        <w:t>4陆生动物现状调查与评价</w:t>
      </w:r>
    </w:p>
    <w:p w14:paraId="2A5F1B88">
      <w:pPr>
        <w:spacing w:line="360" w:lineRule="auto"/>
        <w:ind w:firstLine="480" w:firstLineChars="200"/>
        <w:jc w:val="both"/>
      </w:pPr>
      <w:r>
        <w:t>喀什噶尔河流域上游山区及部分平原区在野生动物地理区划上属于古北界、中亚亚界、哈萨克斯坦区、天山山地亚区、昆仑-阿尔金山小区、南天山小区，动物种群有着蒙新区至青藏区过渡的类型特点；下游局部平原区野生动物地理区划上属于古北界、中亚亚界、蒙新区、西部荒漠亚区的塔里木盆地小区。</w:t>
      </w:r>
    </w:p>
    <w:p w14:paraId="1DAFF199">
      <w:pPr>
        <w:pStyle w:val="2536"/>
        <w:ind w:firstLine="480"/>
        <w:rPr>
          <w:kern w:val="2"/>
        </w:rPr>
      </w:pPr>
      <w:r>
        <w:t>项目区位于人类活动频繁区域，野生动物活动较少</w:t>
      </w:r>
      <w:r>
        <w:rPr>
          <w:rFonts w:hint="eastAsia"/>
        </w:rPr>
        <w:t>。</w:t>
      </w:r>
    </w:p>
    <w:p w14:paraId="01D42F1C">
      <w:pPr>
        <w:pStyle w:val="2536"/>
        <w:ind w:firstLine="480"/>
        <w:rPr>
          <w:kern w:val="2"/>
        </w:rPr>
      </w:pPr>
      <w:r>
        <w:rPr>
          <w:rFonts w:hint="eastAsia"/>
          <w:kern w:val="2"/>
        </w:rPr>
        <w:t>（</w:t>
      </w:r>
      <w:r>
        <w:rPr>
          <w:kern w:val="2"/>
        </w:rPr>
        <w:t>1</w:t>
      </w:r>
      <w:r>
        <w:rPr>
          <w:rFonts w:hint="eastAsia"/>
          <w:kern w:val="2"/>
        </w:rPr>
        <w:t>）鸟类</w:t>
      </w:r>
    </w:p>
    <w:p w14:paraId="44200550">
      <w:pPr>
        <w:pStyle w:val="2536"/>
        <w:ind w:firstLine="480"/>
        <w:rPr>
          <w:kern w:val="2"/>
        </w:rPr>
      </w:pPr>
      <w:r>
        <w:rPr>
          <w:rFonts w:hint="eastAsia"/>
          <w:kern w:val="2"/>
        </w:rPr>
        <w:t>评价区域内分布的鸟类现状如下：麻雀、乌鸦、喜鹊、斑鸠、燕雀、大白鹭、芦苇莺等。</w:t>
      </w:r>
    </w:p>
    <w:p w14:paraId="1B789420">
      <w:pPr>
        <w:pStyle w:val="2536"/>
        <w:ind w:firstLine="480"/>
        <w:rPr>
          <w:kern w:val="2"/>
        </w:rPr>
      </w:pPr>
      <w:r>
        <w:rPr>
          <w:rFonts w:hint="eastAsia"/>
          <w:kern w:val="2"/>
        </w:rPr>
        <w:t>（</w:t>
      </w:r>
      <w:r>
        <w:rPr>
          <w:kern w:val="2"/>
        </w:rPr>
        <w:t>2</w:t>
      </w:r>
      <w:r>
        <w:rPr>
          <w:rFonts w:hint="eastAsia"/>
          <w:kern w:val="2"/>
        </w:rPr>
        <w:t>）兽类</w:t>
      </w:r>
    </w:p>
    <w:p w14:paraId="7BD753BB">
      <w:pPr>
        <w:pStyle w:val="2536"/>
        <w:ind w:firstLine="480"/>
        <w:rPr>
          <w:kern w:val="2"/>
        </w:rPr>
      </w:pPr>
      <w:r>
        <w:rPr>
          <w:rFonts w:hint="eastAsia"/>
          <w:kern w:val="2"/>
        </w:rPr>
        <w:t>评价区域内分布的兽类现状如下：草兔、小家鼠等。根据现场访问调查项目区附近未发现</w:t>
      </w:r>
      <w:r>
        <w:rPr>
          <w:kern w:val="2"/>
        </w:rPr>
        <w:t>塔里木兔</w:t>
      </w:r>
      <w:r>
        <w:rPr>
          <w:rFonts w:hint="eastAsia"/>
          <w:kern w:val="2"/>
        </w:rPr>
        <w:t>。</w:t>
      </w:r>
    </w:p>
    <w:p w14:paraId="0EB43169">
      <w:pPr>
        <w:pStyle w:val="2536"/>
        <w:ind w:firstLine="480"/>
        <w:rPr>
          <w:kern w:val="2"/>
        </w:rPr>
      </w:pPr>
      <w:r>
        <w:rPr>
          <w:rFonts w:hint="eastAsia"/>
          <w:kern w:val="2"/>
        </w:rPr>
        <w:t>（3）</w:t>
      </w:r>
      <w:r>
        <w:rPr>
          <w:kern w:val="2"/>
        </w:rPr>
        <w:t>两栖类</w:t>
      </w:r>
    </w:p>
    <w:p w14:paraId="31D84204">
      <w:pPr>
        <w:pStyle w:val="2536"/>
        <w:ind w:firstLine="480"/>
        <w:rPr>
          <w:kern w:val="2"/>
        </w:rPr>
      </w:pPr>
      <w:r>
        <w:rPr>
          <w:rFonts w:hint="eastAsia"/>
          <w:kern w:val="2"/>
        </w:rPr>
        <w:t>项目区附近出现的</w:t>
      </w:r>
      <w:r>
        <w:rPr>
          <w:kern w:val="2"/>
        </w:rPr>
        <w:t>两栖类</w:t>
      </w:r>
      <w:r>
        <w:rPr>
          <w:rFonts w:hint="eastAsia"/>
          <w:kern w:val="2"/>
        </w:rPr>
        <w:t>主要包括</w:t>
      </w:r>
      <w:r>
        <w:rPr>
          <w:kern w:val="2"/>
        </w:rPr>
        <w:t>青蛙和蟾蜍；</w:t>
      </w:r>
    </w:p>
    <w:p w14:paraId="5069681F">
      <w:pPr>
        <w:pStyle w:val="2536"/>
        <w:ind w:firstLine="480"/>
        <w:rPr>
          <w:kern w:val="2"/>
        </w:rPr>
      </w:pPr>
      <w:r>
        <w:rPr>
          <w:rFonts w:hint="eastAsia"/>
          <w:kern w:val="2"/>
        </w:rPr>
        <w:t>（4）爬行类</w:t>
      </w:r>
    </w:p>
    <w:p w14:paraId="76CC50D7">
      <w:pPr>
        <w:pStyle w:val="2536"/>
        <w:ind w:firstLine="480"/>
        <w:rPr>
          <w:kern w:val="2"/>
        </w:rPr>
      </w:pPr>
      <w:r>
        <w:rPr>
          <w:rFonts w:hint="eastAsia"/>
          <w:kern w:val="2"/>
        </w:rPr>
        <w:t>项目区附近出现的爬行</w:t>
      </w:r>
      <w:r>
        <w:rPr>
          <w:kern w:val="2"/>
        </w:rPr>
        <w:t>类</w:t>
      </w:r>
      <w:r>
        <w:rPr>
          <w:rFonts w:hint="eastAsia"/>
          <w:kern w:val="2"/>
        </w:rPr>
        <w:t>主要包括</w:t>
      </w:r>
      <w:r>
        <w:rPr>
          <w:kern w:val="2"/>
        </w:rPr>
        <w:t>蛇、蜥蜴。</w:t>
      </w:r>
    </w:p>
    <w:p w14:paraId="1746314F">
      <w:pPr>
        <w:pStyle w:val="2536"/>
        <w:ind w:firstLine="480"/>
        <w:rPr>
          <w:kern w:val="2"/>
        </w:rPr>
      </w:pPr>
      <w:r>
        <w:rPr>
          <w:rFonts w:hint="eastAsia"/>
          <w:kern w:val="2"/>
        </w:rPr>
        <w:t>（</w:t>
      </w:r>
      <w:r>
        <w:rPr>
          <w:kern w:val="2"/>
        </w:rPr>
        <w:t>5</w:t>
      </w:r>
      <w:r>
        <w:rPr>
          <w:rFonts w:hint="eastAsia"/>
          <w:kern w:val="2"/>
        </w:rPr>
        <w:t>）珍稀濒危保护动物</w:t>
      </w:r>
    </w:p>
    <w:p w14:paraId="7ADE5812">
      <w:pPr>
        <w:pStyle w:val="2536"/>
        <w:ind w:firstLine="480"/>
        <w:rPr>
          <w:kern w:val="2"/>
        </w:rPr>
      </w:pPr>
      <w:r>
        <w:rPr>
          <w:rFonts w:hint="eastAsia"/>
          <w:kern w:val="2"/>
        </w:rPr>
        <w:t>根据现场访问调查，工程占地范围及评价范围内未发现国家及新疆维吾尔自治区重点保护野生动物。区域无上述陆生动物的天然集中分布区和栖息地；也没有迁徙鸟类的重要繁殖地、停歇地和越冬地；也没有野生动物的迁徙通道。</w:t>
      </w:r>
    </w:p>
    <w:p w14:paraId="3EE5A978">
      <w:pPr>
        <w:adjustRightInd w:val="0"/>
        <w:snapToGrid w:val="0"/>
        <w:spacing w:line="360" w:lineRule="auto"/>
        <w:ind w:firstLine="480" w:firstLineChars="200"/>
        <w:jc w:val="both"/>
      </w:pPr>
      <w:r>
        <w:rPr>
          <w:rFonts w:hint="eastAsia"/>
        </w:rPr>
        <w:t>项目区主要动物名录具体见表</w:t>
      </w:r>
      <w:r>
        <w:t>4.2-5</w:t>
      </w:r>
      <w:r>
        <w:rPr>
          <w:rFonts w:hint="eastAsia"/>
        </w:rPr>
        <w:t>。</w:t>
      </w:r>
    </w:p>
    <w:p w14:paraId="0BA32F0C">
      <w:pPr>
        <w:jc w:val="center"/>
        <w:rPr>
          <w:rFonts w:eastAsia="黑体"/>
          <w:bCs/>
        </w:rPr>
      </w:pPr>
      <w:r>
        <w:rPr>
          <w:rFonts w:eastAsia="黑体"/>
          <w:bCs/>
        </w:rPr>
        <w:t xml:space="preserve">表4.2-5  </w:t>
      </w:r>
      <w:r>
        <w:rPr>
          <w:rFonts w:hint="eastAsia" w:eastAsia="黑体"/>
          <w:bCs/>
        </w:rPr>
        <w:t>项目区</w:t>
      </w:r>
      <w:r>
        <w:rPr>
          <w:rFonts w:eastAsia="黑体"/>
          <w:bCs/>
        </w:rPr>
        <w:t>主要动物名录</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504"/>
        <w:gridCol w:w="2274"/>
        <w:gridCol w:w="4750"/>
      </w:tblGrid>
      <w:tr w14:paraId="7E3178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15" w:type="pct"/>
            <w:gridSpan w:val="2"/>
            <w:vAlign w:val="center"/>
          </w:tcPr>
          <w:p w14:paraId="0E5099A8">
            <w:pPr>
              <w:jc w:val="center"/>
              <w:rPr>
                <w:sz w:val="21"/>
                <w:szCs w:val="21"/>
              </w:rPr>
            </w:pPr>
            <w:r>
              <w:rPr>
                <w:rFonts w:hint="eastAsia"/>
                <w:sz w:val="21"/>
                <w:szCs w:val="21"/>
              </w:rPr>
              <w:t>种类</w:t>
            </w:r>
          </w:p>
        </w:tc>
        <w:tc>
          <w:tcPr>
            <w:tcW w:w="2785" w:type="pct"/>
            <w:vAlign w:val="center"/>
          </w:tcPr>
          <w:p w14:paraId="452381A5">
            <w:pPr>
              <w:jc w:val="center"/>
              <w:rPr>
                <w:sz w:val="21"/>
                <w:szCs w:val="21"/>
              </w:rPr>
            </w:pPr>
            <w:r>
              <w:rPr>
                <w:sz w:val="21"/>
                <w:szCs w:val="21"/>
              </w:rPr>
              <w:t>拉丁名</w:t>
            </w:r>
          </w:p>
        </w:tc>
      </w:tr>
      <w:tr w14:paraId="08D3F7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restart"/>
            <w:vAlign w:val="center"/>
          </w:tcPr>
          <w:p w14:paraId="4AF9CC3B">
            <w:pPr>
              <w:jc w:val="center"/>
              <w:rPr>
                <w:sz w:val="21"/>
                <w:szCs w:val="21"/>
              </w:rPr>
            </w:pPr>
            <w:r>
              <w:rPr>
                <w:sz w:val="21"/>
                <w:szCs w:val="21"/>
              </w:rPr>
              <w:t>哺乳类</w:t>
            </w:r>
          </w:p>
        </w:tc>
        <w:tc>
          <w:tcPr>
            <w:tcW w:w="1333" w:type="pct"/>
            <w:vAlign w:val="center"/>
          </w:tcPr>
          <w:p w14:paraId="6C1CD80F">
            <w:pPr>
              <w:jc w:val="center"/>
              <w:rPr>
                <w:sz w:val="21"/>
                <w:szCs w:val="21"/>
              </w:rPr>
            </w:pPr>
            <w:r>
              <w:rPr>
                <w:sz w:val="21"/>
                <w:szCs w:val="21"/>
              </w:rPr>
              <w:t>野兔</w:t>
            </w:r>
          </w:p>
        </w:tc>
        <w:tc>
          <w:tcPr>
            <w:tcW w:w="2785" w:type="pct"/>
            <w:vAlign w:val="center"/>
          </w:tcPr>
          <w:p w14:paraId="2999B57B">
            <w:pPr>
              <w:jc w:val="center"/>
              <w:rPr>
                <w:i/>
                <w:sz w:val="21"/>
                <w:szCs w:val="21"/>
              </w:rPr>
            </w:pPr>
            <w:r>
              <w:rPr>
                <w:i/>
                <w:sz w:val="21"/>
                <w:szCs w:val="21"/>
              </w:rPr>
              <w:t>Lepus carpensis</w:t>
            </w:r>
          </w:p>
        </w:tc>
      </w:tr>
      <w:tr w14:paraId="57B7B9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46C0CAE8">
            <w:pPr>
              <w:jc w:val="center"/>
              <w:rPr>
                <w:sz w:val="21"/>
                <w:szCs w:val="21"/>
              </w:rPr>
            </w:pPr>
          </w:p>
        </w:tc>
        <w:tc>
          <w:tcPr>
            <w:tcW w:w="1333" w:type="pct"/>
            <w:vAlign w:val="center"/>
          </w:tcPr>
          <w:p w14:paraId="6D3507C3">
            <w:pPr>
              <w:jc w:val="center"/>
              <w:rPr>
                <w:sz w:val="21"/>
                <w:szCs w:val="21"/>
              </w:rPr>
            </w:pPr>
            <w:r>
              <w:rPr>
                <w:sz w:val="21"/>
                <w:szCs w:val="21"/>
              </w:rPr>
              <w:t>小家鼠</w:t>
            </w:r>
          </w:p>
        </w:tc>
        <w:tc>
          <w:tcPr>
            <w:tcW w:w="2785" w:type="pct"/>
            <w:vAlign w:val="center"/>
          </w:tcPr>
          <w:p w14:paraId="2677A9BF">
            <w:pPr>
              <w:jc w:val="center"/>
              <w:rPr>
                <w:i/>
                <w:sz w:val="21"/>
                <w:szCs w:val="21"/>
              </w:rPr>
            </w:pPr>
            <w:r>
              <w:rPr>
                <w:i/>
                <w:sz w:val="21"/>
                <w:szCs w:val="21"/>
              </w:rPr>
              <w:t>Mus musculus</w:t>
            </w:r>
          </w:p>
        </w:tc>
      </w:tr>
      <w:tr w14:paraId="3478CB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Align w:val="center"/>
          </w:tcPr>
          <w:p w14:paraId="3E4368E3">
            <w:pPr>
              <w:jc w:val="center"/>
              <w:rPr>
                <w:sz w:val="21"/>
                <w:szCs w:val="21"/>
              </w:rPr>
            </w:pPr>
            <w:r>
              <w:rPr>
                <w:rFonts w:hint="eastAsia"/>
                <w:sz w:val="21"/>
                <w:szCs w:val="21"/>
              </w:rPr>
              <w:t>两栖类</w:t>
            </w:r>
          </w:p>
        </w:tc>
        <w:tc>
          <w:tcPr>
            <w:tcW w:w="1333" w:type="pct"/>
            <w:vAlign w:val="center"/>
          </w:tcPr>
          <w:p w14:paraId="3B1BB0A5">
            <w:pPr>
              <w:jc w:val="center"/>
              <w:rPr>
                <w:sz w:val="21"/>
                <w:szCs w:val="21"/>
              </w:rPr>
            </w:pPr>
            <w:r>
              <w:rPr>
                <w:sz w:val="21"/>
                <w:szCs w:val="21"/>
              </w:rPr>
              <w:t>绿蟾蜍</w:t>
            </w:r>
          </w:p>
        </w:tc>
        <w:tc>
          <w:tcPr>
            <w:tcW w:w="2785" w:type="pct"/>
            <w:vAlign w:val="center"/>
          </w:tcPr>
          <w:p w14:paraId="30547E29">
            <w:pPr>
              <w:jc w:val="center"/>
              <w:rPr>
                <w:i/>
                <w:sz w:val="21"/>
                <w:szCs w:val="21"/>
              </w:rPr>
            </w:pPr>
            <w:r>
              <w:rPr>
                <w:i/>
                <w:sz w:val="21"/>
                <w:szCs w:val="21"/>
              </w:rPr>
              <w:t>Bufo viridis</w:t>
            </w:r>
          </w:p>
        </w:tc>
      </w:tr>
      <w:tr w14:paraId="505B3B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restart"/>
            <w:vAlign w:val="center"/>
          </w:tcPr>
          <w:p w14:paraId="1911A71C">
            <w:pPr>
              <w:jc w:val="center"/>
              <w:rPr>
                <w:sz w:val="21"/>
                <w:szCs w:val="21"/>
              </w:rPr>
            </w:pPr>
            <w:r>
              <w:rPr>
                <w:sz w:val="21"/>
                <w:szCs w:val="21"/>
              </w:rPr>
              <w:t>爬行类</w:t>
            </w:r>
          </w:p>
        </w:tc>
        <w:tc>
          <w:tcPr>
            <w:tcW w:w="1333" w:type="pct"/>
            <w:vAlign w:val="center"/>
          </w:tcPr>
          <w:p w14:paraId="55448F4C">
            <w:pPr>
              <w:jc w:val="center"/>
              <w:rPr>
                <w:sz w:val="21"/>
                <w:szCs w:val="21"/>
              </w:rPr>
            </w:pPr>
            <w:r>
              <w:rPr>
                <w:sz w:val="21"/>
                <w:szCs w:val="21"/>
              </w:rPr>
              <w:t>蜥蜴</w:t>
            </w:r>
          </w:p>
        </w:tc>
        <w:tc>
          <w:tcPr>
            <w:tcW w:w="2785" w:type="pct"/>
            <w:vAlign w:val="center"/>
          </w:tcPr>
          <w:p w14:paraId="423A444E">
            <w:pPr>
              <w:jc w:val="center"/>
              <w:rPr>
                <w:i/>
                <w:sz w:val="21"/>
                <w:szCs w:val="21"/>
              </w:rPr>
            </w:pPr>
            <w:r>
              <w:rPr>
                <w:i/>
                <w:sz w:val="21"/>
                <w:szCs w:val="21"/>
              </w:rPr>
              <w:t>Eremias multiocellata</w:t>
            </w:r>
          </w:p>
        </w:tc>
      </w:tr>
      <w:tr w14:paraId="7BD485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56FA1B31">
            <w:pPr>
              <w:jc w:val="center"/>
              <w:rPr>
                <w:sz w:val="21"/>
                <w:szCs w:val="21"/>
              </w:rPr>
            </w:pPr>
          </w:p>
        </w:tc>
        <w:tc>
          <w:tcPr>
            <w:tcW w:w="1333" w:type="pct"/>
            <w:vAlign w:val="center"/>
          </w:tcPr>
          <w:p w14:paraId="53F20B94">
            <w:pPr>
              <w:jc w:val="center"/>
              <w:rPr>
                <w:sz w:val="21"/>
                <w:szCs w:val="21"/>
              </w:rPr>
            </w:pPr>
            <w:r>
              <w:rPr>
                <w:rFonts w:hint="eastAsia"/>
                <w:sz w:val="21"/>
                <w:szCs w:val="21"/>
              </w:rPr>
              <w:t>蛇</w:t>
            </w:r>
          </w:p>
        </w:tc>
        <w:tc>
          <w:tcPr>
            <w:tcW w:w="2785" w:type="pct"/>
            <w:vAlign w:val="center"/>
          </w:tcPr>
          <w:p w14:paraId="07B3125F">
            <w:pPr>
              <w:jc w:val="center"/>
              <w:rPr>
                <w:i/>
                <w:sz w:val="21"/>
                <w:szCs w:val="21"/>
              </w:rPr>
            </w:pPr>
            <w:r>
              <w:rPr>
                <w:i/>
                <w:sz w:val="21"/>
                <w:szCs w:val="21"/>
              </w:rPr>
              <w:t>S</w:t>
            </w:r>
            <w:r>
              <w:rPr>
                <w:rFonts w:hint="eastAsia"/>
                <w:i/>
                <w:sz w:val="21"/>
                <w:szCs w:val="21"/>
              </w:rPr>
              <w:t>erpentes</w:t>
            </w:r>
          </w:p>
        </w:tc>
      </w:tr>
      <w:tr w14:paraId="1290C2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restart"/>
            <w:vAlign w:val="center"/>
          </w:tcPr>
          <w:p w14:paraId="23191C69">
            <w:pPr>
              <w:jc w:val="center"/>
              <w:rPr>
                <w:sz w:val="21"/>
                <w:szCs w:val="21"/>
              </w:rPr>
            </w:pPr>
            <w:r>
              <w:rPr>
                <w:sz w:val="21"/>
                <w:szCs w:val="21"/>
              </w:rPr>
              <w:t>鸟类</w:t>
            </w:r>
          </w:p>
        </w:tc>
        <w:tc>
          <w:tcPr>
            <w:tcW w:w="1333" w:type="pct"/>
            <w:vAlign w:val="center"/>
          </w:tcPr>
          <w:p w14:paraId="1563A49D">
            <w:pPr>
              <w:jc w:val="center"/>
              <w:rPr>
                <w:sz w:val="21"/>
                <w:szCs w:val="21"/>
              </w:rPr>
            </w:pPr>
            <w:r>
              <w:rPr>
                <w:sz w:val="21"/>
                <w:szCs w:val="21"/>
              </w:rPr>
              <w:t>麻雀</w:t>
            </w:r>
          </w:p>
        </w:tc>
        <w:tc>
          <w:tcPr>
            <w:tcW w:w="2785" w:type="pct"/>
            <w:vAlign w:val="center"/>
          </w:tcPr>
          <w:p w14:paraId="2AAEE4EB">
            <w:pPr>
              <w:jc w:val="center"/>
              <w:rPr>
                <w:i/>
                <w:sz w:val="21"/>
                <w:szCs w:val="21"/>
              </w:rPr>
            </w:pPr>
            <w:r>
              <w:rPr>
                <w:i/>
                <w:sz w:val="21"/>
                <w:szCs w:val="21"/>
              </w:rPr>
              <w:t>Passer ammodendri</w:t>
            </w:r>
          </w:p>
        </w:tc>
      </w:tr>
      <w:tr w14:paraId="70537D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56861609">
            <w:pPr>
              <w:jc w:val="center"/>
              <w:rPr>
                <w:sz w:val="21"/>
                <w:szCs w:val="21"/>
              </w:rPr>
            </w:pPr>
          </w:p>
        </w:tc>
        <w:tc>
          <w:tcPr>
            <w:tcW w:w="1333" w:type="pct"/>
            <w:vAlign w:val="center"/>
          </w:tcPr>
          <w:p w14:paraId="710848C9">
            <w:pPr>
              <w:jc w:val="center"/>
              <w:rPr>
                <w:sz w:val="21"/>
                <w:szCs w:val="21"/>
              </w:rPr>
            </w:pPr>
            <w:r>
              <w:rPr>
                <w:sz w:val="21"/>
                <w:szCs w:val="21"/>
              </w:rPr>
              <w:t>乌鸦</w:t>
            </w:r>
          </w:p>
        </w:tc>
        <w:tc>
          <w:tcPr>
            <w:tcW w:w="2785" w:type="pct"/>
            <w:vAlign w:val="center"/>
          </w:tcPr>
          <w:p w14:paraId="65DD27FA">
            <w:pPr>
              <w:jc w:val="center"/>
              <w:rPr>
                <w:i/>
                <w:sz w:val="21"/>
                <w:szCs w:val="21"/>
              </w:rPr>
            </w:pPr>
            <w:r>
              <w:rPr>
                <w:i/>
                <w:sz w:val="21"/>
                <w:szCs w:val="21"/>
              </w:rPr>
              <w:t>Corouscorone</w:t>
            </w:r>
          </w:p>
        </w:tc>
      </w:tr>
      <w:tr w14:paraId="087E47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4E00D0F6">
            <w:pPr>
              <w:jc w:val="center"/>
              <w:rPr>
                <w:sz w:val="21"/>
                <w:szCs w:val="21"/>
              </w:rPr>
            </w:pPr>
          </w:p>
        </w:tc>
        <w:tc>
          <w:tcPr>
            <w:tcW w:w="1333" w:type="pct"/>
            <w:vAlign w:val="center"/>
          </w:tcPr>
          <w:p w14:paraId="105D5718">
            <w:pPr>
              <w:jc w:val="center"/>
              <w:rPr>
                <w:sz w:val="21"/>
                <w:szCs w:val="21"/>
              </w:rPr>
            </w:pPr>
            <w:r>
              <w:rPr>
                <w:sz w:val="21"/>
                <w:szCs w:val="21"/>
              </w:rPr>
              <w:t>喜鹊</w:t>
            </w:r>
          </w:p>
        </w:tc>
        <w:tc>
          <w:tcPr>
            <w:tcW w:w="2785" w:type="pct"/>
            <w:vAlign w:val="center"/>
          </w:tcPr>
          <w:p w14:paraId="67E2F282">
            <w:pPr>
              <w:jc w:val="center"/>
              <w:rPr>
                <w:i/>
                <w:sz w:val="21"/>
                <w:szCs w:val="21"/>
              </w:rPr>
            </w:pPr>
            <w:r>
              <w:rPr>
                <w:i/>
                <w:sz w:val="21"/>
                <w:szCs w:val="21"/>
              </w:rPr>
              <w:t>Pica pica</w:t>
            </w:r>
          </w:p>
        </w:tc>
      </w:tr>
      <w:tr w14:paraId="36850D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6F82729F">
            <w:pPr>
              <w:jc w:val="center"/>
              <w:rPr>
                <w:sz w:val="21"/>
                <w:szCs w:val="21"/>
              </w:rPr>
            </w:pPr>
          </w:p>
        </w:tc>
        <w:tc>
          <w:tcPr>
            <w:tcW w:w="1333" w:type="pct"/>
            <w:vAlign w:val="center"/>
          </w:tcPr>
          <w:p w14:paraId="7A741E31">
            <w:pPr>
              <w:jc w:val="center"/>
              <w:rPr>
                <w:sz w:val="21"/>
                <w:szCs w:val="21"/>
              </w:rPr>
            </w:pPr>
            <w:r>
              <w:rPr>
                <w:rFonts w:hint="eastAsia"/>
                <w:sz w:val="21"/>
                <w:szCs w:val="21"/>
              </w:rPr>
              <w:t>斑鸠</w:t>
            </w:r>
          </w:p>
        </w:tc>
        <w:tc>
          <w:tcPr>
            <w:tcW w:w="2785" w:type="pct"/>
            <w:vAlign w:val="center"/>
          </w:tcPr>
          <w:p w14:paraId="53B7354F">
            <w:pPr>
              <w:jc w:val="center"/>
              <w:rPr>
                <w:i/>
                <w:sz w:val="21"/>
                <w:szCs w:val="21"/>
              </w:rPr>
            </w:pPr>
            <w:r>
              <w:rPr>
                <w:i/>
                <w:sz w:val="21"/>
                <w:szCs w:val="21"/>
              </w:rPr>
              <w:t>Streptopelia turtur</w:t>
            </w:r>
          </w:p>
        </w:tc>
      </w:tr>
      <w:tr w14:paraId="0D819E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2954DD37">
            <w:pPr>
              <w:jc w:val="center"/>
              <w:rPr>
                <w:sz w:val="21"/>
                <w:szCs w:val="21"/>
              </w:rPr>
            </w:pPr>
          </w:p>
        </w:tc>
        <w:tc>
          <w:tcPr>
            <w:tcW w:w="1333" w:type="pct"/>
            <w:vAlign w:val="center"/>
          </w:tcPr>
          <w:p w14:paraId="37B74BFE">
            <w:pPr>
              <w:jc w:val="center"/>
              <w:rPr>
                <w:sz w:val="21"/>
                <w:szCs w:val="21"/>
              </w:rPr>
            </w:pPr>
            <w:r>
              <w:rPr>
                <w:rFonts w:hint="eastAsia"/>
                <w:sz w:val="21"/>
                <w:szCs w:val="21"/>
              </w:rPr>
              <w:t>燕雀</w:t>
            </w:r>
          </w:p>
        </w:tc>
        <w:tc>
          <w:tcPr>
            <w:tcW w:w="2785" w:type="pct"/>
            <w:vAlign w:val="center"/>
          </w:tcPr>
          <w:p w14:paraId="0DEB0DEB">
            <w:pPr>
              <w:jc w:val="center"/>
              <w:rPr>
                <w:i/>
                <w:sz w:val="21"/>
                <w:szCs w:val="21"/>
              </w:rPr>
            </w:pPr>
            <w:r>
              <w:rPr>
                <w:i/>
                <w:sz w:val="21"/>
                <w:szCs w:val="21"/>
              </w:rPr>
              <w:t>Carpodacus rhodochlamys</w:t>
            </w:r>
          </w:p>
        </w:tc>
      </w:tr>
      <w:tr w14:paraId="17F771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409D1755">
            <w:pPr>
              <w:jc w:val="center"/>
              <w:rPr>
                <w:sz w:val="21"/>
                <w:szCs w:val="21"/>
              </w:rPr>
            </w:pPr>
          </w:p>
        </w:tc>
        <w:tc>
          <w:tcPr>
            <w:tcW w:w="1333" w:type="pct"/>
            <w:vAlign w:val="center"/>
          </w:tcPr>
          <w:p w14:paraId="6594F78F">
            <w:pPr>
              <w:jc w:val="center"/>
              <w:rPr>
                <w:sz w:val="21"/>
                <w:szCs w:val="21"/>
              </w:rPr>
            </w:pPr>
            <w:r>
              <w:rPr>
                <w:rFonts w:hint="eastAsia"/>
                <w:sz w:val="21"/>
                <w:szCs w:val="21"/>
              </w:rPr>
              <w:t>大白鹭</w:t>
            </w:r>
          </w:p>
        </w:tc>
        <w:tc>
          <w:tcPr>
            <w:tcW w:w="2785" w:type="pct"/>
            <w:vAlign w:val="center"/>
          </w:tcPr>
          <w:p w14:paraId="1EEA276E">
            <w:pPr>
              <w:jc w:val="center"/>
              <w:rPr>
                <w:i/>
                <w:sz w:val="21"/>
                <w:szCs w:val="21"/>
              </w:rPr>
            </w:pPr>
            <w:r>
              <w:rPr>
                <w:i/>
                <w:sz w:val="21"/>
                <w:szCs w:val="21"/>
              </w:rPr>
              <w:t>Ardea alba</w:t>
            </w:r>
          </w:p>
        </w:tc>
      </w:tr>
      <w:tr w14:paraId="50AEAF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82" w:type="pct"/>
            <w:vMerge w:val="continue"/>
            <w:vAlign w:val="center"/>
          </w:tcPr>
          <w:p w14:paraId="0AD62403">
            <w:pPr>
              <w:jc w:val="center"/>
              <w:rPr>
                <w:sz w:val="21"/>
                <w:szCs w:val="21"/>
              </w:rPr>
            </w:pPr>
          </w:p>
        </w:tc>
        <w:tc>
          <w:tcPr>
            <w:tcW w:w="1333" w:type="pct"/>
            <w:vAlign w:val="center"/>
          </w:tcPr>
          <w:p w14:paraId="54304CB3">
            <w:pPr>
              <w:jc w:val="center"/>
              <w:rPr>
                <w:sz w:val="21"/>
                <w:szCs w:val="21"/>
              </w:rPr>
            </w:pPr>
            <w:r>
              <w:rPr>
                <w:rFonts w:hint="eastAsia"/>
                <w:sz w:val="21"/>
                <w:szCs w:val="21"/>
              </w:rPr>
              <w:t>芦苇莺</w:t>
            </w:r>
          </w:p>
        </w:tc>
        <w:tc>
          <w:tcPr>
            <w:tcW w:w="2785" w:type="pct"/>
            <w:vAlign w:val="center"/>
          </w:tcPr>
          <w:p w14:paraId="5BFB3F0D">
            <w:pPr>
              <w:jc w:val="center"/>
              <w:rPr>
                <w:i/>
                <w:sz w:val="21"/>
                <w:szCs w:val="21"/>
              </w:rPr>
            </w:pPr>
            <w:r>
              <w:rPr>
                <w:i/>
                <w:sz w:val="21"/>
                <w:szCs w:val="21"/>
              </w:rPr>
              <w:t>Acrocephalus scirpaceus</w:t>
            </w:r>
          </w:p>
        </w:tc>
      </w:tr>
    </w:tbl>
    <w:p w14:paraId="58867980">
      <w:pPr>
        <w:pStyle w:val="2536"/>
        <w:ind w:firstLine="480"/>
        <w:rPr>
          <w:kern w:val="2"/>
        </w:rPr>
      </w:pPr>
    </w:p>
    <w:p w14:paraId="39F00D60">
      <w:pPr>
        <w:pStyle w:val="4"/>
        <w:adjustRightInd w:val="0"/>
        <w:snapToGrid w:val="0"/>
        <w:spacing w:before="156" w:after="156" w:line="240" w:lineRule="auto"/>
        <w:rPr>
          <w:rFonts w:ascii="Times New Roman" w:hAnsi="Times New Roman" w:cs="Times New Roman"/>
          <w:sz w:val="30"/>
          <w:szCs w:val="30"/>
        </w:rPr>
      </w:pPr>
      <w:r>
        <w:rPr>
          <w:rFonts w:ascii="Times New Roman" w:hAnsi="Times New Roman" w:cs="Times New Roman"/>
          <w:sz w:val="30"/>
          <w:szCs w:val="30"/>
        </w:rPr>
        <w:t>4.2.</w:t>
      </w:r>
      <w:r>
        <w:rPr>
          <w:rFonts w:hint="eastAsia" w:ascii="Times New Roman" w:hAnsi="Times New Roman" w:cs="Times New Roman"/>
          <w:sz w:val="30"/>
          <w:szCs w:val="30"/>
        </w:rPr>
        <w:t>2</w:t>
      </w:r>
      <w:r>
        <w:rPr>
          <w:rFonts w:ascii="Times New Roman" w:hAnsi="Times New Roman" w:cs="Times New Roman"/>
          <w:sz w:val="30"/>
          <w:szCs w:val="30"/>
        </w:rPr>
        <w:t>水生</w:t>
      </w:r>
      <w:r>
        <w:rPr>
          <w:rFonts w:hint="eastAsia" w:ascii="Times New Roman" w:hAnsi="Times New Roman" w:cs="Times New Roman"/>
          <w:sz w:val="30"/>
          <w:szCs w:val="30"/>
        </w:rPr>
        <w:t>生态</w:t>
      </w:r>
      <w:r>
        <w:rPr>
          <w:rFonts w:ascii="Times New Roman" w:hAnsi="Times New Roman" w:cs="Times New Roman"/>
          <w:sz w:val="30"/>
          <w:szCs w:val="30"/>
        </w:rPr>
        <w:t>现状调查与评价</w:t>
      </w:r>
    </w:p>
    <w:p w14:paraId="493DE89A">
      <w:pPr>
        <w:spacing w:line="360" w:lineRule="auto"/>
        <w:ind w:firstLine="480" w:firstLineChars="200"/>
        <w:jc w:val="both"/>
      </w:pPr>
      <w:r>
        <w:rPr>
          <w:rFonts w:hint="eastAsia"/>
        </w:rPr>
        <w:t>为了解项目区水生生态现状内容，本环评收集了2</w:t>
      </w:r>
      <w:r>
        <w:t>024</w:t>
      </w:r>
      <w:r>
        <w:rPr>
          <w:rFonts w:hint="eastAsia"/>
        </w:rPr>
        <w:t>年3月1</w:t>
      </w:r>
      <w:r>
        <w:t>8</w:t>
      </w:r>
      <w:r>
        <w:rPr>
          <w:rFonts w:hint="eastAsia"/>
        </w:rPr>
        <w:t>日取得新疆维吾尔自治区生态环境厅《关于</w:t>
      </w:r>
      <w:r>
        <w:t>&lt;</w:t>
      </w:r>
      <w:r>
        <w:rPr>
          <w:rFonts w:hint="eastAsia"/>
        </w:rPr>
        <w:t>新疆喀什噶尔河流域综合规划环境影响报告书&gt;的审查意见》（新环审[</w:t>
      </w:r>
      <w:r>
        <w:t>2024]57</w:t>
      </w:r>
      <w:r>
        <w:rPr>
          <w:rFonts w:hint="eastAsia"/>
        </w:rPr>
        <w:t>号）中盖孜河水生生态现状资料。</w:t>
      </w:r>
    </w:p>
    <w:p w14:paraId="671135C8">
      <w:pPr>
        <w:pStyle w:val="5"/>
        <w:snapToGrid w:val="0"/>
        <w:spacing w:before="156" w:after="156" w:line="240" w:lineRule="auto"/>
        <w:rPr>
          <w:rFonts w:ascii="Times New Roman" w:hAnsi="Times New Roman" w:cs="Times New Roman"/>
          <w:i w:val="0"/>
        </w:rPr>
      </w:pPr>
      <w:r>
        <w:rPr>
          <w:rFonts w:hint="eastAsia" w:ascii="Times New Roman" w:hAnsi="Times New Roman" w:cs="Times New Roman"/>
          <w:i w:val="0"/>
        </w:rPr>
        <w:t>4.</w:t>
      </w:r>
      <w:r>
        <w:rPr>
          <w:rFonts w:ascii="Times New Roman" w:hAnsi="Times New Roman" w:cs="Times New Roman"/>
          <w:i w:val="0"/>
        </w:rPr>
        <w:t>2</w:t>
      </w:r>
      <w:r>
        <w:rPr>
          <w:rFonts w:hint="eastAsia" w:ascii="Times New Roman" w:hAnsi="Times New Roman" w:cs="Times New Roman"/>
          <w:i w:val="0"/>
        </w:rPr>
        <w:t>.2.1浮游植物现状调查与评价</w:t>
      </w:r>
    </w:p>
    <w:p w14:paraId="1A4931B2">
      <w:pPr>
        <w:spacing w:line="360" w:lineRule="auto"/>
        <w:ind w:firstLine="480" w:firstLineChars="200"/>
        <w:jc w:val="both"/>
      </w:pPr>
      <w:r>
        <w:t>盖孜河流域各</w:t>
      </w:r>
      <w:r>
        <w:rPr>
          <w:rFonts w:hint="eastAsia"/>
        </w:rPr>
        <w:t>调查</w:t>
      </w:r>
      <w:r>
        <w:t>断面共鉴定出浮游植物63种（属），硅藻门种类最多，为42种（属），占各调查断面总物种数的66.7%。其次为蓝藻门9种（属），占总种类数的14.3%，绿藻门7种（属），占11.1%，甲藻门和隐藻门均为1种（属），各占总物种数1.6%；金藻门3种（属），各占总物种数4.8%。各监测断面优势种（属）和常见种均为硅藻。</w:t>
      </w:r>
    </w:p>
    <w:p w14:paraId="05042CB2">
      <w:pPr>
        <w:spacing w:line="360" w:lineRule="auto"/>
        <w:ind w:firstLine="480" w:firstLineChars="200"/>
        <w:jc w:val="both"/>
      </w:pPr>
      <w:r>
        <w:t>盖孜河流域浮游植物密度变幅为2.38×10</w:t>
      </w:r>
      <w:r>
        <w:rPr>
          <w:vertAlign w:val="superscript"/>
        </w:rPr>
        <w:t>4</w:t>
      </w:r>
      <w:r>
        <w:t>～158.58×10</w:t>
      </w:r>
      <w:r>
        <w:rPr>
          <w:vertAlign w:val="superscript"/>
        </w:rPr>
        <w:t>4</w:t>
      </w:r>
      <w:r>
        <w:t>ind/L；生物量变幅为0.001～0.396mg/L之间。下游河段浮游植物高于上游河段。</w:t>
      </w:r>
    </w:p>
    <w:p w14:paraId="0C335088">
      <w:pPr>
        <w:pStyle w:val="5"/>
        <w:snapToGrid w:val="0"/>
        <w:spacing w:before="156" w:after="156" w:line="240" w:lineRule="auto"/>
        <w:rPr>
          <w:rFonts w:ascii="Times New Roman" w:hAnsi="Times New Roman" w:cs="Times New Roman"/>
          <w:i w:val="0"/>
        </w:rPr>
      </w:pPr>
      <w:r>
        <w:rPr>
          <w:rFonts w:hint="eastAsia" w:ascii="Times New Roman" w:hAnsi="Times New Roman" w:cs="Times New Roman"/>
          <w:i w:val="0"/>
        </w:rPr>
        <w:t>4.</w:t>
      </w:r>
      <w:r>
        <w:rPr>
          <w:rFonts w:ascii="Times New Roman" w:hAnsi="Times New Roman" w:cs="Times New Roman"/>
          <w:i w:val="0"/>
        </w:rPr>
        <w:t>2</w:t>
      </w:r>
      <w:r>
        <w:rPr>
          <w:rFonts w:hint="eastAsia" w:ascii="Times New Roman" w:hAnsi="Times New Roman" w:cs="Times New Roman"/>
          <w:i w:val="0"/>
        </w:rPr>
        <w:t>.2.2浮游动物现状</w:t>
      </w:r>
    </w:p>
    <w:p w14:paraId="27A516CC">
      <w:pPr>
        <w:adjustRightInd w:val="0"/>
        <w:snapToGrid w:val="0"/>
        <w:spacing w:line="360" w:lineRule="auto"/>
        <w:ind w:firstLine="480" w:firstLineChars="200"/>
        <w:jc w:val="both"/>
      </w:pPr>
      <w:r>
        <w:t>盖孜河流域各调查断面共鉴出浮游动物31种（属）。轮虫种类数最多，16种（属），占调查断面物种总数的51.6%；原生动物10种，占浮游动物总物种数的32.2%；枝角类3种（属），占浮游动物总物种数的9.7%；桡足类为2种（属），占浮游动物总物种数的6.5%。</w:t>
      </w:r>
    </w:p>
    <w:p w14:paraId="03685C17">
      <w:pPr>
        <w:adjustRightInd w:val="0"/>
        <w:snapToGrid w:val="0"/>
        <w:spacing w:line="360" w:lineRule="auto"/>
        <w:ind w:firstLine="480" w:firstLineChars="200"/>
        <w:jc w:val="both"/>
      </w:pPr>
      <w:r>
        <w:t>轮虫是盖孜河各断面主要的分布类群，常见和优势类群主要有龟甲轮虫和臂尾轮虫。枝角类仅在布仑口水库断面</w:t>
      </w:r>
      <w:r>
        <w:rPr>
          <w:rFonts w:hint="eastAsia"/>
        </w:rPr>
        <w:t>调查</w:t>
      </w:r>
      <w:r>
        <w:t>到，优势种类主要有长额象鼻溞。</w:t>
      </w:r>
    </w:p>
    <w:p w14:paraId="55A198E0">
      <w:pPr>
        <w:adjustRightInd w:val="0"/>
        <w:snapToGrid w:val="0"/>
        <w:spacing w:line="360" w:lineRule="auto"/>
        <w:ind w:firstLine="480" w:firstLineChars="200"/>
        <w:jc w:val="both"/>
      </w:pPr>
      <w:r>
        <w:t>盖孜河浮游动物密度变幅为6.2～163.4ind/L，平均密度为44.75ind/L，原生动物数量贡献率较高。生物量变幅为0.001～0.192mg/L之间，平均生物量为0.033mg/L。</w:t>
      </w:r>
    </w:p>
    <w:p w14:paraId="33729DE5">
      <w:pPr>
        <w:pStyle w:val="5"/>
        <w:snapToGrid w:val="0"/>
        <w:spacing w:before="156" w:after="156" w:line="240" w:lineRule="auto"/>
        <w:rPr>
          <w:rFonts w:ascii="Times New Roman" w:hAnsi="Times New Roman" w:cs="Times New Roman"/>
          <w:i w:val="0"/>
        </w:rPr>
      </w:pPr>
      <w:r>
        <w:rPr>
          <w:rFonts w:hint="eastAsia" w:ascii="Times New Roman" w:hAnsi="Times New Roman" w:cs="Times New Roman"/>
          <w:i w:val="0"/>
        </w:rPr>
        <w:t>4</w:t>
      </w:r>
      <w:r>
        <w:rPr>
          <w:rFonts w:ascii="Times New Roman" w:hAnsi="Times New Roman" w:cs="Times New Roman"/>
          <w:i w:val="0"/>
        </w:rPr>
        <w:t>.2.2.3水生维管束植物</w:t>
      </w:r>
    </w:p>
    <w:p w14:paraId="4F202FD5">
      <w:pPr>
        <w:autoSpaceDE w:val="0"/>
        <w:autoSpaceDN w:val="0"/>
        <w:adjustRightInd w:val="0"/>
        <w:snapToGrid w:val="0"/>
        <w:spacing w:line="360" w:lineRule="auto"/>
        <w:ind w:firstLine="480" w:firstLineChars="200"/>
        <w:jc w:val="both"/>
      </w:pPr>
      <w:r>
        <w:rPr>
          <w:rFonts w:hint="eastAsia"/>
        </w:rPr>
        <w:t>根据相关专题调查，盖孜河常年水温较低，河道落差大，水流急促，沿岸多陡壁岩石，不适宜水生植物生长，因此，在盖孜河主河道中没有水生植物生长。只是在上游水流较缓的小湖——恰克拉克湖等处有水生植物存在，种类较少，仅有4种，均为沉水植物。本项目附近无水生植物分布。</w:t>
      </w:r>
    </w:p>
    <w:p w14:paraId="20D7EFD3">
      <w:pPr>
        <w:pStyle w:val="5"/>
        <w:snapToGrid w:val="0"/>
        <w:spacing w:before="156" w:after="156" w:line="240" w:lineRule="auto"/>
        <w:rPr>
          <w:rFonts w:ascii="Times New Roman" w:hAnsi="Times New Roman" w:cs="Times New Roman"/>
          <w:i w:val="0"/>
        </w:rPr>
      </w:pPr>
      <w:r>
        <w:rPr>
          <w:rFonts w:hint="eastAsia" w:ascii="Times New Roman" w:hAnsi="Times New Roman" w:cs="Times New Roman"/>
          <w:i w:val="0"/>
        </w:rPr>
        <w:t>4</w:t>
      </w:r>
      <w:r>
        <w:rPr>
          <w:rFonts w:ascii="Times New Roman" w:hAnsi="Times New Roman" w:cs="Times New Roman"/>
          <w:i w:val="0"/>
        </w:rPr>
        <w:t>.2.2.4底栖动物</w:t>
      </w:r>
    </w:p>
    <w:p w14:paraId="17182548">
      <w:pPr>
        <w:snapToGrid w:val="0"/>
        <w:spacing w:line="360" w:lineRule="auto"/>
        <w:ind w:firstLine="480" w:firstLineChars="200"/>
        <w:jc w:val="both"/>
      </w:pPr>
      <w:r>
        <w:t>经鉴定盖孜河流域底栖动物共有2门3纲8目15科。水生昆虫13科，软体动物和甲壳类各一种。水生昆虫有毛翅目、蜻蜓目、蜉蝣目、双翅目4个目。毛翅目有2科，齿角石蛾科</w:t>
      </w:r>
      <w:r>
        <w:rPr>
          <w:i/>
          <w:iCs/>
        </w:rPr>
        <w:t>Odontoceridae</w:t>
      </w:r>
      <w:r>
        <w:t>和纹石蛾科</w:t>
      </w:r>
      <w:r>
        <w:rPr>
          <w:i/>
          <w:iCs/>
        </w:rPr>
        <w:t>Hydropsychidae</w:t>
      </w:r>
      <w:r>
        <w:t>；蜻蜓目有3科，春蜓科</w:t>
      </w:r>
      <w:r>
        <w:rPr>
          <w:i/>
          <w:iCs/>
        </w:rPr>
        <w:t>Gomphidae</w:t>
      </w:r>
      <w:r>
        <w:t>、蜻科</w:t>
      </w:r>
      <w:r>
        <w:rPr>
          <w:i/>
          <w:iCs/>
        </w:rPr>
        <w:t>Libellulidae</w:t>
      </w:r>
      <w:r>
        <w:t>和蜓科</w:t>
      </w:r>
      <w:r>
        <w:rPr>
          <w:i/>
          <w:iCs/>
        </w:rPr>
        <w:t>Aeshnidae</w:t>
      </w:r>
      <w:r>
        <w:t>；蜉蝣目有4科扁蜉科</w:t>
      </w:r>
      <w:r>
        <w:rPr>
          <w:i/>
          <w:iCs/>
        </w:rPr>
        <w:t>Heptageniida</w:t>
      </w:r>
      <w:r>
        <w:t>、细蜉科</w:t>
      </w:r>
      <w:r>
        <w:rPr>
          <w:i/>
          <w:iCs/>
        </w:rPr>
        <w:t>Caenidae</w:t>
      </w:r>
      <w:r>
        <w:t>、小蜉科</w:t>
      </w:r>
      <w:r>
        <w:rPr>
          <w:i/>
          <w:iCs/>
        </w:rPr>
        <w:t>Ephemerellidae</w:t>
      </w:r>
      <w:r>
        <w:t>、四节蜉科</w:t>
      </w:r>
      <w:r>
        <w:rPr>
          <w:i/>
          <w:iCs/>
        </w:rPr>
        <w:t>Baetidae</w:t>
      </w:r>
      <w:r>
        <w:t>；双翅目有4科。</w:t>
      </w:r>
    </w:p>
    <w:p w14:paraId="145AF468">
      <w:pPr>
        <w:pStyle w:val="5"/>
        <w:snapToGrid w:val="0"/>
        <w:spacing w:before="156" w:after="156" w:line="240" w:lineRule="auto"/>
        <w:rPr>
          <w:rFonts w:ascii="Times New Roman" w:hAnsi="Times New Roman" w:cs="Times New Roman"/>
          <w:i w:val="0"/>
        </w:rPr>
      </w:pPr>
      <w:r>
        <w:rPr>
          <w:rFonts w:hint="eastAsia" w:ascii="Times New Roman" w:hAnsi="Times New Roman" w:cs="Times New Roman"/>
          <w:i w:val="0"/>
        </w:rPr>
        <w:t>4.</w:t>
      </w:r>
      <w:r>
        <w:rPr>
          <w:rFonts w:ascii="Times New Roman" w:hAnsi="Times New Roman" w:cs="Times New Roman"/>
          <w:i w:val="0"/>
        </w:rPr>
        <w:t>2</w:t>
      </w:r>
      <w:r>
        <w:rPr>
          <w:rFonts w:hint="eastAsia" w:ascii="Times New Roman" w:hAnsi="Times New Roman" w:cs="Times New Roman"/>
          <w:i w:val="0"/>
        </w:rPr>
        <w:t>.2.</w:t>
      </w:r>
      <w:r>
        <w:rPr>
          <w:rFonts w:ascii="Times New Roman" w:hAnsi="Times New Roman" w:cs="Times New Roman"/>
          <w:i w:val="0"/>
        </w:rPr>
        <w:t>5</w:t>
      </w:r>
      <w:r>
        <w:rPr>
          <w:rFonts w:hint="eastAsia" w:ascii="Times New Roman" w:hAnsi="Times New Roman" w:cs="Times New Roman"/>
          <w:i w:val="0"/>
        </w:rPr>
        <w:t>鱼类</w:t>
      </w:r>
    </w:p>
    <w:p w14:paraId="005EE492">
      <w:pPr>
        <w:spacing w:line="360" w:lineRule="auto"/>
        <w:ind w:firstLine="480" w:firstLineChars="200"/>
        <w:jc w:val="both"/>
      </w:pPr>
      <w:r>
        <w:rPr>
          <w:rFonts w:hint="eastAsia"/>
        </w:rPr>
        <w:t>（1）鱼类分布</w:t>
      </w:r>
    </w:p>
    <w:p w14:paraId="53735DA6">
      <w:pPr>
        <w:spacing w:line="360" w:lineRule="auto"/>
        <w:ind w:firstLine="480" w:firstLineChars="200"/>
        <w:jc w:val="both"/>
      </w:pPr>
      <w:r>
        <w:t>根据现场调查并结合历史文献，盖孜河现有鱼类13种，其中土著鱼类8种，隶属1目2科3属，</w:t>
      </w:r>
      <w:r>
        <w:rPr>
          <w:rFonts w:hint="eastAsia"/>
        </w:rPr>
        <w:t>分别为塔里木裂腹鱼、宽口裂腹鱼、斑重唇鱼、厚唇裂腹鱼、长身高原鳅、叶尔羌高原鳅、斯氏高原鳅、未定种高原鳅；外来鱼种</w:t>
      </w:r>
      <w:r>
        <w:t>5</w:t>
      </w:r>
      <w:r>
        <w:rPr>
          <w:rFonts w:hint="eastAsia"/>
        </w:rPr>
        <w:t>种，分别为鲤、鲫、草鱼、麦穗鱼、虹鳟鱼。</w:t>
      </w:r>
    </w:p>
    <w:p w14:paraId="0BDC9462">
      <w:pPr>
        <w:spacing w:line="360" w:lineRule="auto"/>
        <w:ind w:firstLine="480" w:firstLineChars="200"/>
        <w:jc w:val="both"/>
      </w:pPr>
      <w:r>
        <w:t>盖孜河土著鱼类中长身高原鳅分布较为广泛，在主河道上中下游均有分布；斑重唇鱼栖息海拔较高，主要分布于盖孜水电站厂址以上河段、水库。盖孜河多数河段水流湍急、泥沙含量较大、水温较低，外来鱼类主要分布于塔什米力克渠首以下河段，鲫鱼在盖孜水电站厂址河段偶有分布。</w:t>
      </w:r>
    </w:p>
    <w:p w14:paraId="283524C2">
      <w:pPr>
        <w:spacing w:line="360" w:lineRule="auto"/>
        <w:ind w:firstLine="480" w:firstLineChars="200"/>
        <w:jc w:val="both"/>
      </w:pPr>
      <w:r>
        <w:t>从上游至下游，土著鱼类分河段分布情况如下：河源～布仑口水库土著鱼类主要为斑重唇鱼、长身高原鳅、斯氏高原鳅、未定种高原鳅；布仑口库区土著鱼类主要为塔里木裂腹鱼、宽口裂腹鱼、厚唇裂腹鱼、斑重唇鱼、长身高原鳅、斯氏高原鳅、未定种高原鳅；布仑口～塔什米力克渠首主要鱼类与布仑口库区相似；塔什米力克渠首以下河道水量较不稳定，河床常常裸露，土著鱼类很难常年分布，基本上为洪水带下的长身高原鳅、塔里木裂腹鱼、宽口裂腹鱼。</w:t>
      </w:r>
    </w:p>
    <w:p w14:paraId="19CFDFF3">
      <w:pPr>
        <w:spacing w:line="360" w:lineRule="auto"/>
        <w:ind w:firstLine="480" w:firstLineChars="200"/>
        <w:jc w:val="both"/>
      </w:pPr>
      <w:r>
        <w:rPr>
          <w:rFonts w:hint="eastAsia"/>
        </w:rPr>
        <w:t>鱼类种类组成情况具体见表4</w:t>
      </w:r>
      <w:r>
        <w:t>.2-6</w:t>
      </w:r>
      <w:r>
        <w:rPr>
          <w:rFonts w:hint="eastAsia"/>
        </w:rPr>
        <w:t>。</w:t>
      </w:r>
    </w:p>
    <w:p w14:paraId="56CF2CF7">
      <w:pPr>
        <w:jc w:val="center"/>
        <w:rPr>
          <w:rFonts w:eastAsia="黑体"/>
        </w:rPr>
      </w:pPr>
      <w:r>
        <w:rPr>
          <w:rFonts w:eastAsia="黑体"/>
        </w:rPr>
        <w:t>表4.2-6     主要保护鱼类</w:t>
      </w:r>
      <w:r>
        <w:rPr>
          <w:rFonts w:hint="eastAsia" w:eastAsia="黑体"/>
        </w:rPr>
        <w:t>种类、分布及</w:t>
      </w:r>
      <w:r>
        <w:rPr>
          <w:rFonts w:eastAsia="黑体"/>
        </w:rPr>
        <w:t>生态习性</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4"/>
        <w:gridCol w:w="710"/>
        <w:gridCol w:w="1842"/>
        <w:gridCol w:w="1559"/>
        <w:gridCol w:w="3743"/>
      </w:tblGrid>
      <w:tr w14:paraId="1F2B24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395" w:type="pct"/>
            <w:vAlign w:val="center"/>
          </w:tcPr>
          <w:p w14:paraId="64FCE8B4">
            <w:pPr>
              <w:topLinePunct/>
              <w:autoSpaceDE w:val="0"/>
              <w:autoSpaceDN w:val="0"/>
              <w:adjustRightInd w:val="0"/>
              <w:snapToGrid w:val="0"/>
              <w:rPr>
                <w:sz w:val="20"/>
                <w:szCs w:val="18"/>
              </w:rPr>
            </w:pPr>
            <w:r>
              <w:rPr>
                <w:sz w:val="20"/>
                <w:szCs w:val="18"/>
              </w:rPr>
              <w:t>鱼类名称</w:t>
            </w:r>
          </w:p>
        </w:tc>
        <w:tc>
          <w:tcPr>
            <w:tcW w:w="416" w:type="pct"/>
            <w:vAlign w:val="center"/>
          </w:tcPr>
          <w:p w14:paraId="55782D96">
            <w:pPr>
              <w:topLinePunct/>
              <w:autoSpaceDE w:val="0"/>
              <w:autoSpaceDN w:val="0"/>
              <w:adjustRightInd w:val="0"/>
              <w:snapToGrid w:val="0"/>
              <w:jc w:val="center"/>
              <w:rPr>
                <w:sz w:val="20"/>
                <w:szCs w:val="18"/>
              </w:rPr>
            </w:pPr>
            <w:r>
              <w:rPr>
                <w:rFonts w:hint="eastAsia"/>
                <w:sz w:val="20"/>
                <w:szCs w:val="18"/>
              </w:rPr>
              <w:t>保护级别</w:t>
            </w:r>
          </w:p>
        </w:tc>
        <w:tc>
          <w:tcPr>
            <w:tcW w:w="1080" w:type="pct"/>
            <w:vAlign w:val="center"/>
          </w:tcPr>
          <w:p w14:paraId="7E79B86B">
            <w:pPr>
              <w:topLinePunct/>
              <w:autoSpaceDE w:val="0"/>
              <w:autoSpaceDN w:val="0"/>
              <w:adjustRightInd w:val="0"/>
              <w:snapToGrid w:val="0"/>
              <w:jc w:val="center"/>
              <w:rPr>
                <w:sz w:val="20"/>
                <w:szCs w:val="18"/>
              </w:rPr>
            </w:pPr>
            <w:r>
              <w:rPr>
                <w:sz w:val="20"/>
                <w:szCs w:val="18"/>
              </w:rPr>
              <w:t>分布</w:t>
            </w:r>
            <w:r>
              <w:rPr>
                <w:rFonts w:hint="eastAsia"/>
                <w:sz w:val="20"/>
                <w:szCs w:val="18"/>
              </w:rPr>
              <w:t>范围</w:t>
            </w:r>
          </w:p>
        </w:tc>
        <w:tc>
          <w:tcPr>
            <w:tcW w:w="914" w:type="pct"/>
            <w:vAlign w:val="center"/>
          </w:tcPr>
          <w:p w14:paraId="1EA4D46A">
            <w:pPr>
              <w:topLinePunct/>
              <w:autoSpaceDE w:val="0"/>
              <w:autoSpaceDN w:val="0"/>
              <w:adjustRightInd w:val="0"/>
              <w:snapToGrid w:val="0"/>
              <w:jc w:val="center"/>
              <w:rPr>
                <w:sz w:val="20"/>
                <w:szCs w:val="18"/>
              </w:rPr>
            </w:pPr>
            <w:r>
              <w:rPr>
                <w:rFonts w:hint="eastAsia"/>
                <w:sz w:val="20"/>
                <w:szCs w:val="18"/>
              </w:rPr>
              <w:t>资源及保护</w:t>
            </w:r>
          </w:p>
        </w:tc>
        <w:tc>
          <w:tcPr>
            <w:tcW w:w="2194" w:type="pct"/>
            <w:vAlign w:val="center"/>
          </w:tcPr>
          <w:p w14:paraId="34759D95">
            <w:pPr>
              <w:topLinePunct/>
              <w:autoSpaceDE w:val="0"/>
              <w:autoSpaceDN w:val="0"/>
              <w:adjustRightInd w:val="0"/>
              <w:snapToGrid w:val="0"/>
              <w:jc w:val="center"/>
              <w:rPr>
                <w:sz w:val="20"/>
                <w:szCs w:val="18"/>
              </w:rPr>
            </w:pPr>
            <w:r>
              <w:rPr>
                <w:rFonts w:hint="eastAsia"/>
                <w:sz w:val="20"/>
                <w:szCs w:val="18"/>
              </w:rPr>
              <w:t>生态习性</w:t>
            </w:r>
          </w:p>
        </w:tc>
      </w:tr>
      <w:tr w14:paraId="5F0AFF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5" w:type="pct"/>
            <w:vAlign w:val="center"/>
          </w:tcPr>
          <w:p w14:paraId="55115A7C">
            <w:pPr>
              <w:topLinePunct/>
              <w:autoSpaceDE w:val="0"/>
              <w:autoSpaceDN w:val="0"/>
              <w:adjustRightInd w:val="0"/>
              <w:snapToGrid w:val="0"/>
              <w:jc w:val="both"/>
              <w:rPr>
                <w:sz w:val="20"/>
                <w:szCs w:val="18"/>
              </w:rPr>
            </w:pPr>
            <w:r>
              <w:rPr>
                <w:sz w:val="20"/>
                <w:szCs w:val="18"/>
              </w:rPr>
              <w:t>塔里木裂腹鱼</w:t>
            </w:r>
          </w:p>
        </w:tc>
        <w:tc>
          <w:tcPr>
            <w:tcW w:w="416" w:type="pct"/>
            <w:vAlign w:val="center"/>
          </w:tcPr>
          <w:p w14:paraId="15C92742">
            <w:pPr>
              <w:topLinePunct/>
              <w:autoSpaceDE w:val="0"/>
              <w:autoSpaceDN w:val="0"/>
              <w:adjustRightInd w:val="0"/>
              <w:snapToGrid w:val="0"/>
              <w:jc w:val="both"/>
              <w:rPr>
                <w:sz w:val="20"/>
                <w:szCs w:val="18"/>
              </w:rPr>
            </w:pPr>
            <w:r>
              <w:rPr>
                <w:rFonts w:hint="eastAsia"/>
                <w:sz w:val="20"/>
                <w:szCs w:val="18"/>
              </w:rPr>
              <w:t>国家二级</w:t>
            </w:r>
          </w:p>
        </w:tc>
        <w:tc>
          <w:tcPr>
            <w:tcW w:w="1080" w:type="pct"/>
            <w:vAlign w:val="center"/>
          </w:tcPr>
          <w:p w14:paraId="60F3CB24">
            <w:pPr>
              <w:autoSpaceDE w:val="0"/>
              <w:autoSpaceDN w:val="0"/>
              <w:adjustRightInd w:val="0"/>
              <w:jc w:val="both"/>
              <w:rPr>
                <w:sz w:val="20"/>
                <w:szCs w:val="18"/>
              </w:rPr>
            </w:pPr>
            <w:r>
              <w:rPr>
                <w:sz w:val="20"/>
                <w:szCs w:val="18"/>
              </w:rPr>
              <w:t>塔里木河流域各支流和干流。从海拔高程1000m至3000m以上均有分布。在喀什噶尔河流域分布广泛，出现率较高。</w:t>
            </w:r>
            <w:r>
              <w:rPr>
                <w:rFonts w:hint="eastAsia"/>
                <w:sz w:val="20"/>
                <w:szCs w:val="18"/>
              </w:rPr>
              <w:t>项目区分布数量较少且位于上游。</w:t>
            </w:r>
          </w:p>
        </w:tc>
        <w:tc>
          <w:tcPr>
            <w:tcW w:w="914" w:type="pct"/>
            <w:vAlign w:val="center"/>
          </w:tcPr>
          <w:p w14:paraId="03C51ED1">
            <w:pPr>
              <w:topLinePunct/>
              <w:autoSpaceDE w:val="0"/>
              <w:autoSpaceDN w:val="0"/>
              <w:adjustRightInd w:val="0"/>
              <w:snapToGrid w:val="0"/>
              <w:jc w:val="both"/>
              <w:rPr>
                <w:sz w:val="20"/>
                <w:szCs w:val="18"/>
              </w:rPr>
            </w:pPr>
            <w:r>
              <w:rPr>
                <w:rFonts w:hint="eastAsia"/>
                <w:sz w:val="20"/>
                <w:szCs w:val="18"/>
              </w:rPr>
              <w:t>仅在塔里木河各主要支流有分布。2003年至今，开展了该鱼的人工繁殖技术研究工作并获得成功。</w:t>
            </w:r>
          </w:p>
        </w:tc>
        <w:tc>
          <w:tcPr>
            <w:tcW w:w="2194" w:type="pct"/>
            <w:vAlign w:val="center"/>
          </w:tcPr>
          <w:p w14:paraId="3C3BD945">
            <w:pPr>
              <w:topLinePunct/>
              <w:autoSpaceDE w:val="0"/>
              <w:autoSpaceDN w:val="0"/>
              <w:adjustRightInd w:val="0"/>
              <w:snapToGrid w:val="0"/>
              <w:jc w:val="both"/>
              <w:rPr>
                <w:sz w:val="20"/>
                <w:szCs w:val="18"/>
              </w:rPr>
            </w:pPr>
            <w:r>
              <w:rPr>
                <w:sz w:val="20"/>
                <w:szCs w:val="18"/>
              </w:rPr>
              <w:t>体形：河流内个体体长一般在100～400mm之间。食性：主要以水生昆虫的幼虫为食，偶尔兼食水生植物的种子和腐屑。水生植物以金鱼藻、眼子菜和芦苇为主，低等藻类以硅藻为主；动物性食物以水生昆虫、枝角类、桡足类和轮虫为主。繁殖：为短距离生殖洄游性鱼类，河道水温升高和水位上涨是该鱼生殖产卵的信号。繁殖时间多集中在4月～5月，繁殖水温在12</w:t>
            </w:r>
            <w:r>
              <w:rPr>
                <w:rFonts w:hint="eastAsia"/>
                <w:sz w:val="20"/>
                <w:szCs w:val="18"/>
              </w:rPr>
              <w:t>℃</w:t>
            </w:r>
            <w:r>
              <w:rPr>
                <w:sz w:val="20"/>
                <w:szCs w:val="18"/>
              </w:rPr>
              <w:t>以上，一般选择在有石砾地质、流速小于1.0m/s、水深小于1.5m、水质相对清澈的地带产卵繁殖。越冬：中下游深水河道、深水潭、洄水湾等处是其越冬的主要场所。</w:t>
            </w:r>
          </w:p>
        </w:tc>
      </w:tr>
      <w:tr w14:paraId="062DCE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5" w:type="pct"/>
            <w:vAlign w:val="center"/>
          </w:tcPr>
          <w:p w14:paraId="43F45234">
            <w:pPr>
              <w:topLinePunct/>
              <w:autoSpaceDE w:val="0"/>
              <w:autoSpaceDN w:val="0"/>
              <w:adjustRightInd w:val="0"/>
              <w:snapToGrid w:val="0"/>
              <w:rPr>
                <w:sz w:val="20"/>
                <w:szCs w:val="18"/>
              </w:rPr>
            </w:pPr>
            <w:r>
              <w:rPr>
                <w:sz w:val="20"/>
                <w:szCs w:val="18"/>
              </w:rPr>
              <w:t>宽口裂腹鱼</w:t>
            </w:r>
          </w:p>
        </w:tc>
        <w:tc>
          <w:tcPr>
            <w:tcW w:w="416" w:type="pct"/>
            <w:vAlign w:val="center"/>
          </w:tcPr>
          <w:p w14:paraId="0F027B8C">
            <w:pPr>
              <w:topLinePunct/>
              <w:autoSpaceDE w:val="0"/>
              <w:autoSpaceDN w:val="0"/>
              <w:adjustRightInd w:val="0"/>
              <w:snapToGrid w:val="0"/>
              <w:rPr>
                <w:sz w:val="20"/>
                <w:szCs w:val="18"/>
              </w:rPr>
            </w:pPr>
            <w:r>
              <w:rPr>
                <w:sz w:val="20"/>
                <w:szCs w:val="18"/>
              </w:rPr>
              <w:t>自治区</w:t>
            </w:r>
            <w:r>
              <w:rPr>
                <w:rFonts w:hint="eastAsia"/>
                <w:sz w:val="20"/>
                <w:szCs w:val="18"/>
              </w:rPr>
              <w:t>Ⅱ</w:t>
            </w:r>
            <w:r>
              <w:rPr>
                <w:sz w:val="20"/>
                <w:szCs w:val="18"/>
              </w:rPr>
              <w:t>级</w:t>
            </w:r>
          </w:p>
        </w:tc>
        <w:tc>
          <w:tcPr>
            <w:tcW w:w="1080" w:type="pct"/>
            <w:vAlign w:val="center"/>
          </w:tcPr>
          <w:p w14:paraId="6D4A577D">
            <w:pPr>
              <w:autoSpaceDE w:val="0"/>
              <w:autoSpaceDN w:val="0"/>
              <w:adjustRightInd w:val="0"/>
              <w:jc w:val="both"/>
              <w:rPr>
                <w:sz w:val="20"/>
                <w:szCs w:val="18"/>
              </w:rPr>
            </w:pPr>
            <w:r>
              <w:rPr>
                <w:sz w:val="20"/>
                <w:szCs w:val="18"/>
              </w:rPr>
              <w:t>分布特征类似塔里木裂腹鱼。在喀什噶尔河流域调查河段分布广泛，出现率较低。</w:t>
            </w:r>
            <w:r>
              <w:rPr>
                <w:rFonts w:hint="eastAsia"/>
                <w:sz w:val="20"/>
                <w:szCs w:val="18"/>
              </w:rPr>
              <w:t>项目区分布数量较少且位于上游。</w:t>
            </w:r>
          </w:p>
        </w:tc>
        <w:tc>
          <w:tcPr>
            <w:tcW w:w="914" w:type="pct"/>
            <w:vAlign w:val="center"/>
          </w:tcPr>
          <w:p w14:paraId="580B4800">
            <w:pPr>
              <w:topLinePunct/>
              <w:autoSpaceDE w:val="0"/>
              <w:autoSpaceDN w:val="0"/>
              <w:adjustRightInd w:val="0"/>
              <w:snapToGrid w:val="0"/>
              <w:jc w:val="both"/>
              <w:rPr>
                <w:sz w:val="20"/>
                <w:szCs w:val="18"/>
              </w:rPr>
            </w:pPr>
            <w:r>
              <w:rPr>
                <w:rFonts w:hint="eastAsia"/>
                <w:sz w:val="20"/>
                <w:szCs w:val="18"/>
              </w:rPr>
              <w:t>分布于塔里木河各支流和干流。目前该鱼已经突破人工繁殖，已在克孜河、叶尔羌河开展了增殖放流。</w:t>
            </w:r>
          </w:p>
        </w:tc>
        <w:tc>
          <w:tcPr>
            <w:tcW w:w="2194" w:type="pct"/>
            <w:vAlign w:val="center"/>
          </w:tcPr>
          <w:p w14:paraId="43D60FED">
            <w:pPr>
              <w:topLinePunct/>
              <w:autoSpaceDE w:val="0"/>
              <w:autoSpaceDN w:val="0"/>
              <w:adjustRightInd w:val="0"/>
              <w:snapToGrid w:val="0"/>
              <w:jc w:val="both"/>
              <w:rPr>
                <w:sz w:val="20"/>
                <w:szCs w:val="18"/>
              </w:rPr>
            </w:pPr>
            <w:r>
              <w:rPr>
                <w:sz w:val="20"/>
                <w:szCs w:val="18"/>
              </w:rPr>
              <w:t>体形：体长形，稍侧扁；头圆锥形，体长在80</w:t>
            </w:r>
            <w:r>
              <w:rPr>
                <w:rFonts w:hint="eastAsia"/>
                <w:sz w:val="20"/>
                <w:szCs w:val="18"/>
              </w:rPr>
              <w:t>～</w:t>
            </w:r>
            <w:r>
              <w:rPr>
                <w:sz w:val="20"/>
                <w:szCs w:val="18"/>
              </w:rPr>
              <w:t>250mm之间。栖息：常栖息于高原山地，流水较急的河流深处，河床多以砂石、卵石为底；食性：以水生昆虫和底栖硅藻为主要食物；繁殖：每年5～7月为其主要繁殖季节。</w:t>
            </w:r>
          </w:p>
        </w:tc>
      </w:tr>
    </w:tbl>
    <w:p w14:paraId="26567D21">
      <w:pPr>
        <w:autoSpaceDE w:val="0"/>
        <w:autoSpaceDN w:val="0"/>
        <w:adjustRightInd w:val="0"/>
        <w:spacing w:line="360" w:lineRule="auto"/>
        <w:ind w:firstLine="480" w:firstLineChars="200"/>
        <w:jc w:val="both"/>
      </w:pPr>
      <w:r>
        <w:rPr>
          <w:rFonts w:hint="eastAsia"/>
        </w:rPr>
        <w:t>根据调查，遇洪水季节，项目区河段涉及鱼类主要有</w:t>
      </w:r>
      <w:r>
        <w:t>长身高原鳅、塔里木裂腹鱼、宽口裂腹鱼</w:t>
      </w:r>
      <w:r>
        <w:rPr>
          <w:rFonts w:hint="eastAsia"/>
        </w:rPr>
        <w:t>，</w:t>
      </w:r>
      <w:r>
        <w:t>基本上为洪水带下的</w:t>
      </w:r>
      <w:r>
        <w:rPr>
          <w:rFonts w:hint="eastAsia"/>
        </w:rPr>
        <w:t>，</w:t>
      </w:r>
      <w:r>
        <w:t>塔里木裂腹鱼</w:t>
      </w:r>
      <w:r>
        <w:rPr>
          <w:rFonts w:hint="eastAsia"/>
        </w:rPr>
        <w:t>为国家二级重点保护野生动物，</w:t>
      </w:r>
      <w:r>
        <w:t>宽口裂腹鱼</w:t>
      </w:r>
      <w:r>
        <w:rPr>
          <w:rFonts w:hint="eastAsia"/>
        </w:rPr>
        <w:t>为新疆维吾尔自治区重点保护野生动物。本项目跨越盖孜河，桥梁涉及河段仅有极少量鱼类，也未发现鱼类重要生境。</w:t>
      </w:r>
    </w:p>
    <w:p w14:paraId="5F0B22EB">
      <w:pPr>
        <w:spacing w:line="360" w:lineRule="auto"/>
        <w:ind w:firstLine="480" w:firstLineChars="200"/>
        <w:jc w:val="both"/>
      </w:pPr>
      <w:r>
        <w:t>（2）鱼类“三场”分布</w:t>
      </w:r>
    </w:p>
    <w:p w14:paraId="49477999">
      <w:pPr>
        <w:spacing w:line="360" w:lineRule="auto"/>
        <w:ind w:firstLine="480" w:firstLineChars="200"/>
        <w:jc w:val="both"/>
      </w:pPr>
      <w:r>
        <w:rPr>
          <w:rFonts w:hint="eastAsia"/>
        </w:rPr>
        <w:t>产卵场、索饵场、越冬场是鱼类活动的主要场所，“三场”调查对掌握鱼类的活动规律，促进渔业生产的有效进行，鱼类资源的合理利用和保护措施的研究具有重要意义。</w:t>
      </w:r>
    </w:p>
    <w:p w14:paraId="5610AF75">
      <w:pPr>
        <w:widowControl w:val="0"/>
        <w:numPr>
          <w:ilvl w:val="0"/>
          <w:numId w:val="12"/>
        </w:numPr>
        <w:spacing w:line="360" w:lineRule="auto"/>
        <w:jc w:val="both"/>
      </w:pPr>
      <w:r>
        <w:t>产卵场</w:t>
      </w:r>
    </w:p>
    <w:p w14:paraId="59280347">
      <w:pPr>
        <w:spacing w:line="360" w:lineRule="auto"/>
        <w:ind w:firstLine="480" w:firstLineChars="200"/>
        <w:jc w:val="both"/>
      </w:pPr>
      <w:r>
        <w:t>盖孜河已建布仑口水库与电站，公格尔水电站，受大坝阻隔、电站灌区引水的影响，河道水量减少，土著鱼类产卵场面积有所减少，尤其是引水式电站减水河段，产卵场面积萎缩严重甚至消失。鱼类产卵场主要分布在木孜苏至布仑口水库库尾、奥依塔克河段。</w:t>
      </w:r>
      <w:r>
        <w:rPr>
          <w:rFonts w:hint="eastAsia"/>
        </w:rPr>
        <w:t>项目区河段无鱼类产卵场。</w:t>
      </w:r>
    </w:p>
    <w:p w14:paraId="6F12AA95">
      <w:pPr>
        <w:widowControl w:val="0"/>
        <w:numPr>
          <w:ilvl w:val="0"/>
          <w:numId w:val="12"/>
        </w:numPr>
        <w:spacing w:line="360" w:lineRule="auto"/>
        <w:jc w:val="both"/>
      </w:pPr>
      <w:r>
        <w:t>索饵场</w:t>
      </w:r>
    </w:p>
    <w:p w14:paraId="3A2716A2">
      <w:pPr>
        <w:spacing w:line="360" w:lineRule="auto"/>
        <w:ind w:firstLine="480" w:firstLineChars="200"/>
        <w:jc w:val="both"/>
      </w:pPr>
      <w:r>
        <w:t>调查河段土著鱼类多以浮游生物、底栖藻类和有机碎屑为主要食物，浅水区光照条件好，砾石底质适宜着生藻类生长，往往是鱼类索饵场所。每年春季后，随水温升高，来水量逐渐增大，鱼类开始“上滩”索饵。裂腹鱼等多在水浅流急的砾石滩索饵，而分布广泛的高原鳅则栖息于缓流河段的石砾缝隙或水草丛中，以底栖的昆虫幼虫为食。</w:t>
      </w:r>
      <w:r>
        <w:rPr>
          <w:rFonts w:hint="eastAsia"/>
        </w:rPr>
        <w:t>项目区河段无鱼类</w:t>
      </w:r>
      <w:r>
        <w:t>索饵</w:t>
      </w:r>
      <w:r>
        <w:rPr>
          <w:rFonts w:hint="eastAsia"/>
        </w:rPr>
        <w:t>场。</w:t>
      </w:r>
    </w:p>
    <w:p w14:paraId="089C0C1D">
      <w:pPr>
        <w:widowControl w:val="0"/>
        <w:numPr>
          <w:ilvl w:val="0"/>
          <w:numId w:val="12"/>
        </w:numPr>
        <w:spacing w:line="360" w:lineRule="auto"/>
        <w:jc w:val="both"/>
      </w:pPr>
      <w:r>
        <w:t>越冬场</w:t>
      </w:r>
    </w:p>
    <w:p w14:paraId="65895E0B">
      <w:pPr>
        <w:spacing w:line="360" w:lineRule="auto"/>
        <w:ind w:firstLine="480" w:firstLineChars="200"/>
        <w:jc w:val="both"/>
      </w:pPr>
      <w:r>
        <w:t>调查水域土著鱼类主要由裂腹鱼和高原鳅组成，均为典型的冷水性种类，长期的生态适应和演化，使其具有抵御极低温水环境的能力，能在低温环境中顺利越冬。裂腹鱼类在枯水期水量小、水位低的情况下，进入缓流的深水河槽或深潭中越冬，这些水域多为岩石、砾石、沙砾底质，冬季水体透明度高，着生藻类等底栖生物较为丰富，为其提供了适宜的越冬场所。冬季水温下降，水量减小，鱼类从小型支流、支沟和河流上游降河洄游至深水区越冬。</w:t>
      </w:r>
    </w:p>
    <w:p w14:paraId="61E9BDF6">
      <w:pPr>
        <w:spacing w:line="360" w:lineRule="auto"/>
        <w:ind w:firstLine="480" w:firstLineChars="200"/>
        <w:jc w:val="both"/>
      </w:pPr>
      <w:r>
        <w:rPr>
          <w:rFonts w:hint="eastAsia"/>
        </w:rPr>
        <w:t>项目区河段无鱼类</w:t>
      </w:r>
      <w:r>
        <w:t>越冬场。</w:t>
      </w:r>
    </w:p>
    <w:p w14:paraId="5F296AC5">
      <w:pPr>
        <w:spacing w:line="360" w:lineRule="auto"/>
        <w:ind w:firstLine="480" w:firstLineChars="200"/>
        <w:jc w:val="both"/>
      </w:pPr>
      <w:r>
        <w:t>（2）</w:t>
      </w:r>
      <w:r>
        <w:rPr>
          <w:rFonts w:hint="eastAsia"/>
        </w:rPr>
        <w:t>鱼类“洄游通道”</w:t>
      </w:r>
    </w:p>
    <w:p w14:paraId="52F1F0B1">
      <w:pPr>
        <w:spacing w:line="360" w:lineRule="auto"/>
        <w:ind w:firstLine="480" w:firstLineChars="200"/>
        <w:jc w:val="both"/>
      </w:pPr>
      <w:r>
        <w:rPr>
          <w:rFonts w:hint="eastAsia"/>
        </w:rPr>
        <w:t>本工程评价区及周边区域范围内，鱼类分布数量较少，调查范围内没有河流入海口，无洄游通道。</w:t>
      </w:r>
    </w:p>
    <w:p w14:paraId="26AB8A13">
      <w:pPr>
        <w:pStyle w:val="4"/>
        <w:adjustRightInd w:val="0"/>
        <w:snapToGrid w:val="0"/>
        <w:spacing w:before="156" w:after="156" w:line="240" w:lineRule="auto"/>
        <w:rPr>
          <w:rFonts w:ascii="Times New Roman" w:hAnsi="Times New Roman" w:cs="Times New Roman"/>
          <w:sz w:val="30"/>
          <w:szCs w:val="30"/>
        </w:rPr>
      </w:pPr>
      <w:r>
        <w:rPr>
          <w:rFonts w:ascii="Times New Roman" w:hAnsi="Times New Roman" w:cs="Times New Roman"/>
          <w:sz w:val="30"/>
          <w:szCs w:val="30"/>
        </w:rPr>
        <w:t>4.2.3</w:t>
      </w:r>
      <w:r>
        <w:rPr>
          <w:rFonts w:hint="eastAsia" w:ascii="Times New Roman" w:hAnsi="Times New Roman" w:cs="Times New Roman"/>
          <w:sz w:val="30"/>
          <w:szCs w:val="30"/>
        </w:rPr>
        <w:t>土壤现状调查与评价</w:t>
      </w:r>
    </w:p>
    <w:p w14:paraId="1DDCB13A">
      <w:pPr>
        <w:pStyle w:val="725"/>
        <w:jc w:val="both"/>
        <w:rPr>
          <w:rFonts w:cs="Times New Roman"/>
          <w:color w:val="FF0000"/>
        </w:rPr>
      </w:pPr>
      <w:r>
        <w:rPr>
          <w:rFonts w:hint="eastAsia" w:cs="Times New Roman"/>
        </w:rPr>
        <w:t>项目区土壤类型主要有褐土、石灰性草甸土、盐化草甸土、</w:t>
      </w:r>
      <w:r>
        <w:rPr>
          <w:rFonts w:cs="Times New Roman"/>
        </w:rPr>
        <w:t>棕漠土等。草甸土主要分布在公路沿线的林地上，灌耕棕漠土主要分布在公路沿线</w:t>
      </w:r>
      <w:r>
        <w:rPr>
          <w:rFonts w:hint="eastAsia" w:cs="Times New Roman"/>
        </w:rPr>
        <w:t>区域</w:t>
      </w:r>
      <w:r>
        <w:rPr>
          <w:rFonts w:cs="Times New Roman"/>
        </w:rPr>
        <w:t>的耕地上。</w:t>
      </w:r>
      <w:r>
        <w:rPr>
          <w:rFonts w:cs="Times New Roman"/>
          <w:color w:val="FF0000"/>
        </w:rPr>
        <w:t>项目区土壤类型图见图</w:t>
      </w:r>
      <w:r>
        <w:rPr>
          <w:rFonts w:hint="eastAsia" w:cs="Times New Roman"/>
          <w:color w:val="FF0000"/>
        </w:rPr>
        <w:t>4</w:t>
      </w:r>
      <w:r>
        <w:rPr>
          <w:rFonts w:cs="Times New Roman"/>
          <w:color w:val="FF0000"/>
        </w:rPr>
        <w:t>.2-1。</w:t>
      </w:r>
    </w:p>
    <w:p w14:paraId="3687CBFF">
      <w:pPr>
        <w:pStyle w:val="4"/>
        <w:adjustRightInd w:val="0"/>
        <w:snapToGrid w:val="0"/>
        <w:spacing w:before="156" w:after="156" w:line="240" w:lineRule="auto"/>
        <w:rPr>
          <w:rFonts w:ascii="Times New Roman" w:hAnsi="Times New Roman" w:cs="Times New Roman"/>
          <w:sz w:val="30"/>
          <w:szCs w:val="30"/>
        </w:rPr>
      </w:pPr>
      <w:r>
        <w:rPr>
          <w:rFonts w:ascii="Times New Roman" w:hAnsi="Times New Roman" w:cs="Times New Roman"/>
          <w:sz w:val="30"/>
          <w:szCs w:val="30"/>
        </w:rPr>
        <w:t>4.2.4</w:t>
      </w:r>
      <w:r>
        <w:rPr>
          <w:rFonts w:hint="eastAsia" w:ascii="Times New Roman" w:hAnsi="Times New Roman" w:cs="Times New Roman"/>
          <w:sz w:val="30"/>
          <w:szCs w:val="30"/>
        </w:rPr>
        <w:t>土地利用现状调查与评价</w:t>
      </w:r>
    </w:p>
    <w:p w14:paraId="12A9CBE2">
      <w:pPr>
        <w:pStyle w:val="6"/>
        <w:kinsoku w:val="0"/>
        <w:overflowPunct w:val="0"/>
        <w:spacing w:after="0" w:line="360" w:lineRule="auto"/>
        <w:ind w:firstLine="397"/>
        <w:jc w:val="both"/>
        <w:rPr>
          <w:bCs/>
        </w:rPr>
      </w:pPr>
      <w:r>
        <w:rPr>
          <w:rFonts w:hint="eastAsia"/>
          <w:bCs/>
        </w:rPr>
        <w:t>根据实地调查和土地利用现状图，评价区土地利用情况划分为水浇地（一般耕地）、灌木林地、工业用地、建设用地等类型。</w:t>
      </w:r>
    </w:p>
    <w:p w14:paraId="16FF5334">
      <w:pPr>
        <w:pStyle w:val="563"/>
        <w:ind w:firstLine="480"/>
        <w:rPr>
          <w:rFonts w:ascii="Times New Roman" w:hAnsi="Times New Roman" w:cs="Times New Roman"/>
        </w:rPr>
      </w:pPr>
      <w:r>
        <w:rPr>
          <w:rFonts w:hint="eastAsia"/>
          <w:bCs/>
          <w:color w:val="FF0000"/>
        </w:rPr>
        <w:t>项目区土地利用类型图详见图4</w:t>
      </w:r>
      <w:r>
        <w:rPr>
          <w:bCs/>
          <w:color w:val="FF0000"/>
        </w:rPr>
        <w:t>.2-2。</w:t>
      </w:r>
    </w:p>
    <w:p w14:paraId="5C27AAE9">
      <w:pPr>
        <w:pStyle w:val="4"/>
        <w:adjustRightInd w:val="0"/>
        <w:snapToGrid w:val="0"/>
        <w:spacing w:before="156" w:after="156" w:line="240" w:lineRule="auto"/>
        <w:rPr>
          <w:rFonts w:ascii="Times New Roman" w:hAnsi="Times New Roman" w:cs="Times New Roman"/>
          <w:color w:val="000000" w:themeColor="text1"/>
          <w:sz w:val="30"/>
          <w:szCs w:val="30"/>
          <w14:textFill>
            <w14:solidFill>
              <w14:schemeClr w14:val="tx1"/>
            </w14:solidFill>
          </w14:textFill>
        </w:rPr>
      </w:pPr>
      <w:bookmarkStart w:id="445" w:name="_Hlk171795577"/>
      <w:r>
        <w:rPr>
          <w:rFonts w:ascii="Times New Roman" w:hAnsi="Times New Roman" w:cs="Times New Roman"/>
          <w:color w:val="000000" w:themeColor="text1"/>
          <w:sz w:val="30"/>
          <w:szCs w:val="30"/>
          <w14:textFill>
            <w14:solidFill>
              <w14:schemeClr w14:val="tx1"/>
            </w14:solidFill>
          </w14:textFill>
        </w:rPr>
        <w:t>4.2.2工程沿线主要生态问题</w:t>
      </w:r>
    </w:p>
    <w:p w14:paraId="78D48F3F">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本项目沿线主要为农田、荒地与未利用地，不穿越自然保护区、风景名胜区、世界文化和自然遗产地、饮用水水源保护区、地质公园、重要湿地、森林公园。主要生态问题为</w:t>
      </w:r>
      <w:r>
        <w:rPr>
          <w:rFonts w:hint="eastAsia" w:ascii="Times New Roman" w:hAnsi="Times New Roman" w:cs="Times New Roman"/>
          <w:color w:val="000000" w:themeColor="text1"/>
          <w14:textFill>
            <w14:solidFill>
              <w14:schemeClr w14:val="tx1"/>
            </w14:solidFill>
          </w14:textFill>
        </w:rPr>
        <w:t>土壤盐渍化和工程施工造成的水土流失。</w:t>
      </w:r>
    </w:p>
    <w:p w14:paraId="0D886597">
      <w:pPr>
        <w:pStyle w:val="5"/>
        <w:snapToGrid w:val="0"/>
        <w:spacing w:before="156" w:after="156" w:line="240" w:lineRule="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4.2.2.1水土流失现状调查及评价</w:t>
      </w:r>
    </w:p>
    <w:p w14:paraId="44AE1584">
      <w:pPr>
        <w:pStyle w:val="563"/>
        <w:ind w:firstLine="48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 1 \* GB3 </w:instrText>
      </w:r>
      <w:r>
        <w:rPr>
          <w:rFonts w:ascii="Times New Roman" w:hAnsi="Times New Roman"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水土流失重点防治分区</w:t>
      </w:r>
    </w:p>
    <w:p w14:paraId="657C439D">
      <w:pPr>
        <w:pStyle w:val="563"/>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全国水土保持规划国家级水土流失重点预防区和重点治理区复核划分成果》（办水保[2012]188号）及关于印发《新疆自治区级水土流失重点预防区和重点治理区复核划分成果》的通知（新水水保[2019]4号），本项目所在地属于II3</w:t>
      </w:r>
      <w:bookmarkStart w:id="446" w:name="_Hlk172396958"/>
      <w:r>
        <w:rPr>
          <w:rFonts w:ascii="Times New Roman" w:hAnsi="Times New Roman" w:cs="Times New Roman"/>
          <w:color w:val="000000" w:themeColor="text1"/>
          <w14:textFill>
            <w14:solidFill>
              <w14:schemeClr w14:val="tx1"/>
            </w14:solidFill>
          </w14:textFill>
        </w:rPr>
        <w:t>塔里木河流域重点治理区</w:t>
      </w:r>
      <w:bookmarkEnd w:id="446"/>
      <w:r>
        <w:rPr>
          <w:rFonts w:ascii="Times New Roman" w:hAnsi="Times New Roman" w:cs="Times New Roman"/>
          <w:color w:val="000000" w:themeColor="text1"/>
          <w14:textFill>
            <w14:solidFill>
              <w14:schemeClr w14:val="tx1"/>
            </w14:solidFill>
          </w14:textFill>
        </w:rPr>
        <w:t>。</w:t>
      </w:r>
    </w:p>
    <w:p w14:paraId="6B3AD5FE">
      <w:pPr>
        <w:pStyle w:val="563"/>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 2 \* GB3 </w:instrText>
      </w:r>
      <w:r>
        <w:rPr>
          <w:rFonts w:ascii="Times New Roman" w:hAnsi="Times New Roman"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水土流失成因</w:t>
      </w:r>
    </w:p>
    <w:p w14:paraId="4B306A0F">
      <w:pPr>
        <w:pStyle w:val="563"/>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项目区地形平坦，地表裸露植被稀少，林草覆盖率较低，扰动后易引发侵蚀。从年降雨频率、平均风速、最大风速分析，具备发生侵蚀的条件。</w:t>
      </w:r>
    </w:p>
    <w:p w14:paraId="1B6193CC">
      <w:pPr>
        <w:pStyle w:val="563"/>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 3 \* GB3 </w:instrText>
      </w:r>
      <w:r>
        <w:rPr>
          <w:rFonts w:ascii="Times New Roman" w:hAnsi="Times New Roman"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水土流失现状</w:t>
      </w:r>
    </w:p>
    <w:p w14:paraId="096FC47E">
      <w:pPr>
        <w:pStyle w:val="563"/>
        <w:ind w:firstLine="480"/>
        <w:rPr>
          <w:rFonts w:ascii="Times New Roman" w:hAnsi="Times New Roman" w:cs="Times New Roman"/>
        </w:rPr>
      </w:pPr>
      <w:r>
        <w:rPr>
          <w:rFonts w:ascii="Times New Roman" w:hAnsi="Times New Roman" w:cs="Times New Roman"/>
        </w:rPr>
        <w:t>项目区土壤侵蚀类型为轻度风力、轻度水力综合侵蚀区，原地貌土壤侵蚀模数确定为1500t/km</w:t>
      </w:r>
      <w:r>
        <w:rPr>
          <w:rFonts w:ascii="Times New Roman" w:hAnsi="Times New Roman" w:cs="Times New Roman"/>
          <w:vertAlign w:val="superscript"/>
        </w:rPr>
        <w:t>2</w:t>
      </w:r>
      <w:r>
        <w:rPr>
          <w:rFonts w:ascii="Times New Roman" w:hAnsi="Times New Roman" w:cs="Times New Roman"/>
        </w:rPr>
        <w:t>·a，容许土壤流失量确定为1500t/km</w:t>
      </w:r>
      <w:r>
        <w:rPr>
          <w:rFonts w:ascii="Times New Roman" w:hAnsi="Times New Roman" w:cs="Times New Roman"/>
          <w:vertAlign w:val="superscript"/>
        </w:rPr>
        <w:t>2</w:t>
      </w:r>
      <w:r>
        <w:rPr>
          <w:rFonts w:ascii="Times New Roman" w:hAnsi="Times New Roman" w:cs="Times New Roman"/>
        </w:rPr>
        <w:t>·a。</w:t>
      </w:r>
    </w:p>
    <w:p w14:paraId="1FD1BEE9">
      <w:pPr>
        <w:pStyle w:val="5"/>
        <w:snapToGrid w:val="0"/>
        <w:spacing w:before="156" w:after="156" w:line="240" w:lineRule="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4.2.2.2土地沙化现状调查及评价</w:t>
      </w:r>
    </w:p>
    <w:p w14:paraId="4C95BFC5">
      <w:pPr>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本项目公路部分位于荒漠区，在K6+375—K13~K27段为荒地，土壤</w:t>
      </w:r>
      <w:r>
        <w:rPr>
          <w:rFonts w:ascii="Times New Roman" w:hAnsi="Times New Roman" w:cs="Times New Roman"/>
          <w:bCs/>
          <w:color w:val="000000" w:themeColor="text1"/>
          <w14:textFill>
            <w14:solidFill>
              <w14:schemeClr w14:val="tx1"/>
            </w14:solidFill>
          </w14:textFill>
        </w:rPr>
        <w:t>类型是石灰性草甸土。</w:t>
      </w:r>
    </w:p>
    <w:bookmarkEnd w:id="445"/>
    <w:p w14:paraId="27EABB37">
      <w:pPr>
        <w:pStyle w:val="3"/>
        <w:adjustRightInd w:val="0"/>
        <w:snapToGrid w:val="0"/>
        <w:spacing w:before="156" w:after="156" w:line="240" w:lineRule="auto"/>
        <w:rPr>
          <w:rFonts w:ascii="Times New Roman" w:hAnsi="Times New Roman" w:cs="Times New Roman"/>
          <w:color w:val="00B050"/>
        </w:rPr>
      </w:pPr>
      <w:bookmarkStart w:id="447" w:name="_Toc187675422"/>
      <w:r>
        <w:rPr>
          <w:rFonts w:ascii="Times New Roman" w:hAnsi="Times New Roman" w:cs="Times New Roman"/>
          <w:color w:val="00B050"/>
        </w:rPr>
        <w:t>4.3环境现状调查与评价</w:t>
      </w:r>
      <w:bookmarkEnd w:id="439"/>
      <w:bookmarkEnd w:id="440"/>
      <w:bookmarkEnd w:id="447"/>
    </w:p>
    <w:p w14:paraId="731CEDDE">
      <w:pPr>
        <w:pStyle w:val="4"/>
        <w:adjustRightInd w:val="0"/>
        <w:snapToGrid w:val="0"/>
        <w:spacing w:before="156" w:after="156" w:line="240" w:lineRule="auto"/>
        <w:rPr>
          <w:rFonts w:ascii="Times New Roman" w:hAnsi="Times New Roman" w:cs="Times New Roman"/>
          <w:color w:val="00B050"/>
          <w:sz w:val="30"/>
          <w:szCs w:val="30"/>
        </w:rPr>
      </w:pPr>
      <w:bookmarkStart w:id="448" w:name="_Toc183676550"/>
      <w:bookmarkStart w:id="449" w:name="_Toc236794425"/>
      <w:bookmarkStart w:id="450" w:name="_Toc381606014"/>
      <w:bookmarkStart w:id="451" w:name="_Toc57826744"/>
      <w:bookmarkStart w:id="452" w:name="_Toc34989582"/>
      <w:bookmarkStart w:id="453" w:name="_Toc97464641"/>
      <w:bookmarkStart w:id="454" w:name="_Toc98413536"/>
      <w:bookmarkStart w:id="455" w:name="_Toc98414218"/>
      <w:bookmarkStart w:id="456" w:name="_Toc316511067"/>
      <w:bookmarkStart w:id="457" w:name="_Toc316561658"/>
      <w:r>
        <w:rPr>
          <w:rFonts w:ascii="Times New Roman" w:hAnsi="Times New Roman" w:cs="Times New Roman"/>
          <w:color w:val="00B050"/>
          <w:sz w:val="30"/>
          <w:szCs w:val="30"/>
        </w:rPr>
        <w:t>4.3.1环境空气质量现状监测</w:t>
      </w:r>
      <w:bookmarkEnd w:id="448"/>
      <w:bookmarkEnd w:id="449"/>
      <w:r>
        <w:rPr>
          <w:rFonts w:ascii="Times New Roman" w:hAnsi="Times New Roman" w:cs="Times New Roman"/>
          <w:color w:val="00B050"/>
          <w:sz w:val="30"/>
          <w:szCs w:val="30"/>
        </w:rPr>
        <w:t>与评价</w:t>
      </w:r>
      <w:bookmarkEnd w:id="450"/>
      <w:bookmarkEnd w:id="451"/>
      <w:bookmarkEnd w:id="452"/>
      <w:bookmarkEnd w:id="453"/>
      <w:bookmarkEnd w:id="454"/>
      <w:bookmarkEnd w:id="455"/>
      <w:bookmarkEnd w:id="456"/>
      <w:bookmarkEnd w:id="457"/>
    </w:p>
    <w:p w14:paraId="37DE4307">
      <w:pPr>
        <w:pStyle w:val="5"/>
        <w:snapToGrid w:val="0"/>
        <w:spacing w:before="156" w:after="156" w:line="240" w:lineRule="auto"/>
        <w:rPr>
          <w:rFonts w:ascii="Times New Roman" w:hAnsi="Times New Roman" w:cs="Times New Roman"/>
          <w:i w:val="0"/>
          <w:color w:val="00B050"/>
        </w:rPr>
      </w:pPr>
      <w:r>
        <w:rPr>
          <w:rFonts w:ascii="Times New Roman" w:hAnsi="Times New Roman" w:cs="Times New Roman"/>
          <w:i w:val="0"/>
          <w:color w:val="00B050"/>
        </w:rPr>
        <w:t>4.3.1.1空气质量达标区判定及基本污染物环境质量现状</w:t>
      </w:r>
    </w:p>
    <w:p w14:paraId="64BE343D">
      <w:pPr>
        <w:autoSpaceDE w:val="0"/>
        <w:autoSpaceDN w:val="0"/>
        <w:adjustRightInd w:val="0"/>
        <w:snapToGrid w:val="0"/>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根据《环境影响评价技术导则大气环境》（HJ2.2-2018）要求，环境空气质量现状评价数据选取生态环境部环境工程评估中心国家环境保护环境影响评价数值模拟重点实验室环境空气质量模型技术支持服务系统发布的2022年喀什地区国控站点监测数据，作为本项目环境空气现状评价基本污染物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、CO和O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的数据来源。</w:t>
      </w:r>
    </w:p>
    <w:p w14:paraId="6FE6FA0C">
      <w:pPr>
        <w:spacing w:line="360" w:lineRule="auto"/>
        <w:ind w:firstLine="480" w:firstLineChars="200"/>
        <w:jc w:val="both"/>
        <w:rPr>
          <w:snapToGrid w:val="0"/>
          <w:color w:val="000000" w:themeColor="text1"/>
          <w14:textFill>
            <w14:solidFill>
              <w14:schemeClr w14:val="tx1"/>
            </w14:solidFill>
          </w14:textFill>
        </w:rPr>
      </w:pPr>
      <w:r>
        <w:rPr>
          <w:snapToGrid w:val="0"/>
          <w:color w:val="000000" w:themeColor="text1"/>
          <w14:textFill>
            <w14:solidFill>
              <w14:schemeClr w14:val="tx1"/>
            </w14:solidFill>
          </w14:textFill>
        </w:rPr>
        <w:t>项目区所在区域空气质量现状评价表见表4.3-1。</w:t>
      </w:r>
    </w:p>
    <w:p w14:paraId="0B13A229">
      <w:pPr>
        <w:adjustRightInd w:val="0"/>
        <w:snapToGrid w:val="0"/>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表4.3-1   区域空气质量现状评价表</w:t>
      </w:r>
    </w:p>
    <w:tbl>
      <w:tblPr>
        <w:tblStyle w:val="87"/>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67"/>
        <w:gridCol w:w="3001"/>
        <w:gridCol w:w="1001"/>
        <w:gridCol w:w="988"/>
        <w:gridCol w:w="741"/>
        <w:gridCol w:w="986"/>
        <w:gridCol w:w="1044"/>
      </w:tblGrid>
      <w:tr w14:paraId="4DFF09F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53" w:type="pct"/>
            <w:shd w:val="clear" w:color="auto" w:fill="auto"/>
            <w:vAlign w:val="center"/>
          </w:tcPr>
          <w:p w14:paraId="0B40C5DB">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污染物</w:t>
            </w:r>
          </w:p>
        </w:tc>
        <w:tc>
          <w:tcPr>
            <w:tcW w:w="1763" w:type="pct"/>
            <w:shd w:val="clear" w:color="auto" w:fill="auto"/>
            <w:vAlign w:val="center"/>
          </w:tcPr>
          <w:p w14:paraId="4EF3168F">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年评价指标</w:t>
            </w:r>
          </w:p>
        </w:tc>
        <w:tc>
          <w:tcPr>
            <w:tcW w:w="590" w:type="pct"/>
            <w:shd w:val="clear" w:color="auto" w:fill="auto"/>
            <w:vAlign w:val="center"/>
          </w:tcPr>
          <w:p w14:paraId="5EB54809">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现状浓度μg/m³</w:t>
            </w:r>
          </w:p>
        </w:tc>
        <w:tc>
          <w:tcPr>
            <w:tcW w:w="582" w:type="pct"/>
            <w:shd w:val="clear" w:color="auto" w:fill="auto"/>
            <w:vAlign w:val="center"/>
          </w:tcPr>
          <w:p w14:paraId="6B99642C">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标准值μg/m³</w:t>
            </w:r>
          </w:p>
        </w:tc>
        <w:tc>
          <w:tcPr>
            <w:tcW w:w="416" w:type="pct"/>
            <w:shd w:val="clear" w:color="auto" w:fill="auto"/>
            <w:vAlign w:val="center"/>
          </w:tcPr>
          <w:p w14:paraId="76A4E331">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占标率%</w:t>
            </w:r>
          </w:p>
        </w:tc>
        <w:tc>
          <w:tcPr>
            <w:tcW w:w="581" w:type="pct"/>
          </w:tcPr>
          <w:p w14:paraId="2EACCEB4">
            <w:pPr>
              <w:spacing w:line="20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最大超标倍数</w:t>
            </w:r>
          </w:p>
        </w:tc>
        <w:tc>
          <w:tcPr>
            <w:tcW w:w="615" w:type="pct"/>
            <w:vAlign w:val="center"/>
          </w:tcPr>
          <w:p w14:paraId="3682ABA1">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达标情况</w:t>
            </w:r>
          </w:p>
        </w:tc>
      </w:tr>
      <w:tr w14:paraId="30A88D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53" w:type="pct"/>
            <w:shd w:val="clear" w:color="auto" w:fill="auto"/>
            <w:vAlign w:val="center"/>
          </w:tcPr>
          <w:p w14:paraId="4C2E37B3">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SO</w:t>
            </w:r>
            <w:r>
              <w:rPr>
                <w:color w:val="000000" w:themeColor="text1"/>
                <w:sz w:val="21"/>
                <w:szCs w:val="21"/>
                <w:vertAlign w:val="subscript"/>
                <w14:textFill>
                  <w14:solidFill>
                    <w14:schemeClr w14:val="tx1"/>
                  </w14:solidFill>
                </w14:textFill>
              </w:rPr>
              <w:t>2</w:t>
            </w:r>
          </w:p>
        </w:tc>
        <w:tc>
          <w:tcPr>
            <w:tcW w:w="1763" w:type="pct"/>
            <w:shd w:val="clear" w:color="auto" w:fill="auto"/>
            <w:vAlign w:val="center"/>
          </w:tcPr>
          <w:p w14:paraId="241BA83E">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590" w:type="pct"/>
            <w:shd w:val="clear" w:color="auto" w:fill="auto"/>
            <w:vAlign w:val="center"/>
          </w:tcPr>
          <w:p w14:paraId="541220AC">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582" w:type="pct"/>
            <w:shd w:val="clear" w:color="auto" w:fill="auto"/>
            <w:vAlign w:val="center"/>
          </w:tcPr>
          <w:p w14:paraId="567C51A1">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60</w:t>
            </w:r>
          </w:p>
        </w:tc>
        <w:tc>
          <w:tcPr>
            <w:tcW w:w="416" w:type="pct"/>
            <w:shd w:val="clear" w:color="auto" w:fill="auto"/>
            <w:vAlign w:val="center"/>
          </w:tcPr>
          <w:p w14:paraId="7A5483F2">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11.7</w:t>
            </w:r>
          </w:p>
        </w:tc>
        <w:tc>
          <w:tcPr>
            <w:tcW w:w="581" w:type="pct"/>
            <w:vAlign w:val="center"/>
          </w:tcPr>
          <w:p w14:paraId="1756E1CA">
            <w:pPr>
              <w:jc w:val="center"/>
              <w:rPr>
                <w:rFonts w:eastAsia="等线"/>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0</w:t>
            </w:r>
          </w:p>
        </w:tc>
        <w:tc>
          <w:tcPr>
            <w:tcW w:w="615" w:type="pct"/>
            <w:vAlign w:val="center"/>
          </w:tcPr>
          <w:p w14:paraId="7B20B40F">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2409EF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53" w:type="pct"/>
            <w:shd w:val="clear" w:color="auto" w:fill="auto"/>
            <w:vAlign w:val="center"/>
          </w:tcPr>
          <w:p w14:paraId="4D50D562">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NO</w:t>
            </w:r>
            <w:r>
              <w:rPr>
                <w:color w:val="000000" w:themeColor="text1"/>
                <w:sz w:val="21"/>
                <w:szCs w:val="21"/>
                <w:vertAlign w:val="subscript"/>
                <w14:textFill>
                  <w14:solidFill>
                    <w14:schemeClr w14:val="tx1"/>
                  </w14:solidFill>
                </w14:textFill>
              </w:rPr>
              <w:t>2</w:t>
            </w:r>
          </w:p>
        </w:tc>
        <w:tc>
          <w:tcPr>
            <w:tcW w:w="1763" w:type="pct"/>
            <w:shd w:val="clear" w:color="auto" w:fill="auto"/>
            <w:vAlign w:val="center"/>
          </w:tcPr>
          <w:p w14:paraId="3116E3C6">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590" w:type="pct"/>
            <w:shd w:val="clear" w:color="auto" w:fill="auto"/>
            <w:vAlign w:val="center"/>
          </w:tcPr>
          <w:p w14:paraId="562CEE3B">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33</w:t>
            </w:r>
          </w:p>
        </w:tc>
        <w:tc>
          <w:tcPr>
            <w:tcW w:w="582" w:type="pct"/>
            <w:shd w:val="clear" w:color="auto" w:fill="auto"/>
            <w:vAlign w:val="center"/>
          </w:tcPr>
          <w:p w14:paraId="14BC3C55">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w:t>
            </w:r>
          </w:p>
        </w:tc>
        <w:tc>
          <w:tcPr>
            <w:tcW w:w="416" w:type="pct"/>
            <w:shd w:val="clear" w:color="auto" w:fill="auto"/>
            <w:vAlign w:val="center"/>
          </w:tcPr>
          <w:p w14:paraId="146335C4">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82.5</w:t>
            </w:r>
          </w:p>
        </w:tc>
        <w:tc>
          <w:tcPr>
            <w:tcW w:w="581" w:type="pct"/>
            <w:vAlign w:val="center"/>
          </w:tcPr>
          <w:p w14:paraId="3D124C1D">
            <w:pPr>
              <w:jc w:val="center"/>
              <w:rPr>
                <w:rFonts w:eastAsia="等线"/>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0</w:t>
            </w:r>
          </w:p>
        </w:tc>
        <w:tc>
          <w:tcPr>
            <w:tcW w:w="615" w:type="pct"/>
            <w:vAlign w:val="center"/>
          </w:tcPr>
          <w:p w14:paraId="01FEB8F3">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028619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53" w:type="pct"/>
            <w:shd w:val="clear" w:color="auto" w:fill="auto"/>
            <w:vAlign w:val="center"/>
          </w:tcPr>
          <w:p w14:paraId="2C372986">
            <w:pPr>
              <w:spacing w:line="2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PM</w:t>
            </w:r>
            <w:r>
              <w:rPr>
                <w:b/>
                <w:color w:val="000000" w:themeColor="text1"/>
                <w:sz w:val="21"/>
                <w:szCs w:val="21"/>
                <w:vertAlign w:val="subscript"/>
                <w14:textFill>
                  <w14:solidFill>
                    <w14:schemeClr w14:val="tx1"/>
                  </w14:solidFill>
                </w14:textFill>
              </w:rPr>
              <w:t>10</w:t>
            </w:r>
          </w:p>
        </w:tc>
        <w:tc>
          <w:tcPr>
            <w:tcW w:w="1763" w:type="pct"/>
            <w:shd w:val="clear" w:color="auto" w:fill="auto"/>
            <w:vAlign w:val="center"/>
          </w:tcPr>
          <w:p w14:paraId="5B40C07C">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590" w:type="pct"/>
            <w:shd w:val="clear" w:color="auto" w:fill="auto"/>
            <w:vAlign w:val="center"/>
          </w:tcPr>
          <w:p w14:paraId="5E2547D6">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115</w:t>
            </w:r>
          </w:p>
        </w:tc>
        <w:tc>
          <w:tcPr>
            <w:tcW w:w="582" w:type="pct"/>
            <w:shd w:val="clear" w:color="auto" w:fill="auto"/>
            <w:vAlign w:val="center"/>
          </w:tcPr>
          <w:p w14:paraId="5741C112">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416" w:type="pct"/>
            <w:shd w:val="clear" w:color="auto" w:fill="auto"/>
            <w:vAlign w:val="center"/>
          </w:tcPr>
          <w:p w14:paraId="1098B1B3">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164.3</w:t>
            </w:r>
          </w:p>
        </w:tc>
        <w:tc>
          <w:tcPr>
            <w:tcW w:w="581" w:type="pct"/>
            <w:vAlign w:val="center"/>
          </w:tcPr>
          <w:p w14:paraId="4CE5D18E">
            <w:pPr>
              <w:jc w:val="center"/>
              <w:rPr>
                <w:rFonts w:eastAsia="等线"/>
                <w:b/>
                <w:bCs/>
                <w:color w:val="000000" w:themeColor="text1"/>
                <w:sz w:val="21"/>
                <w:szCs w:val="21"/>
                <w14:textFill>
                  <w14:solidFill>
                    <w14:schemeClr w14:val="tx1"/>
                  </w14:solidFill>
                </w14:textFill>
              </w:rPr>
            </w:pPr>
            <w:r>
              <w:rPr>
                <w:rFonts w:eastAsia="等线"/>
                <w:b/>
                <w:bCs/>
                <w:color w:val="000000" w:themeColor="text1"/>
                <w:sz w:val="21"/>
                <w:szCs w:val="21"/>
                <w14:textFill>
                  <w14:solidFill>
                    <w14:schemeClr w14:val="tx1"/>
                  </w14:solidFill>
                </w14:textFill>
              </w:rPr>
              <w:t>0.64</w:t>
            </w:r>
          </w:p>
        </w:tc>
        <w:tc>
          <w:tcPr>
            <w:tcW w:w="615" w:type="pct"/>
            <w:vAlign w:val="center"/>
          </w:tcPr>
          <w:p w14:paraId="27A510E6">
            <w:pPr>
              <w:spacing w:line="2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超标</w:t>
            </w:r>
          </w:p>
        </w:tc>
      </w:tr>
      <w:tr w14:paraId="3B9AD7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53" w:type="pct"/>
            <w:shd w:val="clear" w:color="auto" w:fill="auto"/>
            <w:vAlign w:val="center"/>
          </w:tcPr>
          <w:p w14:paraId="6D79FFD8">
            <w:pPr>
              <w:spacing w:line="2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PM</w:t>
            </w:r>
            <w:r>
              <w:rPr>
                <w:b/>
                <w:color w:val="000000" w:themeColor="text1"/>
                <w:sz w:val="21"/>
                <w:szCs w:val="21"/>
                <w:vertAlign w:val="subscript"/>
                <w14:textFill>
                  <w14:solidFill>
                    <w14:schemeClr w14:val="tx1"/>
                  </w14:solidFill>
                </w14:textFill>
              </w:rPr>
              <w:t>2.5</w:t>
            </w:r>
          </w:p>
        </w:tc>
        <w:tc>
          <w:tcPr>
            <w:tcW w:w="1763" w:type="pct"/>
            <w:shd w:val="clear" w:color="auto" w:fill="auto"/>
            <w:vAlign w:val="center"/>
          </w:tcPr>
          <w:p w14:paraId="7C59026B">
            <w:pPr>
              <w:spacing w:line="200" w:lineRule="exact"/>
              <w:jc w:val="center"/>
              <w:rPr>
                <w:color w:val="000000" w:themeColor="text1"/>
                <w:sz w:val="21"/>
                <w:szCs w:val="21"/>
                <w:lang w:eastAsia="en-US"/>
                <w14:textFill>
                  <w14:solidFill>
                    <w14:schemeClr w14:val="tx1"/>
                  </w14:solidFill>
                </w14:textFill>
              </w:rPr>
            </w:pPr>
            <w:r>
              <w:rPr>
                <w:color w:val="000000" w:themeColor="text1"/>
                <w:sz w:val="21"/>
                <w:szCs w:val="21"/>
                <w14:textFill>
                  <w14:solidFill>
                    <w14:schemeClr w14:val="tx1"/>
                  </w14:solidFill>
                </w14:textFill>
              </w:rPr>
              <w:t>年平均质量浓度</w:t>
            </w:r>
          </w:p>
        </w:tc>
        <w:tc>
          <w:tcPr>
            <w:tcW w:w="590" w:type="pct"/>
            <w:shd w:val="clear" w:color="auto" w:fill="auto"/>
            <w:vAlign w:val="center"/>
          </w:tcPr>
          <w:p w14:paraId="7DBECADD">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48</w:t>
            </w:r>
          </w:p>
        </w:tc>
        <w:tc>
          <w:tcPr>
            <w:tcW w:w="582" w:type="pct"/>
            <w:shd w:val="clear" w:color="auto" w:fill="auto"/>
            <w:vAlign w:val="center"/>
          </w:tcPr>
          <w:p w14:paraId="1B797434">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35</w:t>
            </w:r>
          </w:p>
        </w:tc>
        <w:tc>
          <w:tcPr>
            <w:tcW w:w="416" w:type="pct"/>
            <w:shd w:val="clear" w:color="auto" w:fill="auto"/>
            <w:vAlign w:val="center"/>
          </w:tcPr>
          <w:p w14:paraId="1D6BA25E">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137.1</w:t>
            </w:r>
          </w:p>
        </w:tc>
        <w:tc>
          <w:tcPr>
            <w:tcW w:w="581" w:type="pct"/>
            <w:vAlign w:val="center"/>
          </w:tcPr>
          <w:p w14:paraId="4540C1D2">
            <w:pPr>
              <w:jc w:val="center"/>
              <w:rPr>
                <w:rFonts w:eastAsia="等线"/>
                <w:b/>
                <w:bCs/>
                <w:color w:val="000000" w:themeColor="text1"/>
                <w:sz w:val="21"/>
                <w:szCs w:val="21"/>
                <w14:textFill>
                  <w14:solidFill>
                    <w14:schemeClr w14:val="tx1"/>
                  </w14:solidFill>
                </w14:textFill>
              </w:rPr>
            </w:pPr>
            <w:r>
              <w:rPr>
                <w:rFonts w:eastAsia="等线"/>
                <w:b/>
                <w:bCs/>
                <w:color w:val="000000" w:themeColor="text1"/>
                <w:sz w:val="21"/>
                <w:szCs w:val="21"/>
                <w14:textFill>
                  <w14:solidFill>
                    <w14:schemeClr w14:val="tx1"/>
                  </w14:solidFill>
                </w14:textFill>
              </w:rPr>
              <w:t>0.37</w:t>
            </w:r>
          </w:p>
        </w:tc>
        <w:tc>
          <w:tcPr>
            <w:tcW w:w="615" w:type="pct"/>
            <w:vAlign w:val="center"/>
          </w:tcPr>
          <w:p w14:paraId="60586EAD">
            <w:pPr>
              <w:spacing w:line="200" w:lineRule="exact"/>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超标</w:t>
            </w:r>
          </w:p>
        </w:tc>
      </w:tr>
      <w:tr w14:paraId="5C4C64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53" w:type="pct"/>
            <w:shd w:val="clear" w:color="auto" w:fill="auto"/>
            <w:vAlign w:val="center"/>
          </w:tcPr>
          <w:p w14:paraId="3E47AF71">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p>
        </w:tc>
        <w:tc>
          <w:tcPr>
            <w:tcW w:w="1763" w:type="pct"/>
            <w:shd w:val="clear" w:color="auto" w:fill="auto"/>
            <w:vAlign w:val="center"/>
          </w:tcPr>
          <w:p w14:paraId="5F224E07">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24小时平均第95百分位数</w:t>
            </w:r>
          </w:p>
        </w:tc>
        <w:tc>
          <w:tcPr>
            <w:tcW w:w="590" w:type="pct"/>
            <w:shd w:val="clear" w:color="auto" w:fill="auto"/>
            <w:vAlign w:val="center"/>
          </w:tcPr>
          <w:p w14:paraId="4218436D">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2800</w:t>
            </w:r>
          </w:p>
        </w:tc>
        <w:tc>
          <w:tcPr>
            <w:tcW w:w="582" w:type="pct"/>
            <w:shd w:val="clear" w:color="auto" w:fill="auto"/>
            <w:vAlign w:val="center"/>
          </w:tcPr>
          <w:p w14:paraId="37DF811E">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4000</w:t>
            </w:r>
          </w:p>
        </w:tc>
        <w:tc>
          <w:tcPr>
            <w:tcW w:w="416" w:type="pct"/>
            <w:shd w:val="clear" w:color="auto" w:fill="auto"/>
            <w:vAlign w:val="center"/>
          </w:tcPr>
          <w:p w14:paraId="1469318B">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70</w:t>
            </w:r>
          </w:p>
        </w:tc>
        <w:tc>
          <w:tcPr>
            <w:tcW w:w="581" w:type="pct"/>
            <w:vAlign w:val="center"/>
          </w:tcPr>
          <w:p w14:paraId="229E6C94">
            <w:pPr>
              <w:jc w:val="center"/>
              <w:rPr>
                <w:rFonts w:eastAsia="等线"/>
                <w:color w:val="000000" w:themeColor="text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0</w:t>
            </w:r>
          </w:p>
        </w:tc>
        <w:tc>
          <w:tcPr>
            <w:tcW w:w="615" w:type="pct"/>
            <w:vAlign w:val="center"/>
          </w:tcPr>
          <w:p w14:paraId="32B81D64">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r w14:paraId="1A0F8A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453" w:type="pct"/>
            <w:shd w:val="clear" w:color="auto" w:fill="auto"/>
            <w:vAlign w:val="center"/>
          </w:tcPr>
          <w:p w14:paraId="79C91C55">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w:t>
            </w:r>
            <w:r>
              <w:rPr>
                <w:color w:val="000000" w:themeColor="text1"/>
                <w:sz w:val="21"/>
                <w:szCs w:val="21"/>
                <w:vertAlign w:val="subscript"/>
                <w14:textFill>
                  <w14:solidFill>
                    <w14:schemeClr w14:val="tx1"/>
                  </w14:solidFill>
                </w14:textFill>
              </w:rPr>
              <w:t>3</w:t>
            </w:r>
          </w:p>
        </w:tc>
        <w:tc>
          <w:tcPr>
            <w:tcW w:w="1763" w:type="pct"/>
            <w:shd w:val="clear" w:color="auto" w:fill="auto"/>
            <w:vAlign w:val="center"/>
          </w:tcPr>
          <w:p w14:paraId="3350DE38">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日8小时最大平均第90百分位数</w:t>
            </w:r>
          </w:p>
        </w:tc>
        <w:tc>
          <w:tcPr>
            <w:tcW w:w="590" w:type="pct"/>
            <w:shd w:val="clear" w:color="auto" w:fill="auto"/>
            <w:vAlign w:val="center"/>
          </w:tcPr>
          <w:p w14:paraId="4069CF34">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132</w:t>
            </w:r>
          </w:p>
        </w:tc>
        <w:tc>
          <w:tcPr>
            <w:tcW w:w="582" w:type="pct"/>
            <w:shd w:val="clear" w:color="auto" w:fill="auto"/>
            <w:vAlign w:val="center"/>
          </w:tcPr>
          <w:p w14:paraId="363ED4F5">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160</w:t>
            </w:r>
          </w:p>
        </w:tc>
        <w:tc>
          <w:tcPr>
            <w:tcW w:w="416" w:type="pct"/>
            <w:shd w:val="clear" w:color="auto" w:fill="auto"/>
            <w:vAlign w:val="center"/>
          </w:tcPr>
          <w:p w14:paraId="237C9764">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82.5</w:t>
            </w:r>
          </w:p>
        </w:tc>
        <w:tc>
          <w:tcPr>
            <w:tcW w:w="581" w:type="pct"/>
            <w:vAlign w:val="center"/>
          </w:tcPr>
          <w:p w14:paraId="7DC8AFBD">
            <w:pPr>
              <w:jc w:val="center"/>
              <w:rPr>
                <w:rFonts w:eastAsia="等线"/>
                <w:color w:val="000000" w:themeColor="text1"/>
                <w:sz w:val="21"/>
                <w:szCs w:val="21"/>
                <w14:textFill>
                  <w14:solidFill>
                    <w14:schemeClr w14:val="tx1"/>
                  </w14:solidFill>
                </w14:textFill>
              </w:rPr>
            </w:pPr>
            <w:r>
              <w:rPr>
                <w:rFonts w:hint="eastAsia" w:eastAsia="等线"/>
                <w:color w:val="000000" w:themeColor="text1"/>
                <w:sz w:val="21"/>
                <w:szCs w:val="21"/>
                <w14:textFill>
                  <w14:solidFill>
                    <w14:schemeClr w14:val="tx1"/>
                  </w14:solidFill>
                </w14:textFill>
              </w:rPr>
              <w:t>0</w:t>
            </w:r>
          </w:p>
        </w:tc>
        <w:tc>
          <w:tcPr>
            <w:tcW w:w="615" w:type="pct"/>
            <w:vAlign w:val="center"/>
          </w:tcPr>
          <w:p w14:paraId="170AF2C1">
            <w:pPr>
              <w:spacing w:line="200" w:lineRule="exact"/>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达标</w:t>
            </w:r>
          </w:p>
        </w:tc>
      </w:tr>
    </w:tbl>
    <w:p w14:paraId="614C3575">
      <w:pPr>
        <w:adjustRightInd w:val="0"/>
        <w:snapToGrid w:val="0"/>
        <w:ind w:firstLine="480" w:firstLineChars="200"/>
        <w:rPr>
          <w:rFonts w:eastAsia="黑体"/>
          <w:color w:val="000000" w:themeColor="text1"/>
          <w14:textFill>
            <w14:solidFill>
              <w14:schemeClr w14:val="tx1"/>
            </w14:solidFill>
          </w14:textFill>
        </w:rPr>
      </w:pPr>
    </w:p>
    <w:p w14:paraId="43ABADAF">
      <w:pPr>
        <w:pStyle w:val="8"/>
        <w:adjustRightInd w:val="0"/>
        <w:snapToGrid w:val="0"/>
        <w:spacing w:line="360" w:lineRule="auto"/>
        <w:ind w:firstLine="480"/>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由</w:t>
      </w:r>
      <w:r>
        <w:rPr>
          <w:rFonts w:hint="eastAsia" w:ascii="Times New Roman" w:hAnsi="Times New Roman"/>
          <w:color w:val="000000" w:themeColor="text1"/>
          <w14:textFill>
            <w14:solidFill>
              <w14:schemeClr w14:val="tx1"/>
            </w14:solidFill>
          </w14:textFill>
        </w:rPr>
        <w:t>上表</w:t>
      </w:r>
      <w:r>
        <w:rPr>
          <w:rFonts w:ascii="Times New Roman" w:hAnsi="Times New Roman"/>
          <w:color w:val="000000" w:themeColor="text1"/>
          <w14:textFill>
            <w14:solidFill>
              <w14:schemeClr w14:val="tx1"/>
            </w14:solidFill>
          </w14:textFill>
        </w:rPr>
        <w:t>可知，喀什地区2022年SO</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、NO</w:t>
      </w:r>
      <w:r>
        <w:rPr>
          <w:rFonts w:ascii="Times New Roman" w:hAnsi="Times New Roman"/>
          <w:color w:val="000000" w:themeColor="text1"/>
          <w:vertAlign w:val="subscript"/>
          <w14:textFill>
            <w14:solidFill>
              <w14:schemeClr w14:val="tx1"/>
            </w14:solidFill>
          </w14:textFill>
        </w:rPr>
        <w:t>2</w:t>
      </w:r>
      <w:r>
        <w:rPr>
          <w:rFonts w:ascii="Times New Roman" w:hAnsi="Times New Roman"/>
          <w:color w:val="000000" w:themeColor="text1"/>
          <w14:textFill>
            <w14:solidFill>
              <w14:schemeClr w14:val="tx1"/>
            </w14:solidFill>
          </w14:textFill>
        </w:rPr>
        <w:t>、PM</w:t>
      </w:r>
      <w:r>
        <w:rPr>
          <w:rFonts w:ascii="Times New Roman" w:hAnsi="Times New Roman"/>
          <w:color w:val="000000" w:themeColor="text1"/>
          <w:vertAlign w:val="subscript"/>
          <w14:textFill>
            <w14:solidFill>
              <w14:schemeClr w14:val="tx1"/>
            </w14:solidFill>
          </w14:textFill>
        </w:rPr>
        <w:t>10</w:t>
      </w:r>
      <w:r>
        <w:rPr>
          <w:rFonts w:ascii="Times New Roman" w:hAnsi="Times New Roman"/>
          <w:color w:val="000000" w:themeColor="text1"/>
          <w14:textFill>
            <w14:solidFill>
              <w14:schemeClr w14:val="tx1"/>
            </w14:solidFill>
          </w14:textFill>
        </w:rPr>
        <w:t>、PM</w:t>
      </w:r>
      <w:r>
        <w:rPr>
          <w:rFonts w:ascii="Times New Roman" w:hAnsi="Times New Roman"/>
          <w:color w:val="000000" w:themeColor="text1"/>
          <w:vertAlign w:val="subscript"/>
          <w14:textFill>
            <w14:solidFill>
              <w14:schemeClr w14:val="tx1"/>
            </w14:solidFill>
          </w14:textFill>
        </w:rPr>
        <w:t>2.5</w:t>
      </w:r>
      <w:r>
        <w:rPr>
          <w:rFonts w:ascii="Times New Roman" w:hAnsi="Times New Roman"/>
          <w:color w:val="000000" w:themeColor="text1"/>
          <w14:textFill>
            <w14:solidFill>
              <w14:schemeClr w14:val="tx1"/>
            </w14:solidFill>
          </w14:textFill>
        </w:rPr>
        <w:t>年均浓度分别为7μg/m³、33μg/m³、115μg/m³、48μg/m³；CO24小时平均第95百分位数为2.8mg/m³，O</w:t>
      </w:r>
      <w:r>
        <w:rPr>
          <w:rFonts w:ascii="Times New Roman" w:hAnsi="Times New Roman"/>
          <w:color w:val="000000" w:themeColor="text1"/>
          <w:vertAlign w:val="subscript"/>
          <w14:textFill>
            <w14:solidFill>
              <w14:schemeClr w14:val="tx1"/>
            </w14:solidFill>
          </w14:textFill>
        </w:rPr>
        <w:t>3</w:t>
      </w:r>
      <w:r>
        <w:rPr>
          <w:rFonts w:ascii="Times New Roman" w:hAnsi="Times New Roman"/>
          <w:color w:val="000000" w:themeColor="text1"/>
          <w14:textFill>
            <w14:solidFill>
              <w14:schemeClr w14:val="tx1"/>
            </w14:solidFill>
          </w14:textFill>
        </w:rPr>
        <w:t>日8小时最大平均第90百分位数为132μg/m³；超过《环境空气质量标准》（GB3095-2012）中二级标准限值的污染物为PM</w:t>
      </w:r>
      <w:r>
        <w:rPr>
          <w:rFonts w:ascii="Times New Roman" w:hAnsi="Times New Roman"/>
          <w:color w:val="000000" w:themeColor="text1"/>
          <w:vertAlign w:val="subscript"/>
          <w14:textFill>
            <w14:solidFill>
              <w14:schemeClr w14:val="tx1"/>
            </w14:solidFill>
          </w14:textFill>
        </w:rPr>
        <w:t>10</w:t>
      </w:r>
      <w:r>
        <w:rPr>
          <w:rFonts w:ascii="Times New Roman" w:hAnsi="Times New Roman"/>
          <w:color w:val="000000" w:themeColor="text1"/>
          <w14:textFill>
            <w14:solidFill>
              <w14:schemeClr w14:val="tx1"/>
            </w14:solidFill>
          </w14:textFill>
        </w:rPr>
        <w:t>、PM</w:t>
      </w:r>
      <w:r>
        <w:rPr>
          <w:rFonts w:ascii="Times New Roman" w:hAnsi="Times New Roman"/>
          <w:color w:val="000000" w:themeColor="text1"/>
          <w:vertAlign w:val="subscript"/>
          <w14:textFill>
            <w14:solidFill>
              <w14:schemeClr w14:val="tx1"/>
            </w14:solidFill>
          </w14:textFill>
        </w:rPr>
        <w:t>2.5</w:t>
      </w:r>
      <w:r>
        <w:rPr>
          <w:rFonts w:ascii="Times New Roman" w:hAnsi="Times New Roman"/>
          <w:color w:val="000000" w:themeColor="text1"/>
          <w14:textFill>
            <w14:solidFill>
              <w14:schemeClr w14:val="tx1"/>
            </w14:solidFill>
          </w14:textFill>
        </w:rPr>
        <w:t>，因此项目所在区判定为不达标区。PM</w:t>
      </w:r>
      <w:r>
        <w:rPr>
          <w:rFonts w:ascii="Times New Roman" w:hAnsi="Times New Roman"/>
          <w:color w:val="000000" w:themeColor="text1"/>
          <w:vertAlign w:val="subscript"/>
          <w14:textFill>
            <w14:solidFill>
              <w14:schemeClr w14:val="tx1"/>
            </w14:solidFill>
          </w14:textFill>
        </w:rPr>
        <w:t>2.5</w:t>
      </w:r>
      <w:r>
        <w:rPr>
          <w:rFonts w:hint="eastAsia" w:ascii="Times New Roman" w:hAnsi="Times New Roman"/>
          <w:color w:val="000000" w:themeColor="text1"/>
          <w14:textFill>
            <w14:solidFill>
              <w14:schemeClr w14:val="tx1"/>
            </w14:solidFill>
          </w14:textFill>
        </w:rPr>
        <w:t>和</w:t>
      </w:r>
      <w:r>
        <w:rPr>
          <w:rFonts w:ascii="Times New Roman" w:hAnsi="Times New Roman"/>
          <w:color w:val="000000" w:themeColor="text1"/>
          <w14:textFill>
            <w14:solidFill>
              <w14:schemeClr w14:val="tx1"/>
            </w14:solidFill>
          </w14:textFill>
        </w:rPr>
        <w:t>PM</w:t>
      </w:r>
      <w:r>
        <w:rPr>
          <w:rFonts w:ascii="Times New Roman" w:hAnsi="Times New Roman"/>
          <w:color w:val="000000" w:themeColor="text1"/>
          <w:vertAlign w:val="subscript"/>
          <w14:textFill>
            <w14:solidFill>
              <w14:schemeClr w14:val="tx1"/>
            </w14:solidFill>
          </w14:textFill>
        </w:rPr>
        <w:t>10</w:t>
      </w:r>
      <w:r>
        <w:rPr>
          <w:rFonts w:hint="eastAsia" w:ascii="Times New Roman" w:hAnsi="Times New Roman"/>
          <w:color w:val="000000" w:themeColor="text1"/>
          <w14:textFill>
            <w14:solidFill>
              <w14:schemeClr w14:val="tx1"/>
            </w14:solidFill>
          </w14:textFill>
        </w:rPr>
        <w:t>超标原因主要是项目区处于新疆南疆地区，当地浮尘天气、</w:t>
      </w:r>
      <w:r>
        <w:rPr>
          <w:rFonts w:ascii="Times New Roman" w:hAnsi="Times New Roman"/>
          <w:color w:val="000000" w:themeColor="text1"/>
          <w14:textFill>
            <w14:solidFill>
              <w14:schemeClr w14:val="tx1"/>
            </w14:solidFill>
          </w14:textFill>
        </w:rPr>
        <w:t>干旱气候和自然本底高所致</w:t>
      </w:r>
      <w:r>
        <w:rPr>
          <w:rFonts w:hint="eastAsia" w:ascii="Times New Roman" w:hAnsi="Times New Roman"/>
          <w:color w:val="000000" w:themeColor="text1"/>
          <w14:textFill>
            <w14:solidFill>
              <w14:schemeClr w14:val="tx1"/>
            </w14:solidFill>
          </w14:textFill>
        </w:rPr>
        <w:t>。</w:t>
      </w:r>
    </w:p>
    <w:p w14:paraId="2C32E6CC">
      <w:pPr>
        <w:pStyle w:val="4"/>
        <w:adjustRightInd w:val="0"/>
        <w:snapToGrid w:val="0"/>
        <w:spacing w:before="156" w:after="156" w:line="240" w:lineRule="auto"/>
        <w:jc w:val="both"/>
        <w:rPr>
          <w:rFonts w:ascii="Times New Roman" w:hAnsi="Times New Roman" w:cs="Times New Roman"/>
          <w:color w:val="000000" w:themeColor="text1"/>
          <w:sz w:val="28"/>
          <w:szCs w:val="30"/>
          <w14:textFill>
            <w14:solidFill>
              <w14:schemeClr w14:val="tx1"/>
            </w14:solidFill>
          </w14:textFill>
        </w:rPr>
      </w:pPr>
      <w:r>
        <w:rPr>
          <w:rFonts w:ascii="Times New Roman" w:hAnsi="Times New Roman" w:cs="Times New Roman"/>
          <w:color w:val="000000" w:themeColor="text1"/>
          <w:sz w:val="28"/>
          <w:szCs w:val="30"/>
          <w14:textFill>
            <w14:solidFill>
              <w14:schemeClr w14:val="tx1"/>
            </w14:solidFill>
          </w14:textFill>
        </w:rPr>
        <w:t>4.3.2声环境现状调查与评价</w:t>
      </w:r>
    </w:p>
    <w:p w14:paraId="20932C1E">
      <w:pPr>
        <w:pStyle w:val="167"/>
        <w:spacing w:before="0" w:after="0" w:line="360" w:lineRule="auto"/>
        <w:ind w:firstLine="480" w:firstLineChars="2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本项目公路中心线两侧200m以内范围有</w:t>
      </w:r>
      <w:r>
        <w:rPr>
          <w:rFonts w:hint="eastAsia" w:ascii="Times New Roman" w:hAnsi="Times New Roman" w:eastAsia="宋体" w:cs="Times New Roman"/>
          <w:color w:val="000000" w:themeColor="text1"/>
          <w14:textFill>
            <w14:solidFill>
              <w14:schemeClr w14:val="tx1"/>
            </w14:solidFill>
          </w14:textFill>
        </w:rPr>
        <w:t>布拉克苏乡阔纳霍伊拉村</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吐尔恰巴格村、孜坎特村，喀热开其克乡阿克乌斯唐村、喀拉乌斯唐村等村落，为声环境敏感目标。但</w:t>
      </w:r>
      <w:r>
        <w:rPr>
          <w:rFonts w:ascii="Times New Roman" w:hAnsi="Times New Roman" w:eastAsia="宋体" w:cs="Times New Roman"/>
          <w:color w:val="000000" w:themeColor="text1"/>
          <w14:textFill>
            <w14:solidFill>
              <w14:schemeClr w14:val="tx1"/>
            </w14:solidFill>
          </w14:textFill>
        </w:rPr>
        <w:t>2处施工综合场站外200m范围、3处弃土场场界外200m范围，均无声环境保护目标</w:t>
      </w:r>
      <w:r>
        <w:rPr>
          <w:rFonts w:hint="eastAsia" w:ascii="Times New Roman" w:hAnsi="Times New Roman" w:eastAsia="宋体" w:cs="Times New Roman"/>
          <w:color w:val="000000" w:themeColor="text1"/>
          <w14:textFill>
            <w14:solidFill>
              <w14:schemeClr w14:val="tx1"/>
            </w14:solidFill>
          </w14:textFill>
        </w:rPr>
        <w:t>。</w:t>
      </w:r>
    </w:p>
    <w:p w14:paraId="21E13A4A">
      <w:pPr>
        <w:keepNext/>
        <w:overflowPunct w:val="0"/>
        <w:autoSpaceDE w:val="0"/>
        <w:autoSpaceDN w:val="0"/>
        <w:adjustRightInd w:val="0"/>
        <w:snapToGrid w:val="0"/>
        <w:spacing w:before="156" w:beforeLines="50" w:after="156" w:afterLines="50"/>
        <w:textAlignment w:val="baseline"/>
        <w:outlineLvl w:val="3"/>
        <w:rPr>
          <w:rFonts w:ascii="Times New Roman" w:hAnsi="Times New Roman" w:cs="Times New Roman"/>
          <w:b/>
          <w:kern w:val="28"/>
        </w:rPr>
      </w:pPr>
      <w:bookmarkStart w:id="458" w:name="_Toc81006382"/>
      <w:bookmarkStart w:id="459" w:name="_Toc61250998"/>
      <w:bookmarkStart w:id="460" w:name="_Toc81007122"/>
      <w:bookmarkStart w:id="461" w:name="_Toc532439780"/>
      <w:r>
        <w:rPr>
          <w:rFonts w:hint="eastAsia" w:ascii="Times New Roman" w:hAnsi="Times New Roman" w:cs="Times New Roman"/>
          <w:b/>
          <w:color w:val="FF0000"/>
          <w:kern w:val="28"/>
        </w:rPr>
        <w:t>4</w:t>
      </w:r>
      <w:r>
        <w:rPr>
          <w:rFonts w:ascii="Times New Roman" w:hAnsi="Times New Roman" w:cs="Times New Roman"/>
          <w:b/>
          <w:kern w:val="28"/>
        </w:rPr>
        <w:t>.3.2.1监测布点</w:t>
      </w:r>
      <w:bookmarkEnd w:id="458"/>
      <w:bookmarkEnd w:id="459"/>
      <w:bookmarkEnd w:id="460"/>
      <w:bookmarkEnd w:id="461"/>
      <w:r>
        <w:rPr>
          <w:rFonts w:ascii="Times New Roman" w:hAnsi="Times New Roman" w:cs="Times New Roman"/>
          <w:b/>
          <w:kern w:val="28"/>
        </w:rPr>
        <w:t>及方法</w:t>
      </w:r>
    </w:p>
    <w:p w14:paraId="5885DB02">
      <w:pPr>
        <w:spacing w:line="360" w:lineRule="auto"/>
        <w:ind w:firstLine="482"/>
      </w:pPr>
      <w:r>
        <w:t>（1）监测因子：等效连续A声级LAeq</w:t>
      </w:r>
    </w:p>
    <w:p w14:paraId="222FC96C">
      <w:pPr>
        <w:spacing w:line="360" w:lineRule="auto"/>
        <w:ind w:firstLine="482"/>
      </w:pPr>
      <w:r>
        <w:t>（2）监测单位：</w:t>
      </w:r>
      <w:r>
        <w:rPr>
          <w:rFonts w:hint="eastAsia"/>
        </w:rPr>
        <w:t>新疆腾龙环境监测有限公司</w:t>
      </w:r>
    </w:p>
    <w:p w14:paraId="1E4F0B14">
      <w:pPr>
        <w:spacing w:line="360" w:lineRule="auto"/>
        <w:ind w:firstLine="482"/>
      </w:pPr>
      <w:r>
        <w:t>（3）</w:t>
      </w:r>
      <w:r>
        <w:rPr>
          <w:rFonts w:hint="eastAsia"/>
        </w:rPr>
        <w:t>监测时间：2</w:t>
      </w:r>
      <w:r>
        <w:t>025</w:t>
      </w:r>
      <w:r>
        <w:rPr>
          <w:rFonts w:hint="eastAsia"/>
        </w:rPr>
        <w:t>年1月2日至1月3日、2</w:t>
      </w:r>
      <w:r>
        <w:t>025</w:t>
      </w:r>
      <w:r>
        <w:rPr>
          <w:rFonts w:hint="eastAsia"/>
        </w:rPr>
        <w:t>年1月</w:t>
      </w:r>
      <w:r>
        <w:t>3</w:t>
      </w:r>
      <w:r>
        <w:rPr>
          <w:rFonts w:hint="eastAsia"/>
        </w:rPr>
        <w:t>日至1月</w:t>
      </w:r>
      <w:r>
        <w:t>4</w:t>
      </w:r>
      <w:r>
        <w:rPr>
          <w:rFonts w:hint="eastAsia"/>
        </w:rPr>
        <w:t>日</w:t>
      </w:r>
    </w:p>
    <w:p w14:paraId="5968C5BF">
      <w:pPr>
        <w:spacing w:line="360" w:lineRule="auto"/>
        <w:ind w:firstLine="482"/>
      </w:pPr>
      <w:r>
        <w:rPr>
          <w:rFonts w:hint="eastAsia"/>
        </w:rPr>
        <w:t>（4）</w:t>
      </w:r>
      <w:r>
        <w:t>监测点设置</w:t>
      </w:r>
    </w:p>
    <w:p w14:paraId="2377152B">
      <w:pPr>
        <w:spacing w:line="360" w:lineRule="auto"/>
        <w:ind w:firstLine="482"/>
      </w:pPr>
      <w:r>
        <w:rPr>
          <w:rFonts w:hint="eastAsia"/>
        </w:rPr>
        <w:t>监测点设置及监测点位布置图见表</w:t>
      </w:r>
      <w:r>
        <w:t>4.</w:t>
      </w:r>
      <w:r>
        <w:rPr>
          <w:rFonts w:hint="eastAsia"/>
        </w:rPr>
        <w:t>3</w:t>
      </w:r>
      <w:r>
        <w:t>-2</w:t>
      </w:r>
      <w:r>
        <w:rPr>
          <w:rFonts w:hint="eastAsia"/>
          <w:highlight w:val="yellow"/>
        </w:rPr>
        <w:t>及图</w:t>
      </w:r>
      <w:r>
        <w:rPr>
          <w:highlight w:val="yellow"/>
        </w:rPr>
        <w:t>4.</w:t>
      </w:r>
      <w:r>
        <w:rPr>
          <w:rFonts w:hint="eastAsia"/>
          <w:highlight w:val="yellow"/>
        </w:rPr>
        <w:t>3</w:t>
      </w:r>
      <w:r>
        <w:rPr>
          <w:highlight w:val="yellow"/>
        </w:rPr>
        <w:t>-1。</w:t>
      </w:r>
    </w:p>
    <w:p w14:paraId="2A73D1DD">
      <w:pPr>
        <w:spacing w:line="360" w:lineRule="auto"/>
        <w:ind w:firstLine="225" w:firstLineChars="94"/>
        <w:jc w:val="center"/>
        <w:rPr>
          <w:rFonts w:ascii="黑体" w:hAnsi="黑体" w:eastAsia="黑体"/>
        </w:rPr>
      </w:pPr>
      <w:r>
        <w:rPr>
          <w:rFonts w:ascii="黑体" w:hAnsi="黑体" w:eastAsia="黑体"/>
        </w:rPr>
        <w:t>表4.3-2 监测</w:t>
      </w:r>
      <w:r>
        <w:rPr>
          <w:rFonts w:hint="eastAsia" w:ascii="黑体" w:hAnsi="黑体" w:eastAsia="黑体"/>
        </w:rPr>
        <w:t>布点表</w:t>
      </w:r>
    </w:p>
    <w:tbl>
      <w:tblPr>
        <w:tblStyle w:val="87"/>
        <w:tblpPr w:leftFromText="180" w:rightFromText="180" w:vertAnchor="text" w:horzAnchor="margin" w:tblpY="19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70"/>
        <w:gridCol w:w="1554"/>
        <w:gridCol w:w="4504"/>
      </w:tblGrid>
      <w:tr w14:paraId="15D12D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4" w:hRule="exact"/>
        </w:trPr>
        <w:tc>
          <w:tcPr>
            <w:tcW w:w="1448" w:type="pct"/>
            <w:tcBorders>
              <w:right w:val="single" w:color="auto" w:sz="4" w:space="0"/>
            </w:tcBorders>
            <w:vAlign w:val="center"/>
          </w:tcPr>
          <w:p w14:paraId="3846CA73">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cs="Times New Roman" w:asciiTheme="minorEastAsia" w:hAnsiTheme="minorEastAsia" w:eastAsiaTheme="minorEastAsia"/>
                <w:kern w:val="2"/>
                <w:sz w:val="21"/>
                <w:szCs w:val="21"/>
                <w:lang w:val="zh-CN"/>
              </w:rPr>
              <w:t>监测点位</w:t>
            </w:r>
          </w:p>
        </w:tc>
        <w:tc>
          <w:tcPr>
            <w:tcW w:w="911" w:type="pct"/>
            <w:vAlign w:val="center"/>
          </w:tcPr>
          <w:p w14:paraId="0ED17C57">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监测点位数量</w:t>
            </w:r>
          </w:p>
        </w:tc>
        <w:tc>
          <w:tcPr>
            <w:tcW w:w="2641" w:type="pct"/>
            <w:vAlign w:val="center"/>
          </w:tcPr>
          <w:p w14:paraId="159BD1ED">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经纬度</w:t>
            </w:r>
          </w:p>
        </w:tc>
      </w:tr>
      <w:tr w14:paraId="26A96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18" w:hRule="exact"/>
        </w:trPr>
        <w:tc>
          <w:tcPr>
            <w:tcW w:w="1448" w:type="pct"/>
            <w:tcBorders>
              <w:right w:val="single" w:color="auto" w:sz="4" w:space="0"/>
            </w:tcBorders>
            <w:vAlign w:val="center"/>
          </w:tcPr>
          <w:p w14:paraId="14B9BE77">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cs="Times New Roman" w:asciiTheme="minorEastAsia" w:hAnsiTheme="minorEastAsia" w:eastAsiaTheme="minorEastAsia"/>
                <w:kern w:val="2"/>
                <w:sz w:val="21"/>
                <w:szCs w:val="21"/>
                <w:lang w:val="zh-CN"/>
              </w:rPr>
              <w:t>1#</w:t>
            </w:r>
            <w:r>
              <w:rPr>
                <w:rFonts w:hint="eastAsia" w:cs="Times New Roman" w:asciiTheme="minorEastAsia" w:hAnsiTheme="minorEastAsia" w:eastAsiaTheme="minorEastAsia"/>
                <w:kern w:val="2"/>
                <w:sz w:val="21"/>
                <w:szCs w:val="21"/>
                <w:lang w:val="zh-CN"/>
              </w:rPr>
              <w:t>克孜坎特村</w:t>
            </w:r>
          </w:p>
        </w:tc>
        <w:tc>
          <w:tcPr>
            <w:tcW w:w="911" w:type="pct"/>
            <w:tcBorders>
              <w:left w:val="single" w:color="auto" w:sz="4" w:space="0"/>
            </w:tcBorders>
            <w:vAlign w:val="center"/>
          </w:tcPr>
          <w:p w14:paraId="34CC88F0">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1</w:t>
            </w:r>
          </w:p>
        </w:tc>
        <w:tc>
          <w:tcPr>
            <w:tcW w:w="2641" w:type="pct"/>
            <w:vAlign w:val="center"/>
          </w:tcPr>
          <w:p w14:paraId="25AE3163">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E</w:t>
            </w:r>
            <w:r>
              <w:rPr>
                <w:rFonts w:cs="Times New Roman" w:asciiTheme="minorEastAsia" w:hAnsiTheme="minorEastAsia" w:eastAsiaTheme="minorEastAsia"/>
                <w:kern w:val="2"/>
                <w:sz w:val="21"/>
                <w:szCs w:val="21"/>
                <w:lang w:val="zh-CN"/>
              </w:rPr>
              <w:t>75</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48</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00.70</w:t>
            </w:r>
            <w:r>
              <w:rPr>
                <w:rFonts w:hint="eastAsia" w:cs="Times New Roman" w:asciiTheme="minorEastAsia" w:hAnsiTheme="minorEastAsia" w:eastAsiaTheme="minorEastAsia"/>
                <w:kern w:val="2"/>
                <w:sz w:val="21"/>
                <w:szCs w:val="21"/>
                <w:lang w:val="zh-CN"/>
              </w:rPr>
              <w:t>″，N</w:t>
            </w:r>
            <w:r>
              <w:rPr>
                <w:rFonts w:cs="Times New Roman" w:asciiTheme="minorEastAsia" w:hAnsiTheme="minorEastAsia" w:eastAsiaTheme="minorEastAsia"/>
                <w:kern w:val="2"/>
                <w:sz w:val="21"/>
                <w:szCs w:val="21"/>
                <w:lang w:val="zh-CN"/>
              </w:rPr>
              <w:t>39</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13</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19.23</w:t>
            </w:r>
            <w:r>
              <w:rPr>
                <w:rFonts w:hint="eastAsia" w:cs="Times New Roman" w:asciiTheme="minorEastAsia" w:hAnsiTheme="minorEastAsia" w:eastAsiaTheme="minorEastAsia"/>
                <w:kern w:val="2"/>
                <w:sz w:val="21"/>
                <w:szCs w:val="21"/>
                <w:lang w:val="zh-CN"/>
              </w:rPr>
              <w:t>″</w:t>
            </w:r>
          </w:p>
        </w:tc>
      </w:tr>
      <w:tr w14:paraId="628B3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4" w:hRule="exact"/>
        </w:trPr>
        <w:tc>
          <w:tcPr>
            <w:tcW w:w="1448" w:type="pct"/>
            <w:tcBorders>
              <w:right w:val="single" w:color="auto" w:sz="4" w:space="0"/>
            </w:tcBorders>
            <w:vAlign w:val="center"/>
          </w:tcPr>
          <w:p w14:paraId="4AE44D86">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cs="Times New Roman" w:asciiTheme="minorEastAsia" w:hAnsiTheme="minorEastAsia" w:eastAsiaTheme="minorEastAsia"/>
                <w:kern w:val="2"/>
                <w:sz w:val="21"/>
                <w:szCs w:val="21"/>
                <w:lang w:val="zh-CN"/>
              </w:rPr>
              <w:t>2#</w:t>
            </w:r>
            <w:r>
              <w:rPr>
                <w:rFonts w:hint="eastAsia" w:cs="Times New Roman" w:asciiTheme="minorEastAsia" w:hAnsiTheme="minorEastAsia" w:eastAsiaTheme="minorEastAsia"/>
                <w:kern w:val="2"/>
                <w:sz w:val="21"/>
                <w:szCs w:val="21"/>
                <w:lang w:val="zh-CN"/>
              </w:rPr>
              <w:t>阿克乌斯唐村</w:t>
            </w:r>
          </w:p>
        </w:tc>
        <w:tc>
          <w:tcPr>
            <w:tcW w:w="911" w:type="pct"/>
            <w:vAlign w:val="center"/>
          </w:tcPr>
          <w:p w14:paraId="337EDC0E">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1</w:t>
            </w:r>
          </w:p>
        </w:tc>
        <w:tc>
          <w:tcPr>
            <w:tcW w:w="2641" w:type="pct"/>
            <w:vAlign w:val="center"/>
          </w:tcPr>
          <w:p w14:paraId="24CCDEC7">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E</w:t>
            </w:r>
            <w:r>
              <w:rPr>
                <w:rFonts w:cs="Times New Roman" w:asciiTheme="minorEastAsia" w:hAnsiTheme="minorEastAsia" w:eastAsiaTheme="minorEastAsia"/>
                <w:kern w:val="2"/>
                <w:sz w:val="21"/>
                <w:szCs w:val="21"/>
                <w:lang w:val="zh-CN"/>
              </w:rPr>
              <w:t>75</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34</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32.00</w:t>
            </w:r>
            <w:r>
              <w:rPr>
                <w:rFonts w:hint="eastAsia" w:cs="Times New Roman" w:asciiTheme="minorEastAsia" w:hAnsiTheme="minorEastAsia" w:eastAsiaTheme="minorEastAsia"/>
                <w:kern w:val="2"/>
                <w:sz w:val="21"/>
                <w:szCs w:val="21"/>
                <w:lang w:val="zh-CN"/>
              </w:rPr>
              <w:t>″，N</w:t>
            </w:r>
            <w:r>
              <w:rPr>
                <w:rFonts w:cs="Times New Roman" w:asciiTheme="minorEastAsia" w:hAnsiTheme="minorEastAsia" w:eastAsiaTheme="minorEastAsia"/>
                <w:kern w:val="2"/>
                <w:sz w:val="21"/>
                <w:szCs w:val="21"/>
                <w:lang w:val="zh-CN"/>
              </w:rPr>
              <w:t>39</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14</w:t>
            </w:r>
            <w:r>
              <w:rPr>
                <w:rFonts w:hint="eastAsia" w:cs="Times New Roman" w:asciiTheme="minorEastAsia" w:hAnsiTheme="minorEastAsia" w:eastAsiaTheme="minorEastAsia"/>
                <w:kern w:val="2"/>
                <w:sz w:val="21"/>
                <w:szCs w:val="21"/>
                <w:lang w:val="zh-CN"/>
              </w:rPr>
              <w:t>′4</w:t>
            </w:r>
            <w:r>
              <w:rPr>
                <w:rFonts w:cs="Times New Roman" w:asciiTheme="minorEastAsia" w:hAnsiTheme="minorEastAsia" w:eastAsiaTheme="minorEastAsia"/>
                <w:kern w:val="2"/>
                <w:sz w:val="21"/>
                <w:szCs w:val="21"/>
                <w:lang w:val="zh-CN"/>
              </w:rPr>
              <w:t>8.73</w:t>
            </w:r>
            <w:r>
              <w:rPr>
                <w:rFonts w:hint="eastAsia" w:cs="Times New Roman" w:asciiTheme="minorEastAsia" w:hAnsiTheme="minorEastAsia" w:eastAsiaTheme="minorEastAsia"/>
                <w:kern w:val="2"/>
                <w:sz w:val="21"/>
                <w:szCs w:val="21"/>
                <w:lang w:val="zh-CN"/>
              </w:rPr>
              <w:t>″</w:t>
            </w:r>
          </w:p>
        </w:tc>
      </w:tr>
      <w:tr w14:paraId="0405D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9" w:hRule="exact"/>
        </w:trPr>
        <w:tc>
          <w:tcPr>
            <w:tcW w:w="1448" w:type="pct"/>
            <w:tcBorders>
              <w:right w:val="single" w:color="auto" w:sz="4" w:space="0"/>
            </w:tcBorders>
            <w:vAlign w:val="center"/>
          </w:tcPr>
          <w:p w14:paraId="128ABA2D">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cs="Times New Roman" w:asciiTheme="minorEastAsia" w:hAnsiTheme="minorEastAsia" w:eastAsiaTheme="minorEastAsia"/>
                <w:kern w:val="2"/>
                <w:sz w:val="21"/>
                <w:szCs w:val="21"/>
                <w:lang w:val="zh-CN"/>
              </w:rPr>
              <w:t>3#</w:t>
            </w:r>
            <w:r>
              <w:rPr>
                <w:rFonts w:hint="eastAsia" w:cs="Times New Roman" w:asciiTheme="minorEastAsia" w:hAnsiTheme="minorEastAsia" w:eastAsiaTheme="minorEastAsia"/>
                <w:kern w:val="2"/>
                <w:sz w:val="21"/>
                <w:szCs w:val="21"/>
                <w:lang w:val="zh-CN"/>
              </w:rPr>
              <w:t>喀拉乌斯唐村</w:t>
            </w:r>
          </w:p>
        </w:tc>
        <w:tc>
          <w:tcPr>
            <w:tcW w:w="911" w:type="pct"/>
            <w:vAlign w:val="center"/>
          </w:tcPr>
          <w:p w14:paraId="6F151DD2">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1</w:t>
            </w:r>
          </w:p>
        </w:tc>
        <w:tc>
          <w:tcPr>
            <w:tcW w:w="2641" w:type="pct"/>
            <w:vAlign w:val="center"/>
          </w:tcPr>
          <w:p w14:paraId="1825FA73">
            <w:pPr>
              <w:tabs>
                <w:tab w:val="center" w:pos="4153"/>
                <w:tab w:val="right" w:pos="8306"/>
              </w:tabs>
              <w:snapToGrid w:val="0"/>
              <w:spacing w:line="360" w:lineRule="auto"/>
              <w:jc w:val="center"/>
              <w:rPr>
                <w:rFonts w:cs="Times New Roman" w:asciiTheme="minorEastAsia" w:hAnsiTheme="minorEastAsia" w:eastAsiaTheme="minorEastAsia"/>
                <w:kern w:val="2"/>
                <w:sz w:val="21"/>
                <w:szCs w:val="21"/>
                <w:lang w:val="zh-CN"/>
              </w:rPr>
            </w:pPr>
            <w:r>
              <w:rPr>
                <w:rFonts w:hint="eastAsia" w:cs="Times New Roman" w:asciiTheme="minorEastAsia" w:hAnsiTheme="minorEastAsia" w:eastAsiaTheme="minorEastAsia"/>
                <w:kern w:val="2"/>
                <w:sz w:val="21"/>
                <w:szCs w:val="21"/>
                <w:lang w:val="zh-CN"/>
              </w:rPr>
              <w:t>E</w:t>
            </w:r>
            <w:r>
              <w:rPr>
                <w:rFonts w:cs="Times New Roman" w:asciiTheme="minorEastAsia" w:hAnsiTheme="minorEastAsia" w:eastAsiaTheme="minorEastAsia"/>
                <w:kern w:val="2"/>
                <w:sz w:val="21"/>
                <w:szCs w:val="21"/>
                <w:lang w:val="zh-CN"/>
              </w:rPr>
              <w:t>75</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35</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37.09</w:t>
            </w:r>
            <w:r>
              <w:rPr>
                <w:rFonts w:hint="eastAsia" w:cs="Times New Roman" w:asciiTheme="minorEastAsia" w:hAnsiTheme="minorEastAsia" w:eastAsiaTheme="minorEastAsia"/>
                <w:kern w:val="2"/>
                <w:sz w:val="21"/>
                <w:szCs w:val="21"/>
                <w:lang w:val="zh-CN"/>
              </w:rPr>
              <w:t>″，N</w:t>
            </w:r>
            <w:r>
              <w:rPr>
                <w:rFonts w:cs="Times New Roman" w:asciiTheme="minorEastAsia" w:hAnsiTheme="minorEastAsia" w:eastAsiaTheme="minorEastAsia"/>
                <w:kern w:val="2"/>
                <w:sz w:val="21"/>
                <w:szCs w:val="21"/>
                <w:lang w:val="zh-CN"/>
              </w:rPr>
              <w:t>39</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14</w:t>
            </w:r>
            <w:r>
              <w:rPr>
                <w:rFonts w:hint="eastAsia" w:cs="Times New Roman" w:asciiTheme="minorEastAsia" w:hAnsiTheme="minorEastAsia" w:eastAsiaTheme="minorEastAsia"/>
                <w:kern w:val="2"/>
                <w:sz w:val="21"/>
                <w:szCs w:val="21"/>
                <w:lang w:val="zh-CN"/>
              </w:rPr>
              <w:t>′</w:t>
            </w:r>
            <w:r>
              <w:rPr>
                <w:rFonts w:cs="Times New Roman" w:asciiTheme="minorEastAsia" w:hAnsiTheme="minorEastAsia" w:eastAsiaTheme="minorEastAsia"/>
                <w:kern w:val="2"/>
                <w:sz w:val="21"/>
                <w:szCs w:val="21"/>
                <w:lang w:val="zh-CN"/>
              </w:rPr>
              <w:t>28.71</w:t>
            </w:r>
            <w:r>
              <w:rPr>
                <w:rFonts w:hint="eastAsia" w:cs="Times New Roman" w:asciiTheme="minorEastAsia" w:hAnsiTheme="minorEastAsia" w:eastAsiaTheme="minorEastAsia"/>
                <w:kern w:val="2"/>
                <w:sz w:val="21"/>
                <w:szCs w:val="21"/>
                <w:lang w:val="zh-CN"/>
              </w:rPr>
              <w:t>″</w:t>
            </w:r>
          </w:p>
        </w:tc>
      </w:tr>
    </w:tbl>
    <w:p w14:paraId="5B30A9E4">
      <w:pPr>
        <w:spacing w:line="560" w:lineRule="exact"/>
        <w:ind w:firstLine="225" w:firstLineChars="94"/>
        <w:jc w:val="center"/>
        <w:rPr>
          <w:rFonts w:ascii="黑体" w:hAnsi="黑体" w:eastAsia="黑体"/>
        </w:rPr>
      </w:pPr>
    </w:p>
    <w:p w14:paraId="74F27427">
      <w:pPr>
        <w:spacing w:line="360" w:lineRule="auto"/>
        <w:ind w:firstLine="482"/>
      </w:pPr>
      <w:r>
        <w:t>（5）监测方法及监测结果</w:t>
      </w:r>
    </w:p>
    <w:p w14:paraId="145F04B1">
      <w:pPr>
        <w:spacing w:line="360" w:lineRule="auto"/>
        <w:ind w:firstLine="482"/>
      </w:pPr>
      <w:r>
        <w:t>监测方法：声级计法GB3096-2008。</w:t>
      </w:r>
    </w:p>
    <w:p w14:paraId="1C43ABFB">
      <w:pPr>
        <w:spacing w:line="360" w:lineRule="auto"/>
        <w:ind w:firstLine="482"/>
      </w:pPr>
      <w:r>
        <w:t>监测结果分析见表4.3-3。</w:t>
      </w:r>
    </w:p>
    <w:p w14:paraId="6B298011">
      <w:pPr>
        <w:spacing w:line="560" w:lineRule="exact"/>
        <w:ind w:firstLine="198" w:firstLineChars="94"/>
        <w:jc w:val="center"/>
        <w:rPr>
          <w:b/>
          <w:sz w:val="21"/>
          <w:szCs w:val="21"/>
        </w:rPr>
      </w:pPr>
      <w:r>
        <w:rPr>
          <w:b/>
          <w:sz w:val="21"/>
          <w:szCs w:val="21"/>
        </w:rPr>
        <w:t>表4.3-3监测点环境噪声达标分析表</w:t>
      </w:r>
    </w:p>
    <w:tbl>
      <w:tblPr>
        <w:tblStyle w:val="87"/>
        <w:tblW w:w="4998" w:type="pct"/>
        <w:jc w:val="right"/>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5"/>
        <w:gridCol w:w="1023"/>
        <w:gridCol w:w="1606"/>
        <w:gridCol w:w="1608"/>
        <w:gridCol w:w="1685"/>
        <w:gridCol w:w="868"/>
      </w:tblGrid>
      <w:tr w14:paraId="592319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5" w:hRule="exact"/>
          <w:jc w:val="right"/>
        </w:trPr>
        <w:tc>
          <w:tcPr>
            <w:tcW w:w="1018" w:type="pct"/>
            <w:vMerge w:val="restart"/>
            <w:tcBorders>
              <w:right w:val="single" w:color="auto" w:sz="4" w:space="0"/>
            </w:tcBorders>
            <w:vAlign w:val="center"/>
          </w:tcPr>
          <w:p w14:paraId="3222FBBF">
            <w:pPr>
              <w:jc w:val="center"/>
              <w:rPr>
                <w:sz w:val="21"/>
                <w:szCs w:val="21"/>
              </w:rPr>
            </w:pPr>
            <w:r>
              <w:rPr>
                <w:sz w:val="21"/>
                <w:szCs w:val="21"/>
              </w:rPr>
              <w:t>监测点位</w:t>
            </w:r>
          </w:p>
        </w:tc>
        <w:tc>
          <w:tcPr>
            <w:tcW w:w="600" w:type="pct"/>
            <w:vMerge w:val="restart"/>
            <w:vAlign w:val="center"/>
          </w:tcPr>
          <w:p w14:paraId="032093B3">
            <w:pPr>
              <w:jc w:val="center"/>
              <w:rPr>
                <w:sz w:val="21"/>
                <w:szCs w:val="21"/>
              </w:rPr>
            </w:pPr>
            <w:r>
              <w:rPr>
                <w:sz w:val="21"/>
                <w:szCs w:val="21"/>
              </w:rPr>
              <w:t>时间</w:t>
            </w:r>
          </w:p>
        </w:tc>
        <w:tc>
          <w:tcPr>
            <w:tcW w:w="1885" w:type="pct"/>
            <w:gridSpan w:val="2"/>
            <w:vAlign w:val="center"/>
          </w:tcPr>
          <w:p w14:paraId="13CEEE2E">
            <w:pPr>
              <w:jc w:val="center"/>
              <w:rPr>
                <w:sz w:val="21"/>
                <w:szCs w:val="21"/>
              </w:rPr>
            </w:pPr>
            <w:r>
              <w:rPr>
                <w:sz w:val="21"/>
                <w:szCs w:val="21"/>
              </w:rPr>
              <w:t>噪声级[dB(A)]</w:t>
            </w:r>
          </w:p>
        </w:tc>
        <w:tc>
          <w:tcPr>
            <w:tcW w:w="988" w:type="pct"/>
            <w:vMerge w:val="restart"/>
            <w:vAlign w:val="center"/>
          </w:tcPr>
          <w:p w14:paraId="04941E61">
            <w:pPr>
              <w:jc w:val="center"/>
              <w:rPr>
                <w:sz w:val="21"/>
                <w:szCs w:val="21"/>
              </w:rPr>
            </w:pPr>
            <w:r>
              <w:rPr>
                <w:sz w:val="21"/>
                <w:szCs w:val="21"/>
              </w:rPr>
              <w:t>标准值</w:t>
            </w:r>
          </w:p>
          <w:p w14:paraId="415E142E">
            <w:pPr>
              <w:jc w:val="center"/>
              <w:rPr>
                <w:sz w:val="21"/>
                <w:szCs w:val="21"/>
              </w:rPr>
            </w:pPr>
            <w:r>
              <w:rPr>
                <w:sz w:val="21"/>
                <w:szCs w:val="21"/>
              </w:rPr>
              <w:t>[dB(A)]</w:t>
            </w:r>
          </w:p>
        </w:tc>
        <w:tc>
          <w:tcPr>
            <w:tcW w:w="509" w:type="pct"/>
            <w:vMerge w:val="restart"/>
            <w:vAlign w:val="center"/>
          </w:tcPr>
          <w:p w14:paraId="5138F13E">
            <w:pPr>
              <w:jc w:val="center"/>
              <w:rPr>
                <w:sz w:val="21"/>
                <w:szCs w:val="21"/>
              </w:rPr>
            </w:pPr>
            <w:r>
              <w:rPr>
                <w:rFonts w:hint="eastAsia"/>
                <w:sz w:val="21"/>
                <w:szCs w:val="21"/>
              </w:rPr>
              <w:t>达标</w:t>
            </w:r>
          </w:p>
          <w:p w14:paraId="108BAAC6">
            <w:pPr>
              <w:jc w:val="center"/>
              <w:rPr>
                <w:sz w:val="21"/>
                <w:szCs w:val="21"/>
              </w:rPr>
            </w:pPr>
            <w:r>
              <w:rPr>
                <w:rFonts w:hint="eastAsia"/>
                <w:sz w:val="21"/>
                <w:szCs w:val="21"/>
              </w:rPr>
              <w:t>情况</w:t>
            </w:r>
          </w:p>
        </w:tc>
      </w:tr>
      <w:tr w14:paraId="3FF1C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1" w:hRule="exact"/>
          <w:jc w:val="right"/>
        </w:trPr>
        <w:tc>
          <w:tcPr>
            <w:tcW w:w="1018" w:type="pct"/>
            <w:vMerge w:val="continue"/>
            <w:tcBorders>
              <w:right w:val="single" w:color="auto" w:sz="4" w:space="0"/>
            </w:tcBorders>
            <w:vAlign w:val="center"/>
          </w:tcPr>
          <w:p w14:paraId="32A31184">
            <w:pPr>
              <w:jc w:val="center"/>
              <w:rPr>
                <w:sz w:val="21"/>
                <w:szCs w:val="21"/>
              </w:rPr>
            </w:pPr>
          </w:p>
        </w:tc>
        <w:tc>
          <w:tcPr>
            <w:tcW w:w="600" w:type="pct"/>
            <w:vMerge w:val="continue"/>
            <w:vAlign w:val="center"/>
          </w:tcPr>
          <w:p w14:paraId="34E3C893">
            <w:pPr>
              <w:jc w:val="center"/>
              <w:rPr>
                <w:sz w:val="21"/>
                <w:szCs w:val="21"/>
              </w:rPr>
            </w:pPr>
          </w:p>
        </w:tc>
        <w:tc>
          <w:tcPr>
            <w:tcW w:w="942" w:type="pct"/>
            <w:vAlign w:val="center"/>
          </w:tcPr>
          <w:p w14:paraId="21927E27">
            <w:pPr>
              <w:jc w:val="center"/>
              <w:rPr>
                <w:sz w:val="21"/>
                <w:szCs w:val="21"/>
              </w:rPr>
            </w:pPr>
            <w:r>
              <w:rPr>
                <w:sz w:val="21"/>
                <w:szCs w:val="21"/>
              </w:rPr>
              <w:t>1月2日</w:t>
            </w:r>
            <w:r>
              <w:rPr>
                <w:rFonts w:hint="eastAsia"/>
                <w:sz w:val="21"/>
                <w:szCs w:val="21"/>
              </w:rPr>
              <w:t>-</w:t>
            </w:r>
            <w:r>
              <w:rPr>
                <w:sz w:val="21"/>
                <w:szCs w:val="21"/>
              </w:rPr>
              <w:t>3日</w:t>
            </w:r>
          </w:p>
        </w:tc>
        <w:tc>
          <w:tcPr>
            <w:tcW w:w="943" w:type="pct"/>
            <w:vAlign w:val="center"/>
          </w:tcPr>
          <w:p w14:paraId="0BFE7457">
            <w:pPr>
              <w:jc w:val="center"/>
              <w:rPr>
                <w:sz w:val="21"/>
                <w:szCs w:val="21"/>
              </w:rPr>
            </w:pPr>
            <w:r>
              <w:rPr>
                <w:sz w:val="21"/>
                <w:szCs w:val="21"/>
              </w:rPr>
              <w:t>1月3日</w:t>
            </w:r>
            <w:r>
              <w:rPr>
                <w:rFonts w:hint="eastAsia"/>
                <w:sz w:val="21"/>
                <w:szCs w:val="21"/>
              </w:rPr>
              <w:t>-</w:t>
            </w:r>
            <w:r>
              <w:rPr>
                <w:sz w:val="21"/>
                <w:szCs w:val="21"/>
              </w:rPr>
              <w:t>4日</w:t>
            </w:r>
          </w:p>
        </w:tc>
        <w:tc>
          <w:tcPr>
            <w:tcW w:w="988" w:type="pct"/>
            <w:vMerge w:val="continue"/>
            <w:vAlign w:val="center"/>
          </w:tcPr>
          <w:p w14:paraId="3BC1DCBC">
            <w:pPr>
              <w:jc w:val="center"/>
              <w:rPr>
                <w:sz w:val="21"/>
                <w:szCs w:val="21"/>
              </w:rPr>
            </w:pPr>
          </w:p>
        </w:tc>
        <w:tc>
          <w:tcPr>
            <w:tcW w:w="509" w:type="pct"/>
            <w:vMerge w:val="continue"/>
            <w:vAlign w:val="center"/>
          </w:tcPr>
          <w:p w14:paraId="173DFBCE">
            <w:pPr>
              <w:jc w:val="center"/>
              <w:rPr>
                <w:sz w:val="21"/>
                <w:szCs w:val="21"/>
              </w:rPr>
            </w:pPr>
          </w:p>
        </w:tc>
      </w:tr>
      <w:tr w14:paraId="708EC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right"/>
        </w:trPr>
        <w:tc>
          <w:tcPr>
            <w:tcW w:w="1018" w:type="pct"/>
            <w:vMerge w:val="restart"/>
            <w:tcBorders>
              <w:right w:val="single" w:color="auto" w:sz="4" w:space="0"/>
            </w:tcBorders>
            <w:vAlign w:val="center"/>
          </w:tcPr>
          <w:p w14:paraId="39D3DD40">
            <w:pPr>
              <w:jc w:val="center"/>
              <w:rPr>
                <w:sz w:val="21"/>
                <w:szCs w:val="21"/>
              </w:rPr>
            </w:pPr>
            <w:r>
              <w:rPr>
                <w:sz w:val="21"/>
                <w:szCs w:val="21"/>
              </w:rPr>
              <w:t>1#</w:t>
            </w:r>
            <w:r>
              <w:rPr>
                <w:rFonts w:hint="eastAsia"/>
                <w:sz w:val="21"/>
                <w:szCs w:val="21"/>
              </w:rPr>
              <w:t>克孜坎特村</w:t>
            </w:r>
          </w:p>
        </w:tc>
        <w:tc>
          <w:tcPr>
            <w:tcW w:w="600" w:type="pct"/>
            <w:tcBorders>
              <w:left w:val="single" w:color="auto" w:sz="4" w:space="0"/>
            </w:tcBorders>
            <w:vAlign w:val="center"/>
          </w:tcPr>
          <w:p w14:paraId="0FDBB872">
            <w:pPr>
              <w:jc w:val="center"/>
              <w:rPr>
                <w:sz w:val="21"/>
                <w:szCs w:val="21"/>
              </w:rPr>
            </w:pPr>
            <w:r>
              <w:rPr>
                <w:sz w:val="21"/>
                <w:szCs w:val="21"/>
              </w:rPr>
              <w:t>昼间</w:t>
            </w:r>
          </w:p>
        </w:tc>
        <w:tc>
          <w:tcPr>
            <w:tcW w:w="942" w:type="pct"/>
            <w:vAlign w:val="center"/>
          </w:tcPr>
          <w:p w14:paraId="7B3F98DF">
            <w:pPr>
              <w:jc w:val="center"/>
              <w:rPr>
                <w:sz w:val="21"/>
                <w:szCs w:val="21"/>
              </w:rPr>
            </w:pPr>
            <w:r>
              <w:rPr>
                <w:rFonts w:hint="eastAsia"/>
                <w:sz w:val="21"/>
                <w:szCs w:val="21"/>
              </w:rPr>
              <w:t>5</w:t>
            </w:r>
            <w:r>
              <w:rPr>
                <w:sz w:val="21"/>
                <w:szCs w:val="21"/>
              </w:rPr>
              <w:t>6</w:t>
            </w:r>
          </w:p>
        </w:tc>
        <w:tc>
          <w:tcPr>
            <w:tcW w:w="943" w:type="pct"/>
            <w:vAlign w:val="center"/>
          </w:tcPr>
          <w:p w14:paraId="51D88A56">
            <w:pPr>
              <w:jc w:val="center"/>
              <w:rPr>
                <w:sz w:val="21"/>
                <w:szCs w:val="21"/>
              </w:rPr>
            </w:pPr>
            <w:r>
              <w:rPr>
                <w:rFonts w:hint="eastAsia"/>
                <w:sz w:val="21"/>
                <w:szCs w:val="21"/>
              </w:rPr>
              <w:t>5</w:t>
            </w:r>
            <w:r>
              <w:rPr>
                <w:sz w:val="21"/>
                <w:szCs w:val="21"/>
              </w:rPr>
              <w:t>8</w:t>
            </w:r>
          </w:p>
        </w:tc>
        <w:tc>
          <w:tcPr>
            <w:tcW w:w="988" w:type="pct"/>
            <w:vAlign w:val="center"/>
          </w:tcPr>
          <w:p w14:paraId="7B3FF1A9">
            <w:pPr>
              <w:jc w:val="center"/>
              <w:rPr>
                <w:sz w:val="21"/>
                <w:szCs w:val="21"/>
              </w:rPr>
            </w:pPr>
            <w:r>
              <w:rPr>
                <w:rFonts w:hint="eastAsia"/>
                <w:sz w:val="21"/>
                <w:szCs w:val="21"/>
              </w:rPr>
              <w:t>60</w:t>
            </w:r>
          </w:p>
        </w:tc>
        <w:tc>
          <w:tcPr>
            <w:tcW w:w="509" w:type="pct"/>
            <w:vAlign w:val="center"/>
          </w:tcPr>
          <w:p w14:paraId="5F26DA3A">
            <w:pPr>
              <w:jc w:val="center"/>
              <w:rPr>
                <w:sz w:val="21"/>
                <w:szCs w:val="21"/>
              </w:rPr>
            </w:pPr>
            <w:r>
              <w:rPr>
                <w:sz w:val="21"/>
                <w:szCs w:val="21"/>
              </w:rPr>
              <w:t>达标</w:t>
            </w:r>
          </w:p>
        </w:tc>
      </w:tr>
      <w:tr w14:paraId="2D8A1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right"/>
        </w:trPr>
        <w:tc>
          <w:tcPr>
            <w:tcW w:w="1018" w:type="pct"/>
            <w:vMerge w:val="continue"/>
            <w:tcBorders>
              <w:right w:val="single" w:color="auto" w:sz="4" w:space="0"/>
            </w:tcBorders>
            <w:vAlign w:val="center"/>
          </w:tcPr>
          <w:p w14:paraId="30F7710A">
            <w:pPr>
              <w:jc w:val="center"/>
              <w:rPr>
                <w:sz w:val="21"/>
                <w:szCs w:val="21"/>
              </w:rPr>
            </w:pPr>
          </w:p>
        </w:tc>
        <w:tc>
          <w:tcPr>
            <w:tcW w:w="600" w:type="pct"/>
            <w:tcBorders>
              <w:left w:val="single" w:color="auto" w:sz="4" w:space="0"/>
            </w:tcBorders>
            <w:vAlign w:val="center"/>
          </w:tcPr>
          <w:p w14:paraId="1FB85949">
            <w:pPr>
              <w:jc w:val="center"/>
              <w:rPr>
                <w:sz w:val="21"/>
                <w:szCs w:val="21"/>
              </w:rPr>
            </w:pPr>
            <w:r>
              <w:rPr>
                <w:sz w:val="21"/>
                <w:szCs w:val="21"/>
              </w:rPr>
              <w:t>夜间</w:t>
            </w:r>
          </w:p>
        </w:tc>
        <w:tc>
          <w:tcPr>
            <w:tcW w:w="942" w:type="pct"/>
            <w:vAlign w:val="center"/>
          </w:tcPr>
          <w:p w14:paraId="7E461863">
            <w:pPr>
              <w:jc w:val="center"/>
              <w:rPr>
                <w:sz w:val="21"/>
                <w:szCs w:val="21"/>
              </w:rPr>
            </w:pPr>
            <w:r>
              <w:rPr>
                <w:rFonts w:hint="eastAsia"/>
                <w:sz w:val="21"/>
                <w:szCs w:val="21"/>
              </w:rPr>
              <w:t>4</w:t>
            </w:r>
            <w:r>
              <w:rPr>
                <w:sz w:val="21"/>
                <w:szCs w:val="21"/>
              </w:rPr>
              <w:t>3</w:t>
            </w:r>
          </w:p>
        </w:tc>
        <w:tc>
          <w:tcPr>
            <w:tcW w:w="943" w:type="pct"/>
            <w:vAlign w:val="center"/>
          </w:tcPr>
          <w:p w14:paraId="62228A1F">
            <w:pPr>
              <w:jc w:val="center"/>
              <w:rPr>
                <w:sz w:val="21"/>
                <w:szCs w:val="21"/>
              </w:rPr>
            </w:pPr>
            <w:r>
              <w:rPr>
                <w:rFonts w:hint="eastAsia"/>
                <w:sz w:val="21"/>
                <w:szCs w:val="21"/>
              </w:rPr>
              <w:t>4</w:t>
            </w:r>
            <w:r>
              <w:rPr>
                <w:sz w:val="21"/>
                <w:szCs w:val="21"/>
              </w:rPr>
              <w:t>1</w:t>
            </w:r>
          </w:p>
        </w:tc>
        <w:tc>
          <w:tcPr>
            <w:tcW w:w="988" w:type="pct"/>
            <w:vAlign w:val="center"/>
          </w:tcPr>
          <w:p w14:paraId="6219A05A">
            <w:pPr>
              <w:jc w:val="center"/>
              <w:rPr>
                <w:sz w:val="21"/>
                <w:szCs w:val="21"/>
              </w:rPr>
            </w:pPr>
            <w:r>
              <w:rPr>
                <w:rFonts w:hint="eastAsia"/>
                <w:sz w:val="21"/>
                <w:szCs w:val="21"/>
              </w:rPr>
              <w:t>50</w:t>
            </w:r>
          </w:p>
        </w:tc>
        <w:tc>
          <w:tcPr>
            <w:tcW w:w="509" w:type="pct"/>
            <w:vAlign w:val="center"/>
          </w:tcPr>
          <w:p w14:paraId="0C29756A">
            <w:pPr>
              <w:jc w:val="center"/>
              <w:rPr>
                <w:sz w:val="21"/>
                <w:szCs w:val="21"/>
              </w:rPr>
            </w:pPr>
            <w:r>
              <w:rPr>
                <w:sz w:val="21"/>
                <w:szCs w:val="21"/>
              </w:rPr>
              <w:t>达标</w:t>
            </w:r>
          </w:p>
        </w:tc>
      </w:tr>
      <w:tr w14:paraId="6F5171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right"/>
        </w:trPr>
        <w:tc>
          <w:tcPr>
            <w:tcW w:w="1018" w:type="pct"/>
            <w:vMerge w:val="restart"/>
            <w:tcBorders>
              <w:right w:val="single" w:color="auto" w:sz="4" w:space="0"/>
            </w:tcBorders>
            <w:vAlign w:val="center"/>
          </w:tcPr>
          <w:p w14:paraId="25FC8F15">
            <w:pPr>
              <w:jc w:val="center"/>
              <w:rPr>
                <w:sz w:val="21"/>
                <w:szCs w:val="21"/>
              </w:rPr>
            </w:pPr>
            <w:r>
              <w:rPr>
                <w:sz w:val="21"/>
                <w:szCs w:val="21"/>
              </w:rPr>
              <w:t>2#</w:t>
            </w:r>
            <w:r>
              <w:rPr>
                <w:rFonts w:hint="eastAsia"/>
                <w:sz w:val="21"/>
                <w:szCs w:val="21"/>
              </w:rPr>
              <w:t>阿克乌斯唐村</w:t>
            </w:r>
          </w:p>
        </w:tc>
        <w:tc>
          <w:tcPr>
            <w:tcW w:w="600" w:type="pct"/>
            <w:vAlign w:val="center"/>
          </w:tcPr>
          <w:p w14:paraId="6509E13C">
            <w:pPr>
              <w:jc w:val="center"/>
              <w:rPr>
                <w:sz w:val="21"/>
                <w:szCs w:val="21"/>
              </w:rPr>
            </w:pPr>
            <w:r>
              <w:rPr>
                <w:sz w:val="21"/>
                <w:szCs w:val="21"/>
              </w:rPr>
              <w:t>昼间</w:t>
            </w:r>
          </w:p>
        </w:tc>
        <w:tc>
          <w:tcPr>
            <w:tcW w:w="942" w:type="pct"/>
            <w:vAlign w:val="center"/>
          </w:tcPr>
          <w:p w14:paraId="47129503">
            <w:pPr>
              <w:jc w:val="center"/>
              <w:rPr>
                <w:sz w:val="21"/>
                <w:szCs w:val="21"/>
              </w:rPr>
            </w:pPr>
            <w:r>
              <w:rPr>
                <w:rFonts w:hint="eastAsia"/>
                <w:sz w:val="21"/>
                <w:szCs w:val="21"/>
              </w:rPr>
              <w:t>5</w:t>
            </w:r>
            <w:r>
              <w:rPr>
                <w:sz w:val="21"/>
                <w:szCs w:val="21"/>
              </w:rPr>
              <w:t>9</w:t>
            </w:r>
          </w:p>
        </w:tc>
        <w:tc>
          <w:tcPr>
            <w:tcW w:w="943" w:type="pct"/>
            <w:vAlign w:val="center"/>
          </w:tcPr>
          <w:p w14:paraId="2EEB623E">
            <w:pPr>
              <w:jc w:val="center"/>
              <w:rPr>
                <w:sz w:val="21"/>
                <w:szCs w:val="21"/>
              </w:rPr>
            </w:pPr>
            <w:r>
              <w:rPr>
                <w:rFonts w:hint="eastAsia"/>
                <w:sz w:val="21"/>
                <w:szCs w:val="21"/>
              </w:rPr>
              <w:t>5</w:t>
            </w:r>
            <w:r>
              <w:rPr>
                <w:sz w:val="21"/>
                <w:szCs w:val="21"/>
              </w:rPr>
              <w:t>9</w:t>
            </w:r>
          </w:p>
        </w:tc>
        <w:tc>
          <w:tcPr>
            <w:tcW w:w="988" w:type="pct"/>
            <w:vAlign w:val="center"/>
          </w:tcPr>
          <w:p w14:paraId="1724A94F">
            <w:pPr>
              <w:jc w:val="center"/>
              <w:rPr>
                <w:sz w:val="21"/>
                <w:szCs w:val="21"/>
              </w:rPr>
            </w:pPr>
            <w:r>
              <w:rPr>
                <w:rFonts w:hint="eastAsia"/>
                <w:sz w:val="21"/>
                <w:szCs w:val="21"/>
              </w:rPr>
              <w:t>60</w:t>
            </w:r>
          </w:p>
        </w:tc>
        <w:tc>
          <w:tcPr>
            <w:tcW w:w="509" w:type="pct"/>
            <w:vAlign w:val="center"/>
          </w:tcPr>
          <w:p w14:paraId="74800BCB">
            <w:pPr>
              <w:jc w:val="center"/>
              <w:rPr>
                <w:sz w:val="21"/>
                <w:szCs w:val="21"/>
              </w:rPr>
            </w:pPr>
            <w:r>
              <w:rPr>
                <w:sz w:val="21"/>
                <w:szCs w:val="21"/>
              </w:rPr>
              <w:t>达标</w:t>
            </w:r>
          </w:p>
        </w:tc>
      </w:tr>
      <w:tr w14:paraId="60F85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right"/>
        </w:trPr>
        <w:tc>
          <w:tcPr>
            <w:tcW w:w="1018" w:type="pct"/>
            <w:vMerge w:val="continue"/>
            <w:tcBorders>
              <w:right w:val="single" w:color="auto" w:sz="4" w:space="0"/>
            </w:tcBorders>
            <w:vAlign w:val="center"/>
          </w:tcPr>
          <w:p w14:paraId="22809271">
            <w:pPr>
              <w:jc w:val="center"/>
              <w:rPr>
                <w:sz w:val="21"/>
                <w:szCs w:val="21"/>
              </w:rPr>
            </w:pPr>
          </w:p>
        </w:tc>
        <w:tc>
          <w:tcPr>
            <w:tcW w:w="600" w:type="pct"/>
            <w:vAlign w:val="center"/>
          </w:tcPr>
          <w:p w14:paraId="397EBD03">
            <w:pPr>
              <w:jc w:val="center"/>
              <w:rPr>
                <w:sz w:val="21"/>
                <w:szCs w:val="21"/>
              </w:rPr>
            </w:pPr>
            <w:r>
              <w:rPr>
                <w:sz w:val="21"/>
                <w:szCs w:val="21"/>
              </w:rPr>
              <w:t>夜间</w:t>
            </w:r>
          </w:p>
        </w:tc>
        <w:tc>
          <w:tcPr>
            <w:tcW w:w="942" w:type="pct"/>
            <w:vAlign w:val="center"/>
          </w:tcPr>
          <w:p w14:paraId="4E25EC43">
            <w:pPr>
              <w:jc w:val="center"/>
              <w:rPr>
                <w:sz w:val="21"/>
                <w:szCs w:val="21"/>
              </w:rPr>
            </w:pPr>
            <w:r>
              <w:rPr>
                <w:rFonts w:hint="eastAsia"/>
                <w:sz w:val="21"/>
                <w:szCs w:val="21"/>
              </w:rPr>
              <w:t>4</w:t>
            </w:r>
            <w:r>
              <w:rPr>
                <w:sz w:val="21"/>
                <w:szCs w:val="21"/>
              </w:rPr>
              <w:t>2</w:t>
            </w:r>
          </w:p>
        </w:tc>
        <w:tc>
          <w:tcPr>
            <w:tcW w:w="943" w:type="pct"/>
            <w:vAlign w:val="center"/>
          </w:tcPr>
          <w:p w14:paraId="1FE5ADD1">
            <w:pPr>
              <w:jc w:val="center"/>
              <w:rPr>
                <w:sz w:val="21"/>
                <w:szCs w:val="21"/>
              </w:rPr>
            </w:pPr>
            <w:r>
              <w:rPr>
                <w:rFonts w:hint="eastAsia"/>
                <w:sz w:val="21"/>
                <w:szCs w:val="21"/>
              </w:rPr>
              <w:t>4</w:t>
            </w:r>
            <w:r>
              <w:rPr>
                <w:sz w:val="21"/>
                <w:szCs w:val="21"/>
              </w:rPr>
              <w:t>4</w:t>
            </w:r>
          </w:p>
        </w:tc>
        <w:tc>
          <w:tcPr>
            <w:tcW w:w="988" w:type="pct"/>
            <w:vAlign w:val="center"/>
          </w:tcPr>
          <w:p w14:paraId="4949FED8">
            <w:pPr>
              <w:jc w:val="center"/>
              <w:rPr>
                <w:sz w:val="21"/>
                <w:szCs w:val="21"/>
              </w:rPr>
            </w:pPr>
            <w:r>
              <w:rPr>
                <w:rFonts w:hint="eastAsia"/>
                <w:sz w:val="21"/>
                <w:szCs w:val="21"/>
              </w:rPr>
              <w:t>50</w:t>
            </w:r>
          </w:p>
        </w:tc>
        <w:tc>
          <w:tcPr>
            <w:tcW w:w="509" w:type="pct"/>
            <w:vAlign w:val="center"/>
          </w:tcPr>
          <w:p w14:paraId="36C28F18">
            <w:pPr>
              <w:jc w:val="center"/>
              <w:rPr>
                <w:sz w:val="21"/>
                <w:szCs w:val="21"/>
              </w:rPr>
            </w:pPr>
            <w:r>
              <w:rPr>
                <w:sz w:val="21"/>
                <w:szCs w:val="21"/>
              </w:rPr>
              <w:t>达标</w:t>
            </w:r>
          </w:p>
        </w:tc>
      </w:tr>
      <w:tr w14:paraId="44AEEE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right"/>
        </w:trPr>
        <w:tc>
          <w:tcPr>
            <w:tcW w:w="1018" w:type="pct"/>
            <w:vMerge w:val="restart"/>
            <w:tcBorders>
              <w:right w:val="single" w:color="auto" w:sz="4" w:space="0"/>
            </w:tcBorders>
            <w:vAlign w:val="center"/>
          </w:tcPr>
          <w:p w14:paraId="3157B369">
            <w:pPr>
              <w:jc w:val="center"/>
              <w:rPr>
                <w:sz w:val="21"/>
                <w:szCs w:val="21"/>
              </w:rPr>
            </w:pPr>
            <w:r>
              <w:rPr>
                <w:sz w:val="21"/>
                <w:szCs w:val="21"/>
              </w:rPr>
              <w:t>3#</w:t>
            </w:r>
            <w:r>
              <w:rPr>
                <w:rFonts w:hint="eastAsia"/>
                <w:sz w:val="21"/>
                <w:szCs w:val="21"/>
              </w:rPr>
              <w:t>喀拉乌斯唐村</w:t>
            </w:r>
          </w:p>
        </w:tc>
        <w:tc>
          <w:tcPr>
            <w:tcW w:w="600" w:type="pct"/>
            <w:vAlign w:val="center"/>
          </w:tcPr>
          <w:p w14:paraId="0C8A9891">
            <w:pPr>
              <w:jc w:val="center"/>
              <w:rPr>
                <w:sz w:val="21"/>
                <w:szCs w:val="21"/>
              </w:rPr>
            </w:pPr>
            <w:r>
              <w:rPr>
                <w:sz w:val="21"/>
                <w:szCs w:val="21"/>
              </w:rPr>
              <w:t>昼间</w:t>
            </w:r>
          </w:p>
        </w:tc>
        <w:tc>
          <w:tcPr>
            <w:tcW w:w="942" w:type="pct"/>
            <w:vAlign w:val="center"/>
          </w:tcPr>
          <w:p w14:paraId="3C0BA8D9">
            <w:pPr>
              <w:jc w:val="center"/>
              <w:rPr>
                <w:sz w:val="21"/>
                <w:szCs w:val="21"/>
              </w:rPr>
            </w:pPr>
            <w:r>
              <w:rPr>
                <w:rFonts w:hint="eastAsia"/>
                <w:sz w:val="21"/>
                <w:szCs w:val="21"/>
              </w:rPr>
              <w:t>5</w:t>
            </w:r>
            <w:r>
              <w:rPr>
                <w:sz w:val="21"/>
                <w:szCs w:val="21"/>
              </w:rPr>
              <w:t>8</w:t>
            </w:r>
          </w:p>
        </w:tc>
        <w:tc>
          <w:tcPr>
            <w:tcW w:w="943" w:type="pct"/>
            <w:vAlign w:val="center"/>
          </w:tcPr>
          <w:p w14:paraId="26597330">
            <w:pPr>
              <w:jc w:val="center"/>
              <w:rPr>
                <w:sz w:val="21"/>
                <w:szCs w:val="21"/>
              </w:rPr>
            </w:pPr>
            <w:r>
              <w:rPr>
                <w:rFonts w:hint="eastAsia"/>
                <w:sz w:val="21"/>
                <w:szCs w:val="21"/>
              </w:rPr>
              <w:t>5</w:t>
            </w:r>
            <w:r>
              <w:rPr>
                <w:sz w:val="21"/>
                <w:szCs w:val="21"/>
              </w:rPr>
              <w:t>6</w:t>
            </w:r>
          </w:p>
        </w:tc>
        <w:tc>
          <w:tcPr>
            <w:tcW w:w="988" w:type="pct"/>
            <w:vAlign w:val="center"/>
          </w:tcPr>
          <w:p w14:paraId="50A4B08F">
            <w:pPr>
              <w:jc w:val="center"/>
              <w:rPr>
                <w:sz w:val="21"/>
                <w:szCs w:val="21"/>
              </w:rPr>
            </w:pPr>
            <w:r>
              <w:rPr>
                <w:rFonts w:hint="eastAsia"/>
                <w:sz w:val="21"/>
                <w:szCs w:val="21"/>
              </w:rPr>
              <w:t>60</w:t>
            </w:r>
          </w:p>
        </w:tc>
        <w:tc>
          <w:tcPr>
            <w:tcW w:w="509" w:type="pct"/>
            <w:vAlign w:val="center"/>
          </w:tcPr>
          <w:p w14:paraId="591639A9">
            <w:pPr>
              <w:jc w:val="center"/>
              <w:rPr>
                <w:sz w:val="21"/>
                <w:szCs w:val="21"/>
              </w:rPr>
            </w:pPr>
            <w:r>
              <w:rPr>
                <w:sz w:val="21"/>
                <w:szCs w:val="21"/>
              </w:rPr>
              <w:t>达标</w:t>
            </w:r>
          </w:p>
        </w:tc>
      </w:tr>
      <w:tr w14:paraId="70687B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exact"/>
          <w:jc w:val="right"/>
        </w:trPr>
        <w:tc>
          <w:tcPr>
            <w:tcW w:w="1018" w:type="pct"/>
            <w:vMerge w:val="continue"/>
            <w:tcBorders>
              <w:right w:val="single" w:color="auto" w:sz="4" w:space="0"/>
            </w:tcBorders>
            <w:vAlign w:val="center"/>
          </w:tcPr>
          <w:p w14:paraId="060CD3BF">
            <w:pPr>
              <w:jc w:val="center"/>
              <w:rPr>
                <w:sz w:val="21"/>
                <w:szCs w:val="21"/>
              </w:rPr>
            </w:pPr>
          </w:p>
        </w:tc>
        <w:tc>
          <w:tcPr>
            <w:tcW w:w="600" w:type="pct"/>
            <w:vAlign w:val="center"/>
          </w:tcPr>
          <w:p w14:paraId="3523F79E">
            <w:pPr>
              <w:jc w:val="center"/>
              <w:rPr>
                <w:sz w:val="21"/>
                <w:szCs w:val="21"/>
              </w:rPr>
            </w:pPr>
            <w:r>
              <w:rPr>
                <w:sz w:val="21"/>
                <w:szCs w:val="21"/>
              </w:rPr>
              <w:t>夜间</w:t>
            </w:r>
          </w:p>
        </w:tc>
        <w:tc>
          <w:tcPr>
            <w:tcW w:w="942" w:type="pct"/>
            <w:vAlign w:val="center"/>
          </w:tcPr>
          <w:p w14:paraId="3FDF28D6">
            <w:pPr>
              <w:jc w:val="center"/>
              <w:rPr>
                <w:sz w:val="21"/>
                <w:szCs w:val="21"/>
              </w:rPr>
            </w:pPr>
            <w:r>
              <w:rPr>
                <w:rFonts w:hint="eastAsia"/>
                <w:sz w:val="21"/>
                <w:szCs w:val="21"/>
              </w:rPr>
              <w:t>3</w:t>
            </w:r>
            <w:r>
              <w:rPr>
                <w:sz w:val="21"/>
                <w:szCs w:val="21"/>
              </w:rPr>
              <w:t>9</w:t>
            </w:r>
          </w:p>
        </w:tc>
        <w:tc>
          <w:tcPr>
            <w:tcW w:w="943" w:type="pct"/>
            <w:vAlign w:val="center"/>
          </w:tcPr>
          <w:p w14:paraId="6F2E7BAC">
            <w:pPr>
              <w:jc w:val="center"/>
              <w:rPr>
                <w:sz w:val="21"/>
                <w:szCs w:val="21"/>
              </w:rPr>
            </w:pPr>
            <w:r>
              <w:rPr>
                <w:rFonts w:hint="eastAsia"/>
                <w:sz w:val="21"/>
                <w:szCs w:val="21"/>
              </w:rPr>
              <w:t>3</w:t>
            </w:r>
            <w:r>
              <w:rPr>
                <w:sz w:val="21"/>
                <w:szCs w:val="21"/>
              </w:rPr>
              <w:t>8</w:t>
            </w:r>
          </w:p>
        </w:tc>
        <w:tc>
          <w:tcPr>
            <w:tcW w:w="988" w:type="pct"/>
            <w:vAlign w:val="center"/>
          </w:tcPr>
          <w:p w14:paraId="654B5ED5">
            <w:pPr>
              <w:jc w:val="center"/>
              <w:rPr>
                <w:sz w:val="21"/>
                <w:szCs w:val="21"/>
              </w:rPr>
            </w:pPr>
            <w:r>
              <w:rPr>
                <w:rFonts w:hint="eastAsia"/>
                <w:sz w:val="21"/>
                <w:szCs w:val="21"/>
              </w:rPr>
              <w:t>50</w:t>
            </w:r>
          </w:p>
        </w:tc>
        <w:tc>
          <w:tcPr>
            <w:tcW w:w="509" w:type="pct"/>
            <w:vAlign w:val="center"/>
          </w:tcPr>
          <w:p w14:paraId="1781FA35">
            <w:pPr>
              <w:jc w:val="center"/>
              <w:rPr>
                <w:sz w:val="21"/>
                <w:szCs w:val="21"/>
              </w:rPr>
            </w:pPr>
            <w:r>
              <w:rPr>
                <w:sz w:val="21"/>
                <w:szCs w:val="21"/>
              </w:rPr>
              <w:t>达标</w:t>
            </w:r>
          </w:p>
        </w:tc>
      </w:tr>
    </w:tbl>
    <w:p w14:paraId="37CCD9E1">
      <w:pPr>
        <w:pStyle w:val="167"/>
        <w:spacing w:before="0" w:after="0" w:line="360" w:lineRule="auto"/>
        <w:ind w:firstLine="480" w:firstLineChars="200"/>
        <w:jc w:val="both"/>
        <w:rPr>
          <w:rFonts w:ascii="Times New Roman" w:hAnsi="Times New Roman" w:eastAsia="宋体" w:cs="Times New Roman"/>
        </w:rPr>
      </w:pPr>
      <w:r>
        <w:rPr>
          <w:rFonts w:ascii="Times New Roman" w:hAnsi="Times New Roman" w:eastAsia="宋体"/>
          <w:szCs w:val="24"/>
        </w:rPr>
        <w:t>根据现状监测结果，拟建公路</w:t>
      </w:r>
      <w:r>
        <w:rPr>
          <w:rFonts w:hint="eastAsia" w:ascii="Times New Roman" w:hAnsi="Times New Roman" w:eastAsia="宋体"/>
          <w:szCs w:val="24"/>
        </w:rPr>
        <w:t>沿线道路各敏感点昼、夜间噪声均满足《声环境质量标准》（GB3096-2008）中2类区标准，说明项目区域</w:t>
      </w:r>
      <w:r>
        <w:rPr>
          <w:rFonts w:ascii="Times New Roman" w:hAnsi="Times New Roman" w:eastAsia="宋体"/>
          <w:szCs w:val="24"/>
        </w:rPr>
        <w:t>声环境质量良好。</w:t>
      </w:r>
      <w:r>
        <w:rPr>
          <w:rFonts w:ascii="Times New Roman" w:hAnsi="Times New Roman" w:eastAsia="宋体" w:cs="Times New Roman"/>
        </w:rPr>
        <w:t>。</w:t>
      </w:r>
    </w:p>
    <w:p w14:paraId="48CF684D">
      <w:pPr>
        <w:pStyle w:val="4"/>
        <w:adjustRightInd w:val="0"/>
        <w:snapToGrid w:val="0"/>
        <w:spacing w:before="156" w:after="156" w:line="240" w:lineRule="auto"/>
        <w:rPr>
          <w:rFonts w:ascii="Times New Roman" w:hAnsi="Times New Roman" w:cs="Times New Roman"/>
          <w:sz w:val="30"/>
          <w:szCs w:val="30"/>
        </w:rPr>
      </w:pPr>
      <w:r>
        <w:rPr>
          <w:rFonts w:ascii="Times New Roman" w:hAnsi="Times New Roman" w:cs="Times New Roman"/>
          <w:sz w:val="30"/>
          <w:szCs w:val="30"/>
        </w:rPr>
        <w:t>4.3.3</w:t>
      </w:r>
      <w:r>
        <w:rPr>
          <w:rFonts w:hint="eastAsia" w:ascii="Times New Roman" w:hAnsi="Times New Roman" w:cs="Times New Roman"/>
          <w:sz w:val="30"/>
          <w:szCs w:val="30"/>
        </w:rPr>
        <w:t>地表水</w:t>
      </w:r>
      <w:r>
        <w:rPr>
          <w:rFonts w:ascii="Times New Roman" w:hAnsi="Times New Roman" w:cs="Times New Roman"/>
          <w:sz w:val="30"/>
          <w:szCs w:val="30"/>
        </w:rPr>
        <w:t>现状调查与评价</w:t>
      </w:r>
    </w:p>
    <w:p w14:paraId="57E12A76">
      <w:pPr>
        <w:pStyle w:val="2539"/>
        <w:wordWrap w:val="0"/>
        <w:spacing w:before="312" w:after="156" w:line="360" w:lineRule="auto"/>
        <w:rPr>
          <w:rFonts w:cs="Times New Roman"/>
          <w:snapToGrid/>
          <w:kern w:val="0"/>
          <w:szCs w:val="20"/>
        </w:rPr>
      </w:pPr>
      <w:r>
        <w:rPr>
          <w:rFonts w:hint="eastAsia" w:cs="Times New Roman"/>
          <w:snapToGrid/>
          <w:kern w:val="0"/>
          <w:szCs w:val="20"/>
        </w:rPr>
        <w:t>本次地表水环境质量现状引用《草湖经济技术开发区总体规划（2</w:t>
      </w:r>
      <w:r>
        <w:rPr>
          <w:rFonts w:cs="Times New Roman"/>
          <w:snapToGrid/>
          <w:kern w:val="0"/>
          <w:szCs w:val="20"/>
        </w:rPr>
        <w:t>021-2035</w:t>
      </w:r>
      <w:r>
        <w:rPr>
          <w:rFonts w:hint="eastAsia" w:cs="Times New Roman"/>
          <w:snapToGrid/>
          <w:kern w:val="0"/>
          <w:szCs w:val="20"/>
        </w:rPr>
        <w:t>年）环境影响报告书》中盖孜河的监测数据，监测单位为</w:t>
      </w:r>
      <w:r>
        <w:rPr>
          <w:rFonts w:cs="Times New Roman"/>
          <w:snapToGrid/>
          <w:kern w:val="0"/>
          <w:szCs w:val="20"/>
        </w:rPr>
        <w:t>新疆新环监测检测研究院（有限公司）</w:t>
      </w:r>
      <w:r>
        <w:rPr>
          <w:rFonts w:hint="eastAsia" w:cs="Times New Roman"/>
          <w:snapToGrid/>
          <w:kern w:val="0"/>
          <w:szCs w:val="20"/>
        </w:rPr>
        <w:t>，监测时间为202</w:t>
      </w:r>
      <w:r>
        <w:rPr>
          <w:rFonts w:cs="Times New Roman"/>
          <w:snapToGrid/>
          <w:kern w:val="0"/>
          <w:szCs w:val="20"/>
        </w:rPr>
        <w:t>2</w:t>
      </w:r>
      <w:r>
        <w:rPr>
          <w:rFonts w:hint="eastAsia" w:cs="Times New Roman"/>
          <w:snapToGrid/>
          <w:kern w:val="0"/>
          <w:szCs w:val="20"/>
        </w:rPr>
        <w:t>年</w:t>
      </w:r>
      <w:r>
        <w:rPr>
          <w:rFonts w:cs="Times New Roman"/>
          <w:snapToGrid/>
          <w:kern w:val="0"/>
          <w:szCs w:val="20"/>
        </w:rPr>
        <w:t>1</w:t>
      </w:r>
      <w:r>
        <w:rPr>
          <w:rFonts w:hint="eastAsia" w:cs="Times New Roman"/>
          <w:snapToGrid/>
          <w:kern w:val="0"/>
          <w:szCs w:val="20"/>
        </w:rPr>
        <w:t>月</w:t>
      </w:r>
      <w:r>
        <w:rPr>
          <w:rFonts w:cs="Times New Roman"/>
          <w:snapToGrid/>
          <w:kern w:val="0"/>
          <w:szCs w:val="20"/>
        </w:rPr>
        <w:t>5</w:t>
      </w:r>
      <w:r>
        <w:rPr>
          <w:rFonts w:hint="eastAsia" w:cs="Times New Roman"/>
          <w:snapToGrid/>
          <w:kern w:val="0"/>
          <w:szCs w:val="20"/>
        </w:rPr>
        <w:t>日。</w:t>
      </w:r>
    </w:p>
    <w:p w14:paraId="7426DE8F">
      <w:pPr>
        <w:pStyle w:val="2536"/>
        <w:ind w:firstLine="480"/>
        <w:rPr>
          <w:color w:val="000000" w:themeColor="text1"/>
          <w14:textFill>
            <w14:solidFill>
              <w14:schemeClr w14:val="tx1"/>
            </w14:solidFill>
          </w14:textFill>
        </w:rPr>
      </w:pPr>
      <w:r>
        <w:rPr>
          <w:color w:val="000000" w:themeColor="text1"/>
          <w14:textFill>
            <w14:solidFill>
              <w14:schemeClr w14:val="tx1"/>
            </w14:solidFill>
          </w14:textFill>
        </w:rPr>
        <w:t>（1）监测点位</w:t>
      </w:r>
    </w:p>
    <w:p w14:paraId="12351128">
      <w:pPr>
        <w:pStyle w:val="2536"/>
        <w:ind w:firstLine="480"/>
        <w:rPr>
          <w:color w:val="000000" w:themeColor="text1"/>
          <w14:textFill>
            <w14:solidFill>
              <w14:schemeClr w14:val="tx1"/>
            </w14:solidFill>
          </w14:textFill>
        </w:rPr>
      </w:pPr>
      <w:r>
        <w:rPr>
          <w:color w:val="000000" w:themeColor="text1"/>
          <w14:textFill>
            <w14:solidFill>
              <w14:schemeClr w14:val="tx1"/>
            </w14:solidFill>
          </w14:textFill>
        </w:rPr>
        <w:t>地表水环境质量监测布点情况见表4.3-4。</w:t>
      </w:r>
    </w:p>
    <w:p w14:paraId="18DFF317">
      <w:pPr>
        <w:jc w:val="center"/>
        <w:rPr>
          <w:rFonts w:eastAsia="黑体"/>
          <w:bCs/>
          <w:color w:val="00B050"/>
        </w:rPr>
      </w:pPr>
      <w:r>
        <w:rPr>
          <w:rFonts w:eastAsia="黑体"/>
          <w:bCs/>
          <w:color w:val="000000" w:themeColor="text1"/>
          <w14:textFill>
            <w14:solidFill>
              <w14:schemeClr w14:val="tx1"/>
            </w14:solidFill>
          </w14:textFill>
        </w:rPr>
        <w:t>表4.3-4    地表水环境质量现状监测布点</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668"/>
        <w:gridCol w:w="2971"/>
        <w:gridCol w:w="2949"/>
        <w:gridCol w:w="940"/>
      </w:tblGrid>
      <w:tr w14:paraId="2CCCEC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78" w:type="pct"/>
            <w:vAlign w:val="center"/>
          </w:tcPr>
          <w:p w14:paraId="627D7EBD">
            <w:pPr>
              <w:autoSpaceDE w:val="0"/>
              <w:autoSpaceDN w:val="0"/>
              <w:adjustRightInd w:val="0"/>
              <w:snapToGrid w:val="0"/>
              <w:jc w:val="center"/>
              <w:rPr>
                <w:rFonts w:asciiTheme="minorEastAsia" w:hAnsiTheme="minorEastAsia" w:eastAsia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olor w:val="000000" w:themeColor="text1"/>
                <w:sz w:val="21"/>
                <w:szCs w:val="21"/>
                <w:lang w:val="zh-CN"/>
                <w14:textFill>
                  <w14:solidFill>
                    <w14:schemeClr w14:val="tx1"/>
                  </w14:solidFill>
                </w14:textFill>
              </w:rPr>
              <w:t>点位</w:t>
            </w:r>
          </w:p>
        </w:tc>
        <w:tc>
          <w:tcPr>
            <w:tcW w:w="1742" w:type="pct"/>
            <w:vAlign w:val="center"/>
          </w:tcPr>
          <w:p w14:paraId="0373FA25">
            <w:pPr>
              <w:autoSpaceDE w:val="0"/>
              <w:autoSpaceDN w:val="0"/>
              <w:adjustRightInd w:val="0"/>
              <w:snapToGrid w:val="0"/>
              <w:jc w:val="center"/>
              <w:rPr>
                <w:rFonts w:asciiTheme="minorEastAsia" w:hAnsiTheme="minorEastAsia" w:eastAsia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olor w:val="000000" w:themeColor="text1"/>
                <w:sz w:val="21"/>
                <w:szCs w:val="21"/>
                <w:lang w:val="zh-CN"/>
                <w14:textFill>
                  <w14:solidFill>
                    <w14:schemeClr w14:val="tx1"/>
                  </w14:solidFill>
                </w14:textFill>
              </w:rPr>
              <w:t>地理坐标</w:t>
            </w:r>
          </w:p>
        </w:tc>
        <w:tc>
          <w:tcPr>
            <w:tcW w:w="1729" w:type="pct"/>
            <w:vAlign w:val="center"/>
          </w:tcPr>
          <w:p w14:paraId="13501CFC">
            <w:pPr>
              <w:autoSpaceDE w:val="0"/>
              <w:autoSpaceDN w:val="0"/>
              <w:adjustRightInd w:val="0"/>
              <w:snapToGrid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与项目相对位置关系</w:t>
            </w:r>
          </w:p>
        </w:tc>
        <w:tc>
          <w:tcPr>
            <w:tcW w:w="551" w:type="pct"/>
            <w:vAlign w:val="center"/>
          </w:tcPr>
          <w:p w14:paraId="0374A43A">
            <w:pPr>
              <w:autoSpaceDE w:val="0"/>
              <w:autoSpaceDN w:val="0"/>
              <w:adjustRightInd w:val="0"/>
              <w:snapToGrid w:val="0"/>
              <w:jc w:val="center"/>
              <w:rPr>
                <w:rFonts w:asciiTheme="minorEastAsia" w:hAnsiTheme="minorEastAsia" w:eastAsia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olor w:val="000000" w:themeColor="text1"/>
                <w:sz w:val="21"/>
                <w:szCs w:val="21"/>
                <w:lang w:val="zh-CN"/>
                <w14:textFill>
                  <w14:solidFill>
                    <w14:schemeClr w14:val="tx1"/>
                  </w14:solidFill>
                </w14:textFill>
              </w:rPr>
              <w:t>备注</w:t>
            </w:r>
          </w:p>
        </w:tc>
      </w:tr>
      <w:tr w14:paraId="4ACB35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78" w:type="pct"/>
            <w:vAlign w:val="center"/>
          </w:tcPr>
          <w:p w14:paraId="4CA498D6">
            <w:pPr>
              <w:pStyle w:val="404"/>
              <w:jc w:val="both"/>
              <w:rPr>
                <w:rFonts w:asciiTheme="minorEastAsia" w:hAnsiTheme="minorEastAsia" w:eastAsiaTheme="minorEastAsia"/>
                <w:color w:val="000000" w:themeColor="text1"/>
                <w:sz w:val="21"/>
                <w:szCs w:val="21"/>
                <w14:textFill>
                  <w14:solidFill>
                    <w14:schemeClr w14:val="tx1"/>
                  </w14:solidFill>
                </w14:textFill>
              </w:rPr>
            </w:pPr>
            <w:bookmarkStart w:id="462" w:name="OLE_LINK34"/>
            <w:r>
              <w:rPr>
                <w:rFonts w:asciiTheme="minorEastAsia" w:hAnsiTheme="minorEastAsia" w:eastAsiaTheme="minorEastAsia"/>
                <w:color w:val="000000" w:themeColor="text1"/>
                <w:sz w:val="21"/>
                <w:szCs w:val="21"/>
                <w14:textFill>
                  <w14:solidFill>
                    <w14:schemeClr w14:val="tx1"/>
                  </w14:solidFill>
                </w14:textFill>
              </w:rPr>
              <w:t>盖孜河</w:t>
            </w:r>
          </w:p>
          <w:p w14:paraId="61881DF6">
            <w:pPr>
              <w:pStyle w:val="404"/>
              <w:jc w:val="both"/>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园区段</w:t>
            </w:r>
            <w:bookmarkEnd w:id="462"/>
          </w:p>
        </w:tc>
        <w:tc>
          <w:tcPr>
            <w:tcW w:w="1742" w:type="pct"/>
            <w:vAlign w:val="center"/>
          </w:tcPr>
          <w:p w14:paraId="3DF24680">
            <w:pPr>
              <w:pStyle w:val="2538"/>
              <w:widowControl w:val="0"/>
              <w:autoSpaceDE w:val="0"/>
              <w:autoSpaceDN w:val="0"/>
              <w:adjustRightInd w:val="0"/>
              <w:snapToGrid w:val="0"/>
              <w:spacing w:before="0" w:after="0"/>
              <w:jc w:val="left"/>
              <w:rPr>
                <w:rFonts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kern w:val="2"/>
                <w:sz w:val="21"/>
                <w:szCs w:val="21"/>
                <w:lang w:val="en-US" w:eastAsia="zh-CN"/>
                <w14:textFill>
                  <w14:solidFill>
                    <w14:schemeClr w14:val="tx1"/>
                  </w14:solidFill>
                </w14:textFill>
              </w:rPr>
              <w:t>N39°16′55.74″ E:75°59′3.32″</w:t>
            </w:r>
          </w:p>
        </w:tc>
        <w:tc>
          <w:tcPr>
            <w:tcW w:w="1729" w:type="pct"/>
            <w:vAlign w:val="center"/>
          </w:tcPr>
          <w:p w14:paraId="12877811">
            <w:pPr>
              <w:autoSpaceDE w:val="0"/>
              <w:autoSpaceDN w:val="0"/>
              <w:adjustRightInd w:val="0"/>
              <w:snapToGrid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项目区上游</w:t>
            </w:r>
          </w:p>
        </w:tc>
        <w:tc>
          <w:tcPr>
            <w:tcW w:w="551" w:type="pct"/>
            <w:vAlign w:val="center"/>
          </w:tcPr>
          <w:p w14:paraId="7215D64D">
            <w:pPr>
              <w:autoSpaceDE w:val="0"/>
              <w:autoSpaceDN w:val="0"/>
              <w:adjustRightInd w:val="0"/>
              <w:snapToGrid w:val="0"/>
              <w:jc w:val="center"/>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引用</w:t>
            </w:r>
          </w:p>
        </w:tc>
      </w:tr>
    </w:tbl>
    <w:p w14:paraId="70D6B7F6">
      <w:pPr>
        <w:ind w:firstLine="480" w:firstLineChars="200"/>
        <w:rPr>
          <w:rFonts w:eastAsia="黑体"/>
          <w:bCs/>
          <w:color w:val="00B050"/>
        </w:rPr>
      </w:pPr>
    </w:p>
    <w:p w14:paraId="785C4635">
      <w:pPr>
        <w:pStyle w:val="2536"/>
        <w:ind w:firstLine="480"/>
        <w:rPr>
          <w:color w:val="000000" w:themeColor="text1"/>
          <w14:textFill>
            <w14:solidFill>
              <w14:schemeClr w14:val="tx1"/>
            </w14:solidFill>
          </w14:textFill>
        </w:rPr>
      </w:pPr>
      <w:r>
        <w:rPr>
          <w:color w:val="000000" w:themeColor="text1"/>
          <w14:textFill>
            <w14:solidFill>
              <w14:schemeClr w14:val="tx1"/>
            </w14:solidFill>
          </w14:textFill>
        </w:rPr>
        <w:t>（2）监测项目及分析方法</w:t>
      </w:r>
    </w:p>
    <w:p w14:paraId="06FE6A8D">
      <w:pPr>
        <w:pStyle w:val="2536"/>
        <w:ind w:firstLine="480"/>
        <w:rPr>
          <w:color w:val="000000" w:themeColor="text1"/>
          <w:kern w:val="2"/>
          <w:szCs w:val="24"/>
          <w14:textFill>
            <w14:solidFill>
              <w14:schemeClr w14:val="tx1"/>
            </w14:solidFill>
          </w14:textFill>
        </w:rPr>
      </w:pPr>
      <w:r>
        <w:rPr>
          <w:color w:val="000000" w:themeColor="text1"/>
          <w:kern w:val="2"/>
          <w:szCs w:val="24"/>
          <w14:textFill>
            <w14:solidFill>
              <w14:schemeClr w14:val="tx1"/>
            </w14:solidFill>
          </w14:textFill>
        </w:rPr>
        <w:t>pH值、溶解氧、高锰酸盐指数、化学需氧量、氨氮、总磷、铜、锌、氟化物、砷、汞、六价铬、氰化物、挥发酚、石油类、硫化物、粪大肠菌群、硫酸盐、氯化物、硝酸盐（以氮计）、铁、锰，共22个监测项目。</w:t>
      </w:r>
    </w:p>
    <w:p w14:paraId="694A4A1C">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（3）评价方法</w:t>
      </w:r>
    </w:p>
    <w:p w14:paraId="6209F86D">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采用单因子指数法进行评价。计算公式如下：</w:t>
      </w:r>
    </w:p>
    <w:p w14:paraId="338C48C9">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ij</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ij</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si</w:t>
      </w:r>
    </w:p>
    <w:p w14:paraId="27D1230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式中：S</w:t>
      </w:r>
      <w:r>
        <w:rPr>
          <w:color w:val="000000" w:themeColor="text1"/>
          <w:vertAlign w:val="subscript"/>
          <w14:textFill>
            <w14:solidFill>
              <w14:schemeClr w14:val="tx1"/>
            </w14:solidFill>
          </w14:textFill>
        </w:rPr>
        <w:t>ij</w:t>
      </w:r>
      <w:r>
        <w:rPr>
          <w:color w:val="000000" w:themeColor="text1"/>
          <w14:textFill>
            <w14:solidFill>
              <w14:schemeClr w14:val="tx1"/>
            </w14:solidFill>
          </w14:textFill>
        </w:rPr>
        <w:t>——第i个水质因子的标准指数，无量纲；</w:t>
      </w:r>
    </w:p>
    <w:p w14:paraId="1D39C5D9">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ij</w:t>
      </w:r>
      <w:r>
        <w:rPr>
          <w:color w:val="000000" w:themeColor="text1"/>
          <w14:textFill>
            <w14:solidFill>
              <w14:schemeClr w14:val="tx1"/>
            </w14:solidFill>
          </w14:textFill>
        </w:rPr>
        <w:t>——第i个水质因子的监测浓度值，mg/L；</w:t>
      </w:r>
    </w:p>
    <w:p w14:paraId="4C67C470">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C</w:t>
      </w:r>
      <w:r>
        <w:rPr>
          <w:color w:val="000000" w:themeColor="text1"/>
          <w:vertAlign w:val="subscript"/>
          <w14:textFill>
            <w14:solidFill>
              <w14:schemeClr w14:val="tx1"/>
            </w14:solidFill>
          </w14:textFill>
        </w:rPr>
        <w:t>si</w:t>
      </w:r>
      <w:r>
        <w:rPr>
          <w:color w:val="000000" w:themeColor="text1"/>
          <w14:textFill>
            <w14:solidFill>
              <w14:schemeClr w14:val="tx1"/>
            </w14:solidFill>
          </w14:textFill>
        </w:rPr>
        <w:t>——第i个水质因子的标准浓度值，mg/L；</w:t>
      </w:r>
    </w:p>
    <w:p w14:paraId="43E7D5C7">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pH值单因子评价指数计算公式为：</w:t>
      </w:r>
    </w:p>
    <w:p w14:paraId="30010C02">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object>
          <v:shape id="_x0000_i1042" o:spt="75" type="#_x0000_t75" style="height:14.95pt;width:49.9pt;" o:ole="t" filled="f" o:preferrelative="t" stroked="f" coordsize="21600,21600">
            <v:path/>
            <v:fill on="f" focussize="0,0"/>
            <v:stroke on="f" joinstyle="miter"/>
            <v:imagedata r:id="rId57" o:title=""/>
            <o:lock v:ext="edit" aspectratio="t"/>
            <w10:wrap type="none"/>
            <w10:anchorlock/>
          </v:shape>
          <o:OLEObject Type="Embed" ProgID="Equation.DSMT4" ShapeID="_x0000_i1042" DrawAspect="Content" ObjectID="_1468075740" r:id="rId56">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object>
          <v:shape id="_x0000_i1043" o:spt="75" type="#_x0000_t75" style="height:37.05pt;width:94.1pt;" o:ole="t" filled="f" o:preferrelative="t" stroked="f" coordsize="21600,21600">
            <v:path/>
            <v:fill on="f" focussize="0,0"/>
            <v:stroke on="f" joinstyle="miter"/>
            <v:imagedata r:id="rId59" o:title=""/>
            <o:lock v:ext="edit" aspectratio="t"/>
            <w10:wrap type="none"/>
            <w10:anchorlock/>
          </v:shape>
          <o:OLEObject Type="Embed" ProgID="Equation.DSMT4" ShapeID="_x0000_i1043" DrawAspect="Content" ObjectID="_1468075741" r:id="rId58">
            <o:LockedField>false</o:LockedField>
          </o:OLEObject>
        </w:object>
      </w:r>
    </w:p>
    <w:p w14:paraId="333684F7">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object>
          <v:shape id="_x0000_i1044" o:spt="75" type="#_x0000_t75" style="height:14.95pt;width:57.05pt;" o:ole="t" filled="f" o:preferrelative="t" stroked="f" coordsize="21600,21600">
            <v:path/>
            <v:fill on="f" focussize="0,0"/>
            <v:stroke on="f" joinstyle="miter"/>
            <v:imagedata r:id="rId61" o:title=""/>
            <o:lock v:ext="edit" aspectratio="t"/>
            <w10:wrap type="none"/>
            <w10:anchorlock/>
          </v:shape>
          <o:OLEObject Type="Embed" ProgID="Equation.DSMT4" ShapeID="_x0000_i1044" DrawAspect="Content" ObjectID="_1468075742" r:id="rId60">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object>
          <v:shape id="_x0000_i1045" o:spt="75" type="#_x0000_t75" style="height:37.05pt;width:94.1pt;" o:ole="t" filled="f" o:preferrelative="t" stroked="f" coordsize="21600,21600">
            <v:path/>
            <v:fill on="f" focussize="0,0"/>
            <v:stroke on="f" joinstyle="miter"/>
            <v:imagedata r:id="rId63" o:title=""/>
            <o:lock v:ext="edit" aspectratio="t"/>
            <w10:wrap type="none"/>
            <w10:anchorlock/>
          </v:shape>
          <o:OLEObject Type="Embed" ProgID="Equation.DSMT4" ShapeID="_x0000_i1045" DrawAspect="Content" ObjectID="_1468075743" r:id="rId62">
            <o:LockedField>false</o:LockedField>
          </o:OLEObject>
        </w:object>
      </w:r>
    </w:p>
    <w:p w14:paraId="4D97C235">
      <w:pPr>
        <w:spacing w:line="360" w:lineRule="auto"/>
        <w:ind w:firstLine="1440" w:firstLineChars="600"/>
        <w:rPr>
          <w:color w:val="000000" w:themeColor="text1"/>
          <w14:textFill>
            <w14:solidFill>
              <w14:schemeClr w14:val="tx1"/>
            </w14:solidFill>
          </w14:textFill>
        </w:rPr>
      </w:pPr>
      <w:r>
        <w:rPr>
          <w:color w:val="000000" w:themeColor="text1"/>
          <w14:textFill>
            <w14:solidFill>
              <w14:schemeClr w14:val="tx1"/>
            </w14:solidFill>
          </w14:textFill>
        </w:rPr>
        <w:t>式中：</w:t>
      </w:r>
    </w:p>
    <w:p w14:paraId="52025A39">
      <w:pPr>
        <w:spacing w:line="360" w:lineRule="auto"/>
        <w:ind w:firstLine="1440" w:firstLineChars="6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682240" cy="10820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682240" cy="1082040"/>
                    </a:xfrm>
                    <a:prstGeom prst="rect">
                      <a:avLst/>
                    </a:prstGeom>
                    <a:noFill/>
                    <a:ln>
                      <a:noFill/>
                    </a:ln>
                  </pic:spPr>
                </pic:pic>
              </a:graphicData>
            </a:graphic>
          </wp:inline>
        </w:drawing>
      </w:r>
      <w:r>
        <w:rPr>
          <w:color w:val="000000" w:themeColor="text1"/>
          <w14:textFill>
            <w14:solidFill>
              <w14:schemeClr w14:val="tx1"/>
            </w14:solidFill>
          </w14:textFill>
        </w:rPr>
        <w:t xml:space="preserve"> </w:t>
      </w:r>
    </w:p>
    <w:p w14:paraId="3F4C16EC">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DO值单因子评价指数计算公式为：</w:t>
      </w:r>
    </w:p>
    <w:p w14:paraId="651829E2">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object>
          <v:shape id="_x0000_i1046" o:spt="75" type="#_x0000_t75" style="height:14.95pt;width:64.15pt;" o:ole="t" filled="f" o:preferrelative="t" stroked="f" coordsize="21600,21600">
            <v:path/>
            <v:fill on="f" focussize="0,0"/>
            <v:stroke on="f" joinstyle="miter"/>
            <v:imagedata r:id="rId66" o:title=""/>
            <o:lock v:ext="edit" aspectratio="t"/>
            <w10:wrap type="none"/>
            <w10:anchorlock/>
          </v:shape>
          <o:OLEObject Type="Embed" ProgID="Equation.DSMT4" ShapeID="_x0000_i1046" DrawAspect="Content" ObjectID="_1468075744" r:id="rId65">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object>
          <v:shape id="_x0000_i1047" o:spt="75" type="#_x0000_t75" style="height:27.1pt;width:166.1pt;" o:ole="t" filled="f" o:preferrelative="t" stroked="f" coordsize="21600,21600">
            <v:path/>
            <v:fill on="f" focussize="0,0"/>
            <v:stroke on="f" joinstyle="miter"/>
            <v:imagedata r:id="rId68" o:title=""/>
            <o:lock v:ext="edit" aspectratio="t"/>
            <w10:wrap type="none"/>
            <w10:anchorlock/>
          </v:shape>
          <o:OLEObject Type="Embed" ProgID="Equation.DSMT4" ShapeID="_x0000_i1047" DrawAspect="Content" ObjectID="_1468075745" r:id="rId67">
            <o:LockedField>false</o:LockedField>
          </o:OLEObject>
        </w:object>
      </w:r>
    </w:p>
    <w:p w14:paraId="6B0BAE3F">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object>
          <v:shape id="_x0000_i1048" o:spt="75" type="#_x0000_t75" style="height:14.95pt;width:64.15pt;" o:ole="t" filled="f" o:preferrelative="t" stroked="f" coordsize="21600,21600">
            <v:path/>
            <v:fill on="f" focussize="0,0"/>
            <v:stroke on="f" joinstyle="miter"/>
            <v:imagedata r:id="rId70" o:title=""/>
            <o:lock v:ext="edit" aspectratio="t"/>
            <w10:wrap type="none"/>
            <w10:anchorlock/>
          </v:shape>
          <o:OLEObject Type="Embed" ProgID="Equation.DSMT4" ShapeID="_x0000_i1048" DrawAspect="Content" ObjectID="_1468075746" r:id="rId69">
            <o:LockedField>false</o:LockedField>
          </o:OLEObject>
        </w:object>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1135380" cy="4572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135380" cy="457200"/>
                    </a:xfrm>
                    <a:prstGeom prst="rect">
                      <a:avLst/>
                    </a:prstGeom>
                    <a:noFill/>
                    <a:ln>
                      <a:noFill/>
                    </a:ln>
                  </pic:spPr>
                </pic:pic>
              </a:graphicData>
            </a:graphic>
          </wp:inline>
        </w:drawing>
      </w:r>
    </w:p>
    <w:p w14:paraId="3A289D59">
      <w:pPr>
        <w:spacing w:line="36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式中：SDO,J——溶解氧的标准指数，大于1表明该水质因子超标；</w:t>
      </w:r>
    </w:p>
    <w:p w14:paraId="43293FEA">
      <w:pPr>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DOj——溶解氧在j点的实测统计代表值，mg/L；</w:t>
      </w:r>
    </w:p>
    <w:p w14:paraId="2085D305">
      <w:pPr>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DOs——溶解氧的水质评价标准限值，mg/L；</w:t>
      </w:r>
    </w:p>
    <w:p w14:paraId="48FD2695">
      <w:pPr>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DO</w:t>
      </w:r>
      <w:r>
        <w:rPr>
          <w:color w:val="000000" w:themeColor="text1"/>
          <w:vertAlign w:val="subscript"/>
          <w14:textFill>
            <w14:solidFill>
              <w14:schemeClr w14:val="tx1"/>
            </w14:solidFill>
          </w14:textFill>
        </w:rPr>
        <w:t>f</w:t>
      </w:r>
      <w:r>
        <w:rPr>
          <w:color w:val="000000" w:themeColor="text1"/>
          <w14:textFill>
            <w14:solidFill>
              <w14:schemeClr w14:val="tx1"/>
            </w14:solidFill>
          </w14:textFill>
        </w:rPr>
        <w:t>——饱和溶解氧浓度，mg/L，</w:t>
      </w:r>
    </w:p>
    <w:p w14:paraId="32BDEBB6">
      <w:pPr>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对于河流，DOf =468/（31.6+T）；</w:t>
      </w:r>
    </w:p>
    <w:p w14:paraId="3B0866D4">
      <w:pPr>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对于盐度比较高的湖泊、水库及入海河口、近岸海域，DOf =（491-2.65S）/（33.5+T）；</w:t>
      </w:r>
    </w:p>
    <w:p w14:paraId="4C5DB851">
      <w:pPr>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S  ——食用盐度符号，量纲为1；</w:t>
      </w:r>
    </w:p>
    <w:p w14:paraId="4274EB72">
      <w:pPr>
        <w:spacing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T  ——水温，℃。</w:t>
      </w:r>
    </w:p>
    <w:p w14:paraId="1A793D1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当单项标准指数大于1时，说明水质超标，指数越大，超标越严重。</w:t>
      </w:r>
    </w:p>
    <w:p w14:paraId="3829A2E7">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（4）评价标准</w:t>
      </w:r>
    </w:p>
    <w:p w14:paraId="305B41F3">
      <w:pPr>
        <w:spacing w:line="360" w:lineRule="auto"/>
        <w:ind w:firstLine="480" w:firstLineChars="200"/>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盖孜河执行《地表水环境质量标准》(GB3838-2002)的</w:t>
      </w:r>
      <w:r>
        <w:rPr>
          <w:color w:val="000000" w:themeColor="text1"/>
          <w14:textFill>
            <w14:solidFill>
              <w14:schemeClr w14:val="tx1"/>
            </w14:solidFill>
          </w14:textFill>
        </w:rPr>
        <w:t>Ⅱ</w:t>
      </w:r>
      <w:r>
        <w:rPr>
          <w:rFonts w:hint="eastAsia"/>
          <w:color w:val="000000" w:themeColor="text1"/>
          <w:szCs w:val="20"/>
          <w14:textFill>
            <w14:solidFill>
              <w14:schemeClr w14:val="tx1"/>
            </w14:solidFill>
          </w14:textFill>
        </w:rPr>
        <w:t>类标准限值。</w:t>
      </w:r>
    </w:p>
    <w:p w14:paraId="37FDCC7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（5）监测结果及现状评价</w:t>
      </w:r>
    </w:p>
    <w:p w14:paraId="1E98B144">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监测及评价结果见表4.3-5。</w:t>
      </w:r>
    </w:p>
    <w:p w14:paraId="62D5499B">
      <w:pPr>
        <w:jc w:val="center"/>
        <w:rPr>
          <w:rFonts w:eastAsia="黑体"/>
          <w:color w:val="000000" w:themeColor="text1"/>
          <w14:textFill>
            <w14:solidFill>
              <w14:schemeClr w14:val="tx1"/>
            </w14:solidFill>
          </w14:textFill>
        </w:rPr>
      </w:pPr>
      <w:r>
        <w:rPr>
          <w:rFonts w:eastAsia="黑体"/>
          <w:bCs/>
          <w:color w:val="000000" w:themeColor="text1"/>
          <w14:textFill>
            <w14:solidFill>
              <w14:schemeClr w14:val="tx1"/>
            </w14:solidFill>
          </w14:textFill>
        </w:rPr>
        <w:t>表4.3-5   地表水水质监测结果及评价结果表</w:t>
      </w:r>
    </w:p>
    <w:tbl>
      <w:tblPr>
        <w:tblStyle w:val="87"/>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99"/>
        <w:gridCol w:w="2490"/>
        <w:gridCol w:w="1475"/>
        <w:gridCol w:w="1153"/>
        <w:gridCol w:w="1407"/>
        <w:gridCol w:w="1404"/>
      </w:tblGrid>
      <w:tr w14:paraId="7BECE8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blHeader/>
        </w:trPr>
        <w:tc>
          <w:tcPr>
            <w:tcW w:w="351" w:type="pct"/>
            <w:vMerge w:val="restart"/>
            <w:shd w:val="clear" w:color="auto" w:fill="auto"/>
            <w:vAlign w:val="center"/>
          </w:tcPr>
          <w:p w14:paraId="2B759939">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序号</w:t>
            </w:r>
          </w:p>
        </w:tc>
        <w:tc>
          <w:tcPr>
            <w:tcW w:w="1460" w:type="pct"/>
            <w:vMerge w:val="restart"/>
            <w:shd w:val="clear" w:color="auto" w:fill="auto"/>
            <w:vAlign w:val="center"/>
          </w:tcPr>
          <w:p w14:paraId="5983F859">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监测项目</w:t>
            </w:r>
          </w:p>
        </w:tc>
        <w:tc>
          <w:tcPr>
            <w:tcW w:w="865" w:type="pct"/>
            <w:vMerge w:val="restart"/>
            <w:shd w:val="clear" w:color="auto" w:fill="auto"/>
            <w:vAlign w:val="center"/>
          </w:tcPr>
          <w:p w14:paraId="36DB439A">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标准值</w:t>
            </w:r>
          </w:p>
        </w:tc>
        <w:tc>
          <w:tcPr>
            <w:tcW w:w="676" w:type="pct"/>
            <w:vMerge w:val="restart"/>
            <w:shd w:val="clear" w:color="auto" w:fill="auto"/>
            <w:vAlign w:val="center"/>
          </w:tcPr>
          <w:p w14:paraId="14BD398C">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单位</w:t>
            </w:r>
          </w:p>
        </w:tc>
        <w:tc>
          <w:tcPr>
            <w:tcW w:w="1648" w:type="pct"/>
            <w:gridSpan w:val="2"/>
            <w:shd w:val="clear" w:color="auto" w:fill="auto"/>
            <w:vAlign w:val="center"/>
          </w:tcPr>
          <w:p w14:paraId="3A55781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盖孜河园区段</w:t>
            </w:r>
          </w:p>
        </w:tc>
      </w:tr>
      <w:tr w14:paraId="780C63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blHeader/>
        </w:trPr>
        <w:tc>
          <w:tcPr>
            <w:tcW w:w="351" w:type="pct"/>
            <w:vMerge w:val="continue"/>
            <w:shd w:val="clear" w:color="auto" w:fill="auto"/>
            <w:vAlign w:val="center"/>
          </w:tcPr>
          <w:p w14:paraId="4A909D1C">
            <w:pPr>
              <w:jc w:val="center"/>
              <w:rPr>
                <w:bCs/>
                <w:color w:val="000000" w:themeColor="text1"/>
                <w:sz w:val="21"/>
                <w:szCs w:val="21"/>
                <w14:textFill>
                  <w14:solidFill>
                    <w14:schemeClr w14:val="tx1"/>
                  </w14:solidFill>
                </w14:textFill>
              </w:rPr>
            </w:pPr>
          </w:p>
        </w:tc>
        <w:tc>
          <w:tcPr>
            <w:tcW w:w="1460" w:type="pct"/>
            <w:vMerge w:val="continue"/>
            <w:shd w:val="clear" w:color="auto" w:fill="auto"/>
            <w:vAlign w:val="center"/>
          </w:tcPr>
          <w:p w14:paraId="28E82499">
            <w:pPr>
              <w:jc w:val="center"/>
              <w:rPr>
                <w:bCs/>
                <w:color w:val="000000" w:themeColor="text1"/>
                <w:sz w:val="21"/>
                <w:szCs w:val="21"/>
                <w14:textFill>
                  <w14:solidFill>
                    <w14:schemeClr w14:val="tx1"/>
                  </w14:solidFill>
                </w14:textFill>
              </w:rPr>
            </w:pPr>
          </w:p>
        </w:tc>
        <w:tc>
          <w:tcPr>
            <w:tcW w:w="865" w:type="pct"/>
            <w:vMerge w:val="continue"/>
            <w:shd w:val="clear" w:color="auto" w:fill="auto"/>
            <w:vAlign w:val="center"/>
          </w:tcPr>
          <w:p w14:paraId="6CD0CADC">
            <w:pPr>
              <w:jc w:val="center"/>
              <w:rPr>
                <w:bCs/>
                <w:color w:val="000000" w:themeColor="text1"/>
                <w:sz w:val="21"/>
                <w:szCs w:val="21"/>
                <w14:textFill>
                  <w14:solidFill>
                    <w14:schemeClr w14:val="tx1"/>
                  </w14:solidFill>
                </w14:textFill>
              </w:rPr>
            </w:pPr>
          </w:p>
        </w:tc>
        <w:tc>
          <w:tcPr>
            <w:tcW w:w="676" w:type="pct"/>
            <w:vMerge w:val="continue"/>
            <w:shd w:val="clear" w:color="auto" w:fill="auto"/>
            <w:vAlign w:val="center"/>
          </w:tcPr>
          <w:p w14:paraId="21034C7D">
            <w:pPr>
              <w:jc w:val="center"/>
              <w:rPr>
                <w:bCs/>
                <w:color w:val="000000" w:themeColor="text1"/>
                <w:sz w:val="21"/>
                <w:szCs w:val="21"/>
                <w14:textFill>
                  <w14:solidFill>
                    <w14:schemeClr w14:val="tx1"/>
                  </w14:solidFill>
                </w14:textFill>
              </w:rPr>
            </w:pPr>
          </w:p>
        </w:tc>
        <w:tc>
          <w:tcPr>
            <w:tcW w:w="825" w:type="pct"/>
            <w:shd w:val="clear" w:color="auto" w:fill="auto"/>
            <w:vAlign w:val="center"/>
          </w:tcPr>
          <w:p w14:paraId="169A26E9">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监测结果</w:t>
            </w:r>
          </w:p>
        </w:tc>
        <w:tc>
          <w:tcPr>
            <w:tcW w:w="823" w:type="pct"/>
            <w:shd w:val="clear" w:color="auto" w:fill="auto"/>
            <w:vAlign w:val="center"/>
          </w:tcPr>
          <w:p w14:paraId="32D387C5">
            <w:pPr>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标准指数</w:t>
            </w:r>
          </w:p>
        </w:tc>
      </w:tr>
      <w:tr w14:paraId="4EB6AD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0E46F5D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1460" w:type="pct"/>
            <w:vAlign w:val="center"/>
          </w:tcPr>
          <w:p w14:paraId="53532B2D">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pH值</w:t>
            </w:r>
          </w:p>
        </w:tc>
        <w:tc>
          <w:tcPr>
            <w:tcW w:w="865" w:type="pct"/>
            <w:shd w:val="clear" w:color="auto" w:fill="auto"/>
            <w:vAlign w:val="center"/>
          </w:tcPr>
          <w:p w14:paraId="38AC3BE8">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r>
              <w:rPr>
                <w:color w:val="000000" w:themeColor="text1"/>
                <w:sz w:val="21"/>
                <w:szCs w:val="21"/>
                <w14:textFill>
                  <w14:solidFill>
                    <w14:schemeClr w14:val="tx1"/>
                  </w14:solidFill>
                </w14:textFill>
              </w:rPr>
              <w:t>~9</w:t>
            </w:r>
          </w:p>
        </w:tc>
        <w:tc>
          <w:tcPr>
            <w:tcW w:w="676" w:type="pct"/>
            <w:shd w:val="clear" w:color="auto" w:fill="auto"/>
            <w:vAlign w:val="center"/>
          </w:tcPr>
          <w:p w14:paraId="428315F6">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无量纲</w:t>
            </w:r>
          </w:p>
        </w:tc>
        <w:tc>
          <w:tcPr>
            <w:tcW w:w="825" w:type="pct"/>
            <w:shd w:val="clear" w:color="auto" w:fill="auto"/>
            <w:noWrap/>
            <w:vAlign w:val="center"/>
          </w:tcPr>
          <w:p w14:paraId="39EE60AC">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7.5</w:t>
            </w:r>
          </w:p>
        </w:tc>
        <w:tc>
          <w:tcPr>
            <w:tcW w:w="823" w:type="pct"/>
            <w:shd w:val="clear" w:color="auto" w:fill="auto"/>
            <w:noWrap/>
            <w:vAlign w:val="center"/>
          </w:tcPr>
          <w:p w14:paraId="08FF8C51">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0.25</w:t>
            </w:r>
          </w:p>
        </w:tc>
      </w:tr>
      <w:tr w14:paraId="0EEB20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511CC38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1460" w:type="pct"/>
            <w:vAlign w:val="center"/>
          </w:tcPr>
          <w:p w14:paraId="5786B5AA">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溶解氧</w:t>
            </w:r>
          </w:p>
        </w:tc>
        <w:tc>
          <w:tcPr>
            <w:tcW w:w="865" w:type="pct"/>
            <w:shd w:val="clear" w:color="auto" w:fill="auto"/>
            <w:vAlign w:val="center"/>
          </w:tcPr>
          <w:p w14:paraId="65F4127F">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676" w:type="pct"/>
            <w:shd w:val="clear" w:color="auto" w:fill="auto"/>
            <w:vAlign w:val="center"/>
          </w:tcPr>
          <w:p w14:paraId="5F7686E0">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61211910">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7.3</w:t>
            </w:r>
          </w:p>
        </w:tc>
        <w:tc>
          <w:tcPr>
            <w:tcW w:w="823" w:type="pct"/>
            <w:shd w:val="clear" w:color="auto" w:fill="auto"/>
            <w:vAlign w:val="center"/>
          </w:tcPr>
          <w:p w14:paraId="4DCB64E9">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0.75</w:t>
            </w:r>
          </w:p>
        </w:tc>
      </w:tr>
      <w:tr w14:paraId="3EC68A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6D42114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1460" w:type="pct"/>
            <w:vAlign w:val="center"/>
          </w:tcPr>
          <w:p w14:paraId="1A9D56DD">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高锰酸盐指数</w:t>
            </w:r>
          </w:p>
        </w:tc>
        <w:tc>
          <w:tcPr>
            <w:tcW w:w="865" w:type="pct"/>
            <w:shd w:val="clear" w:color="auto" w:fill="auto"/>
            <w:vAlign w:val="center"/>
          </w:tcPr>
          <w:p w14:paraId="211A2B30">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676" w:type="pct"/>
            <w:shd w:val="clear" w:color="auto" w:fill="auto"/>
            <w:vAlign w:val="center"/>
          </w:tcPr>
          <w:p w14:paraId="03F78E2F">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4B1647F6">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0.6</w:t>
            </w:r>
          </w:p>
        </w:tc>
        <w:tc>
          <w:tcPr>
            <w:tcW w:w="823" w:type="pct"/>
            <w:shd w:val="clear" w:color="auto" w:fill="auto"/>
            <w:vAlign w:val="center"/>
          </w:tcPr>
          <w:p w14:paraId="30D38C9F">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0.15</w:t>
            </w:r>
          </w:p>
        </w:tc>
      </w:tr>
      <w:tr w14:paraId="02CA25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61CD684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w:t>
            </w:r>
          </w:p>
        </w:tc>
        <w:tc>
          <w:tcPr>
            <w:tcW w:w="1460" w:type="pct"/>
            <w:vAlign w:val="center"/>
          </w:tcPr>
          <w:p w14:paraId="2026BAD2">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化学需氧量</w:t>
            </w:r>
          </w:p>
        </w:tc>
        <w:tc>
          <w:tcPr>
            <w:tcW w:w="865" w:type="pct"/>
            <w:shd w:val="clear" w:color="auto" w:fill="auto"/>
            <w:vAlign w:val="center"/>
          </w:tcPr>
          <w:p w14:paraId="08D9DF43">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5</w:t>
            </w:r>
          </w:p>
        </w:tc>
        <w:tc>
          <w:tcPr>
            <w:tcW w:w="676" w:type="pct"/>
            <w:shd w:val="clear" w:color="auto" w:fill="auto"/>
            <w:vAlign w:val="center"/>
          </w:tcPr>
          <w:p w14:paraId="2956C011">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001324E5">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10.9</w:t>
            </w:r>
          </w:p>
        </w:tc>
        <w:tc>
          <w:tcPr>
            <w:tcW w:w="823" w:type="pct"/>
            <w:shd w:val="clear" w:color="auto" w:fill="auto"/>
            <w:vAlign w:val="center"/>
          </w:tcPr>
          <w:p w14:paraId="797B1B10">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0.73</w:t>
            </w:r>
          </w:p>
        </w:tc>
      </w:tr>
      <w:tr w14:paraId="6F21AC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2013746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w:t>
            </w:r>
          </w:p>
        </w:tc>
        <w:tc>
          <w:tcPr>
            <w:tcW w:w="1460" w:type="pct"/>
            <w:vAlign w:val="center"/>
          </w:tcPr>
          <w:p w14:paraId="25663DA3">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氨氮</w:t>
            </w:r>
          </w:p>
        </w:tc>
        <w:tc>
          <w:tcPr>
            <w:tcW w:w="865" w:type="pct"/>
            <w:shd w:val="clear" w:color="auto" w:fill="auto"/>
            <w:vAlign w:val="center"/>
          </w:tcPr>
          <w:p w14:paraId="5E575DFF">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0.5</w:t>
            </w:r>
          </w:p>
        </w:tc>
        <w:tc>
          <w:tcPr>
            <w:tcW w:w="676" w:type="pct"/>
            <w:shd w:val="clear" w:color="auto" w:fill="auto"/>
            <w:vAlign w:val="center"/>
          </w:tcPr>
          <w:p w14:paraId="58BDD9ED">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noWrap/>
            <w:vAlign w:val="center"/>
          </w:tcPr>
          <w:p w14:paraId="065E2E38">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0.038</w:t>
            </w:r>
          </w:p>
        </w:tc>
        <w:tc>
          <w:tcPr>
            <w:tcW w:w="823" w:type="pct"/>
            <w:shd w:val="clear" w:color="auto" w:fill="auto"/>
            <w:noWrap/>
            <w:vAlign w:val="center"/>
          </w:tcPr>
          <w:p w14:paraId="661FDB01">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0.076</w:t>
            </w:r>
          </w:p>
        </w:tc>
      </w:tr>
      <w:tr w14:paraId="0BE7CC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79D7FD8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1460" w:type="pct"/>
            <w:vAlign w:val="center"/>
          </w:tcPr>
          <w:p w14:paraId="6E257476">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总磷</w:t>
            </w:r>
          </w:p>
        </w:tc>
        <w:tc>
          <w:tcPr>
            <w:tcW w:w="865" w:type="pct"/>
            <w:shd w:val="clear" w:color="auto" w:fill="auto"/>
            <w:vAlign w:val="center"/>
          </w:tcPr>
          <w:p w14:paraId="2DF1C609">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c>
          <w:tcPr>
            <w:tcW w:w="676" w:type="pct"/>
            <w:shd w:val="clear" w:color="auto" w:fill="auto"/>
            <w:vAlign w:val="center"/>
          </w:tcPr>
          <w:p w14:paraId="2F4701CA">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521C76E7">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0.08</w:t>
            </w:r>
          </w:p>
        </w:tc>
        <w:tc>
          <w:tcPr>
            <w:tcW w:w="823" w:type="pct"/>
            <w:shd w:val="clear" w:color="auto" w:fill="auto"/>
            <w:vAlign w:val="center"/>
          </w:tcPr>
          <w:p w14:paraId="290A5190">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w:t>
            </w:r>
          </w:p>
        </w:tc>
      </w:tr>
      <w:tr w14:paraId="70061E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5698F25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w:t>
            </w:r>
          </w:p>
        </w:tc>
        <w:tc>
          <w:tcPr>
            <w:tcW w:w="1460" w:type="pct"/>
            <w:vAlign w:val="center"/>
          </w:tcPr>
          <w:p w14:paraId="4494ED09">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铜</w:t>
            </w:r>
          </w:p>
        </w:tc>
        <w:tc>
          <w:tcPr>
            <w:tcW w:w="865" w:type="pct"/>
            <w:shd w:val="clear" w:color="auto" w:fill="auto"/>
            <w:vAlign w:val="center"/>
          </w:tcPr>
          <w:p w14:paraId="2056436B">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676" w:type="pct"/>
            <w:shd w:val="clear" w:color="auto" w:fill="auto"/>
            <w:vAlign w:val="center"/>
          </w:tcPr>
          <w:p w14:paraId="28652ED9">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noWrap/>
            <w:vAlign w:val="center"/>
          </w:tcPr>
          <w:p w14:paraId="4CC2FF8A">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823" w:type="pct"/>
            <w:shd w:val="clear" w:color="auto" w:fill="auto"/>
            <w:noWrap/>
            <w:vAlign w:val="center"/>
          </w:tcPr>
          <w:p w14:paraId="6FD240A0">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0.05</w:t>
            </w:r>
          </w:p>
        </w:tc>
      </w:tr>
      <w:tr w14:paraId="716551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35D6A9D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w:t>
            </w:r>
          </w:p>
        </w:tc>
        <w:tc>
          <w:tcPr>
            <w:tcW w:w="1460" w:type="pct"/>
            <w:vAlign w:val="center"/>
          </w:tcPr>
          <w:p w14:paraId="073F0503">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锌</w:t>
            </w:r>
          </w:p>
        </w:tc>
        <w:tc>
          <w:tcPr>
            <w:tcW w:w="865" w:type="pct"/>
            <w:shd w:val="clear" w:color="auto" w:fill="auto"/>
            <w:vAlign w:val="center"/>
          </w:tcPr>
          <w:p w14:paraId="17AFFE63">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676" w:type="pct"/>
            <w:shd w:val="clear" w:color="auto" w:fill="auto"/>
            <w:vAlign w:val="center"/>
          </w:tcPr>
          <w:p w14:paraId="55BEDB94">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15FA9EC6">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＜0.05</w:t>
            </w:r>
          </w:p>
        </w:tc>
        <w:tc>
          <w:tcPr>
            <w:tcW w:w="823" w:type="pct"/>
            <w:shd w:val="clear" w:color="auto" w:fill="auto"/>
            <w:noWrap/>
            <w:vAlign w:val="center"/>
          </w:tcPr>
          <w:p w14:paraId="4AA9DBE2">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0.05</w:t>
            </w:r>
          </w:p>
        </w:tc>
      </w:tr>
      <w:tr w14:paraId="2FCB39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56FA6AB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w:t>
            </w:r>
          </w:p>
        </w:tc>
        <w:tc>
          <w:tcPr>
            <w:tcW w:w="1460" w:type="pct"/>
            <w:vAlign w:val="center"/>
          </w:tcPr>
          <w:p w14:paraId="5FDD5389">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氟化物</w:t>
            </w:r>
          </w:p>
        </w:tc>
        <w:tc>
          <w:tcPr>
            <w:tcW w:w="865" w:type="pct"/>
            <w:shd w:val="clear" w:color="auto" w:fill="auto"/>
            <w:vAlign w:val="center"/>
          </w:tcPr>
          <w:p w14:paraId="48DA932C">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676" w:type="pct"/>
            <w:shd w:val="clear" w:color="auto" w:fill="auto"/>
            <w:vAlign w:val="center"/>
          </w:tcPr>
          <w:p w14:paraId="044CE81D">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noWrap/>
            <w:vAlign w:val="center"/>
          </w:tcPr>
          <w:p w14:paraId="15714DF2">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0.404</w:t>
            </w:r>
          </w:p>
        </w:tc>
        <w:tc>
          <w:tcPr>
            <w:tcW w:w="823" w:type="pct"/>
            <w:shd w:val="clear" w:color="auto" w:fill="auto"/>
            <w:noWrap/>
            <w:vAlign w:val="center"/>
          </w:tcPr>
          <w:p w14:paraId="36C7F33D">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0.40</w:t>
            </w:r>
          </w:p>
        </w:tc>
      </w:tr>
      <w:tr w14:paraId="6477BF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2259D73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10</w:t>
            </w:r>
          </w:p>
        </w:tc>
        <w:tc>
          <w:tcPr>
            <w:tcW w:w="1460" w:type="pct"/>
            <w:vAlign w:val="center"/>
          </w:tcPr>
          <w:p w14:paraId="6BA2F542">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砷</w:t>
            </w:r>
          </w:p>
        </w:tc>
        <w:tc>
          <w:tcPr>
            <w:tcW w:w="865" w:type="pct"/>
            <w:shd w:val="clear" w:color="auto" w:fill="auto"/>
            <w:vAlign w:val="center"/>
          </w:tcPr>
          <w:p w14:paraId="65A7C45C">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.05</w:t>
            </w:r>
          </w:p>
        </w:tc>
        <w:tc>
          <w:tcPr>
            <w:tcW w:w="676" w:type="pct"/>
            <w:shd w:val="clear" w:color="auto" w:fill="auto"/>
            <w:vAlign w:val="center"/>
          </w:tcPr>
          <w:p w14:paraId="7024E01A">
            <w:pPr>
              <w:snapToGrid w:val="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mg/L</w:t>
            </w:r>
          </w:p>
        </w:tc>
        <w:tc>
          <w:tcPr>
            <w:tcW w:w="825" w:type="pct"/>
            <w:shd w:val="clear" w:color="auto" w:fill="auto"/>
            <w:vAlign w:val="center"/>
          </w:tcPr>
          <w:p w14:paraId="51B627C0">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0.0005</w:t>
            </w:r>
          </w:p>
        </w:tc>
        <w:tc>
          <w:tcPr>
            <w:tcW w:w="823" w:type="pct"/>
            <w:shd w:val="clear" w:color="auto" w:fill="auto"/>
            <w:vAlign w:val="center"/>
          </w:tcPr>
          <w:p w14:paraId="541FD694">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0.01</w:t>
            </w:r>
          </w:p>
        </w:tc>
      </w:tr>
      <w:tr w14:paraId="1DD385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610746F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11</w:t>
            </w:r>
          </w:p>
        </w:tc>
        <w:tc>
          <w:tcPr>
            <w:tcW w:w="1460" w:type="pct"/>
            <w:vAlign w:val="center"/>
          </w:tcPr>
          <w:p w14:paraId="6F3948FD">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汞</w:t>
            </w:r>
          </w:p>
        </w:tc>
        <w:tc>
          <w:tcPr>
            <w:tcW w:w="865" w:type="pct"/>
            <w:shd w:val="clear" w:color="auto" w:fill="auto"/>
            <w:vAlign w:val="center"/>
          </w:tcPr>
          <w:p w14:paraId="03B21005">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.00005</w:t>
            </w:r>
          </w:p>
        </w:tc>
        <w:tc>
          <w:tcPr>
            <w:tcW w:w="676" w:type="pct"/>
            <w:shd w:val="clear" w:color="auto" w:fill="auto"/>
            <w:vAlign w:val="center"/>
          </w:tcPr>
          <w:p w14:paraId="611D37E7">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noWrap/>
            <w:vAlign w:val="center"/>
          </w:tcPr>
          <w:p w14:paraId="38F67994">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＜0.00004</w:t>
            </w:r>
          </w:p>
        </w:tc>
        <w:tc>
          <w:tcPr>
            <w:tcW w:w="823" w:type="pct"/>
            <w:shd w:val="clear" w:color="auto" w:fill="auto"/>
            <w:noWrap/>
            <w:vAlign w:val="center"/>
          </w:tcPr>
          <w:p w14:paraId="62A2E261">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0.8</w:t>
            </w:r>
          </w:p>
        </w:tc>
      </w:tr>
      <w:tr w14:paraId="43921C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56AB8BD7">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12</w:t>
            </w:r>
          </w:p>
        </w:tc>
        <w:tc>
          <w:tcPr>
            <w:tcW w:w="1460" w:type="pct"/>
            <w:vAlign w:val="center"/>
          </w:tcPr>
          <w:p w14:paraId="0E209BAA">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六价铬</w:t>
            </w:r>
          </w:p>
        </w:tc>
        <w:tc>
          <w:tcPr>
            <w:tcW w:w="865" w:type="pct"/>
            <w:shd w:val="clear" w:color="auto" w:fill="auto"/>
            <w:vAlign w:val="center"/>
          </w:tcPr>
          <w:p w14:paraId="14007318">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.05</w:t>
            </w:r>
          </w:p>
        </w:tc>
        <w:tc>
          <w:tcPr>
            <w:tcW w:w="676" w:type="pct"/>
            <w:shd w:val="clear" w:color="auto" w:fill="auto"/>
            <w:vAlign w:val="center"/>
          </w:tcPr>
          <w:p w14:paraId="704C2B3E">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3523ED53">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823" w:type="pct"/>
            <w:shd w:val="clear" w:color="auto" w:fill="auto"/>
            <w:vAlign w:val="center"/>
          </w:tcPr>
          <w:p w14:paraId="3E54501C">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0.08</w:t>
            </w:r>
          </w:p>
        </w:tc>
      </w:tr>
      <w:tr w14:paraId="057F21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575D8FD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13</w:t>
            </w:r>
          </w:p>
        </w:tc>
        <w:tc>
          <w:tcPr>
            <w:tcW w:w="1460" w:type="pct"/>
            <w:vAlign w:val="center"/>
          </w:tcPr>
          <w:p w14:paraId="3B64A777">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氰化物</w:t>
            </w:r>
          </w:p>
        </w:tc>
        <w:tc>
          <w:tcPr>
            <w:tcW w:w="865" w:type="pct"/>
            <w:shd w:val="clear" w:color="auto" w:fill="auto"/>
            <w:vAlign w:val="center"/>
          </w:tcPr>
          <w:p w14:paraId="1F795115">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.05</w:t>
            </w:r>
          </w:p>
        </w:tc>
        <w:tc>
          <w:tcPr>
            <w:tcW w:w="676" w:type="pct"/>
            <w:shd w:val="clear" w:color="auto" w:fill="auto"/>
            <w:vAlign w:val="center"/>
          </w:tcPr>
          <w:p w14:paraId="0C2845BC">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0007EC22">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＜0.004</w:t>
            </w:r>
          </w:p>
        </w:tc>
        <w:tc>
          <w:tcPr>
            <w:tcW w:w="823" w:type="pct"/>
            <w:shd w:val="clear" w:color="auto" w:fill="auto"/>
            <w:vAlign w:val="center"/>
          </w:tcPr>
          <w:p w14:paraId="4AFA759F">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0.08</w:t>
            </w:r>
          </w:p>
        </w:tc>
      </w:tr>
      <w:tr w14:paraId="441C63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7926408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14</w:t>
            </w:r>
          </w:p>
        </w:tc>
        <w:tc>
          <w:tcPr>
            <w:tcW w:w="1460" w:type="pct"/>
            <w:vAlign w:val="center"/>
          </w:tcPr>
          <w:p w14:paraId="4B8689EE">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挥发酚</w:t>
            </w:r>
          </w:p>
        </w:tc>
        <w:tc>
          <w:tcPr>
            <w:tcW w:w="865" w:type="pct"/>
            <w:shd w:val="clear" w:color="auto" w:fill="auto"/>
            <w:vAlign w:val="center"/>
          </w:tcPr>
          <w:p w14:paraId="0366584A">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.002</w:t>
            </w:r>
          </w:p>
        </w:tc>
        <w:tc>
          <w:tcPr>
            <w:tcW w:w="676" w:type="pct"/>
            <w:shd w:val="clear" w:color="auto" w:fill="auto"/>
            <w:vAlign w:val="center"/>
          </w:tcPr>
          <w:p w14:paraId="0855C6C8">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5DB7AD76">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＜0.0003</w:t>
            </w:r>
          </w:p>
        </w:tc>
        <w:tc>
          <w:tcPr>
            <w:tcW w:w="823" w:type="pct"/>
            <w:shd w:val="clear" w:color="auto" w:fill="auto"/>
            <w:noWrap/>
            <w:vAlign w:val="center"/>
          </w:tcPr>
          <w:p w14:paraId="6A867AA8">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0.15</w:t>
            </w:r>
          </w:p>
        </w:tc>
      </w:tr>
      <w:tr w14:paraId="62C2D9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101CA29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15</w:t>
            </w:r>
          </w:p>
        </w:tc>
        <w:tc>
          <w:tcPr>
            <w:tcW w:w="1460" w:type="pct"/>
            <w:vAlign w:val="center"/>
          </w:tcPr>
          <w:p w14:paraId="3595DFA8">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石油类</w:t>
            </w:r>
          </w:p>
        </w:tc>
        <w:tc>
          <w:tcPr>
            <w:tcW w:w="865" w:type="pct"/>
            <w:shd w:val="clear" w:color="auto" w:fill="auto"/>
            <w:vAlign w:val="center"/>
          </w:tcPr>
          <w:p w14:paraId="51B20C58">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.05</w:t>
            </w:r>
          </w:p>
        </w:tc>
        <w:tc>
          <w:tcPr>
            <w:tcW w:w="676" w:type="pct"/>
            <w:shd w:val="clear" w:color="auto" w:fill="auto"/>
            <w:vAlign w:val="center"/>
          </w:tcPr>
          <w:p w14:paraId="36905D6B">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5B5C965B">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823" w:type="pct"/>
            <w:shd w:val="clear" w:color="auto" w:fill="auto"/>
            <w:noWrap/>
            <w:vAlign w:val="center"/>
          </w:tcPr>
          <w:p w14:paraId="0A00FBA7">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0.2</w:t>
            </w:r>
          </w:p>
        </w:tc>
      </w:tr>
      <w:tr w14:paraId="7C06E2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682F7C5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16</w:t>
            </w:r>
          </w:p>
        </w:tc>
        <w:tc>
          <w:tcPr>
            <w:tcW w:w="1460" w:type="pct"/>
            <w:vAlign w:val="center"/>
          </w:tcPr>
          <w:p w14:paraId="00C2F420">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硫化物</w:t>
            </w:r>
          </w:p>
        </w:tc>
        <w:tc>
          <w:tcPr>
            <w:tcW w:w="865" w:type="pct"/>
            <w:shd w:val="clear" w:color="auto" w:fill="auto"/>
            <w:vAlign w:val="center"/>
          </w:tcPr>
          <w:p w14:paraId="521C1829">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c>
          <w:tcPr>
            <w:tcW w:w="676" w:type="pct"/>
            <w:shd w:val="clear" w:color="auto" w:fill="auto"/>
            <w:vAlign w:val="center"/>
          </w:tcPr>
          <w:p w14:paraId="1AD7C101">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mg/L</w:t>
            </w:r>
          </w:p>
        </w:tc>
        <w:tc>
          <w:tcPr>
            <w:tcW w:w="825" w:type="pct"/>
            <w:shd w:val="clear" w:color="auto" w:fill="auto"/>
            <w:vAlign w:val="center"/>
          </w:tcPr>
          <w:p w14:paraId="6213F5B7">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＜0.005</w:t>
            </w:r>
          </w:p>
        </w:tc>
        <w:tc>
          <w:tcPr>
            <w:tcW w:w="823" w:type="pct"/>
            <w:shd w:val="clear" w:color="auto" w:fill="auto"/>
            <w:noWrap/>
            <w:vAlign w:val="center"/>
          </w:tcPr>
          <w:p w14:paraId="32C649B8">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0.05</w:t>
            </w:r>
          </w:p>
        </w:tc>
      </w:tr>
      <w:tr w14:paraId="24B635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2F2552C2">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w:t>
            </w:r>
          </w:p>
        </w:tc>
        <w:tc>
          <w:tcPr>
            <w:tcW w:w="1460" w:type="pct"/>
            <w:vAlign w:val="center"/>
          </w:tcPr>
          <w:p w14:paraId="45E4B6C4">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粪大肠菌群</w:t>
            </w:r>
          </w:p>
        </w:tc>
        <w:tc>
          <w:tcPr>
            <w:tcW w:w="865" w:type="pct"/>
            <w:shd w:val="clear" w:color="auto" w:fill="auto"/>
            <w:vAlign w:val="center"/>
          </w:tcPr>
          <w:p w14:paraId="72445252">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000</w:t>
            </w:r>
          </w:p>
        </w:tc>
        <w:tc>
          <w:tcPr>
            <w:tcW w:w="676" w:type="pct"/>
            <w:shd w:val="clear" w:color="auto" w:fill="auto"/>
            <w:vAlign w:val="center"/>
          </w:tcPr>
          <w:p w14:paraId="4216FAD1">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MPN/L</w:t>
            </w:r>
          </w:p>
        </w:tc>
        <w:tc>
          <w:tcPr>
            <w:tcW w:w="825" w:type="pct"/>
            <w:shd w:val="clear" w:color="auto" w:fill="auto"/>
            <w:noWrap/>
            <w:vAlign w:val="center"/>
          </w:tcPr>
          <w:p w14:paraId="06A0F47A">
            <w:pPr>
              <w:jc w:val="center"/>
              <w:textAlignment w:val="center"/>
              <w:rPr>
                <w:color w:val="000000" w:themeColor="text1"/>
                <w:sz w:val="21"/>
                <w:szCs w:val="21"/>
                <w:vertAlign w:val="superscript"/>
                <w14:textFill>
                  <w14:solidFill>
                    <w14:schemeClr w14:val="tx1"/>
                  </w14:solidFill>
                </w14:textFill>
              </w:rPr>
            </w:pPr>
            <w:r>
              <w:rPr>
                <w:color w:val="000000" w:themeColor="text1"/>
                <w:sz w:val="21"/>
                <w:szCs w:val="21"/>
                <w14:textFill>
                  <w14:solidFill>
                    <w14:schemeClr w14:val="tx1"/>
                  </w14:solidFill>
                </w14:textFill>
              </w:rPr>
              <w:t>＜10</w:t>
            </w:r>
          </w:p>
        </w:tc>
        <w:tc>
          <w:tcPr>
            <w:tcW w:w="823" w:type="pct"/>
            <w:shd w:val="clear" w:color="auto" w:fill="auto"/>
            <w:noWrap/>
            <w:vAlign w:val="center"/>
          </w:tcPr>
          <w:p w14:paraId="67CFA9E9">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0.005</w:t>
            </w:r>
          </w:p>
        </w:tc>
      </w:tr>
      <w:tr w14:paraId="07FC69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7D287748">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18</w:t>
            </w:r>
          </w:p>
        </w:tc>
        <w:tc>
          <w:tcPr>
            <w:tcW w:w="1460" w:type="pct"/>
            <w:vAlign w:val="center"/>
          </w:tcPr>
          <w:p w14:paraId="147505F6">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硫酸盐</w:t>
            </w:r>
          </w:p>
        </w:tc>
        <w:tc>
          <w:tcPr>
            <w:tcW w:w="865" w:type="pct"/>
            <w:shd w:val="clear" w:color="auto" w:fill="auto"/>
            <w:vAlign w:val="center"/>
          </w:tcPr>
          <w:p w14:paraId="68726B22">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50</w:t>
            </w:r>
          </w:p>
        </w:tc>
        <w:tc>
          <w:tcPr>
            <w:tcW w:w="676" w:type="pct"/>
            <w:shd w:val="clear" w:color="auto" w:fill="auto"/>
            <w:vAlign w:val="center"/>
          </w:tcPr>
          <w:p w14:paraId="0884DD1C">
            <w:pPr>
              <w:snapToGrid w:val="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mg/L</w:t>
            </w:r>
          </w:p>
        </w:tc>
        <w:tc>
          <w:tcPr>
            <w:tcW w:w="825" w:type="pct"/>
            <w:shd w:val="clear" w:color="auto" w:fill="auto"/>
            <w:noWrap/>
            <w:vAlign w:val="center"/>
          </w:tcPr>
          <w:p w14:paraId="6C2321E8">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175</w:t>
            </w:r>
          </w:p>
        </w:tc>
        <w:tc>
          <w:tcPr>
            <w:tcW w:w="823" w:type="pct"/>
            <w:shd w:val="clear" w:color="auto" w:fill="auto"/>
            <w:noWrap/>
            <w:vAlign w:val="center"/>
          </w:tcPr>
          <w:p w14:paraId="1AD8BDF7">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0.7</w:t>
            </w:r>
          </w:p>
        </w:tc>
      </w:tr>
      <w:tr w14:paraId="094BBA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7973925E">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19</w:t>
            </w:r>
          </w:p>
        </w:tc>
        <w:tc>
          <w:tcPr>
            <w:tcW w:w="1460" w:type="pct"/>
            <w:vAlign w:val="center"/>
          </w:tcPr>
          <w:p w14:paraId="61C3297E">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氯化物</w:t>
            </w:r>
          </w:p>
        </w:tc>
        <w:tc>
          <w:tcPr>
            <w:tcW w:w="865" w:type="pct"/>
            <w:shd w:val="clear" w:color="auto" w:fill="auto"/>
            <w:vAlign w:val="center"/>
          </w:tcPr>
          <w:p w14:paraId="171B9EAB">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50</w:t>
            </w:r>
          </w:p>
        </w:tc>
        <w:tc>
          <w:tcPr>
            <w:tcW w:w="676" w:type="pct"/>
            <w:shd w:val="clear" w:color="auto" w:fill="auto"/>
            <w:vAlign w:val="center"/>
          </w:tcPr>
          <w:p w14:paraId="19A2BC12">
            <w:pPr>
              <w:snapToGrid w:val="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mg/L</w:t>
            </w:r>
          </w:p>
        </w:tc>
        <w:tc>
          <w:tcPr>
            <w:tcW w:w="825" w:type="pct"/>
            <w:shd w:val="clear" w:color="auto" w:fill="auto"/>
            <w:noWrap/>
            <w:vAlign w:val="center"/>
          </w:tcPr>
          <w:p w14:paraId="1315CFFD">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45.0</w:t>
            </w:r>
          </w:p>
        </w:tc>
        <w:tc>
          <w:tcPr>
            <w:tcW w:w="823" w:type="pct"/>
            <w:shd w:val="clear" w:color="auto" w:fill="auto"/>
            <w:noWrap/>
            <w:vAlign w:val="center"/>
          </w:tcPr>
          <w:p w14:paraId="46D8E165">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0.18</w:t>
            </w:r>
          </w:p>
        </w:tc>
      </w:tr>
      <w:tr w14:paraId="7C9CBF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393626C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20</w:t>
            </w:r>
          </w:p>
        </w:tc>
        <w:tc>
          <w:tcPr>
            <w:tcW w:w="1460" w:type="pct"/>
            <w:vAlign w:val="center"/>
          </w:tcPr>
          <w:p w14:paraId="6D7AC38F">
            <w:pPr>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硝酸盐（以氮计）</w:t>
            </w:r>
          </w:p>
        </w:tc>
        <w:tc>
          <w:tcPr>
            <w:tcW w:w="865" w:type="pct"/>
            <w:shd w:val="clear" w:color="auto" w:fill="auto"/>
            <w:vAlign w:val="center"/>
          </w:tcPr>
          <w:p w14:paraId="19AD3D49">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0</w:t>
            </w:r>
          </w:p>
        </w:tc>
        <w:tc>
          <w:tcPr>
            <w:tcW w:w="676" w:type="pct"/>
            <w:shd w:val="clear" w:color="auto" w:fill="auto"/>
            <w:vAlign w:val="center"/>
          </w:tcPr>
          <w:p w14:paraId="2614E892">
            <w:pPr>
              <w:snapToGrid w:val="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mg/L</w:t>
            </w:r>
          </w:p>
        </w:tc>
        <w:tc>
          <w:tcPr>
            <w:tcW w:w="825" w:type="pct"/>
            <w:shd w:val="clear" w:color="auto" w:fill="auto"/>
            <w:noWrap/>
            <w:vAlign w:val="center"/>
          </w:tcPr>
          <w:p w14:paraId="0B2AF4B8">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0.346</w:t>
            </w:r>
          </w:p>
        </w:tc>
        <w:tc>
          <w:tcPr>
            <w:tcW w:w="823" w:type="pct"/>
            <w:shd w:val="clear" w:color="auto" w:fill="auto"/>
            <w:noWrap/>
            <w:vAlign w:val="center"/>
          </w:tcPr>
          <w:p w14:paraId="09FAFBDB">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0.035</w:t>
            </w:r>
          </w:p>
        </w:tc>
      </w:tr>
      <w:tr w14:paraId="4AA60B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245FDBAD">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w:t>
            </w:r>
          </w:p>
        </w:tc>
        <w:tc>
          <w:tcPr>
            <w:tcW w:w="1460" w:type="pct"/>
            <w:vAlign w:val="center"/>
          </w:tcPr>
          <w:p w14:paraId="0C7B2EBA">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铁</w:t>
            </w:r>
          </w:p>
        </w:tc>
        <w:tc>
          <w:tcPr>
            <w:tcW w:w="865" w:type="pct"/>
            <w:shd w:val="clear" w:color="auto" w:fill="auto"/>
            <w:vAlign w:val="center"/>
          </w:tcPr>
          <w:p w14:paraId="6CBC55DB">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.3</w:t>
            </w:r>
          </w:p>
        </w:tc>
        <w:tc>
          <w:tcPr>
            <w:tcW w:w="676" w:type="pct"/>
            <w:shd w:val="clear" w:color="auto" w:fill="auto"/>
            <w:vAlign w:val="center"/>
          </w:tcPr>
          <w:p w14:paraId="1036ACEB">
            <w:pPr>
              <w:snapToGrid w:val="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mg/L</w:t>
            </w:r>
          </w:p>
        </w:tc>
        <w:tc>
          <w:tcPr>
            <w:tcW w:w="825" w:type="pct"/>
            <w:shd w:val="clear" w:color="auto" w:fill="auto"/>
            <w:noWrap/>
            <w:vAlign w:val="center"/>
          </w:tcPr>
          <w:p w14:paraId="1C947EAD">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0.15</w:t>
            </w:r>
          </w:p>
        </w:tc>
        <w:tc>
          <w:tcPr>
            <w:tcW w:w="823" w:type="pct"/>
            <w:shd w:val="clear" w:color="auto" w:fill="auto"/>
            <w:noWrap/>
            <w:vAlign w:val="center"/>
          </w:tcPr>
          <w:p w14:paraId="07CC7B62">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r>
      <w:tr w14:paraId="29C063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51" w:type="pct"/>
            <w:shd w:val="clear" w:color="auto" w:fill="auto"/>
            <w:vAlign w:val="center"/>
          </w:tcPr>
          <w:p w14:paraId="5F136651">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22</w:t>
            </w:r>
          </w:p>
        </w:tc>
        <w:tc>
          <w:tcPr>
            <w:tcW w:w="1460" w:type="pct"/>
            <w:vAlign w:val="center"/>
          </w:tcPr>
          <w:p w14:paraId="06491C34">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锰</w:t>
            </w:r>
          </w:p>
        </w:tc>
        <w:tc>
          <w:tcPr>
            <w:tcW w:w="865" w:type="pct"/>
            <w:shd w:val="clear" w:color="auto" w:fill="auto"/>
            <w:vAlign w:val="center"/>
          </w:tcPr>
          <w:p w14:paraId="3DCBA426">
            <w:pPr>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.1</w:t>
            </w:r>
          </w:p>
        </w:tc>
        <w:tc>
          <w:tcPr>
            <w:tcW w:w="676" w:type="pct"/>
            <w:shd w:val="clear" w:color="auto" w:fill="auto"/>
            <w:vAlign w:val="center"/>
          </w:tcPr>
          <w:p w14:paraId="4865148E">
            <w:pPr>
              <w:snapToGrid w:val="0"/>
              <w:jc w:val="center"/>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mg/L</w:t>
            </w:r>
          </w:p>
        </w:tc>
        <w:tc>
          <w:tcPr>
            <w:tcW w:w="825" w:type="pct"/>
            <w:shd w:val="clear" w:color="auto" w:fill="auto"/>
            <w:noWrap/>
            <w:vAlign w:val="center"/>
          </w:tcPr>
          <w:p w14:paraId="68D261C0">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＜0.01</w:t>
            </w:r>
          </w:p>
        </w:tc>
        <w:tc>
          <w:tcPr>
            <w:tcW w:w="823" w:type="pct"/>
            <w:shd w:val="clear" w:color="auto" w:fill="auto"/>
            <w:noWrap/>
            <w:vAlign w:val="center"/>
          </w:tcPr>
          <w:p w14:paraId="69FCFE9B">
            <w:pPr>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0.1</w:t>
            </w:r>
          </w:p>
        </w:tc>
      </w:tr>
    </w:tbl>
    <w:p w14:paraId="40D54EA4">
      <w:pPr>
        <w:spacing w:line="360" w:lineRule="auto"/>
        <w:ind w:firstLine="480" w:firstLineChars="200"/>
        <w:jc w:val="both"/>
        <w:rPr>
          <w:rFonts w:ascii="Times New Roman" w:hAnsi="Times New Roman" w:cs="Times New Roman"/>
          <w:b/>
          <w:bCs/>
          <w:color w:val="000000" w:themeColor="text1"/>
          <w:sz w:val="32"/>
          <w14:textFill>
            <w14:solidFill>
              <w14:schemeClr w14:val="tx1"/>
            </w14:solidFill>
          </w14:textFill>
        </w:rPr>
        <w:sectPr>
          <w:pgSz w:w="11906" w:h="16838"/>
          <w:pgMar w:top="1440" w:right="1797" w:bottom="1440" w:left="1797" w:header="794" w:footer="850" w:gutter="0"/>
          <w:cols w:space="720" w:num="1"/>
          <w:docGrid w:type="lines" w:linePitch="312" w:charSpace="0"/>
        </w:sectPr>
      </w:pPr>
      <w:r>
        <w:rPr>
          <w:color w:val="000000" w:themeColor="text1"/>
          <w14:textFill>
            <w14:solidFill>
              <w14:schemeClr w14:val="tx1"/>
            </w14:solidFill>
          </w14:textFill>
        </w:rPr>
        <w:t>由地表水评价结果可以看出，</w:t>
      </w:r>
      <w:r>
        <w:rPr>
          <w:rFonts w:hint="eastAsia" w:cs="Times New Roman"/>
          <w:color w:val="000000" w:themeColor="text1"/>
          <w:szCs w:val="20"/>
          <w14:textFill>
            <w14:solidFill>
              <w14:schemeClr w14:val="tx1"/>
            </w14:solidFill>
          </w14:textFill>
        </w:rPr>
        <w:t>盖孜河</w:t>
      </w:r>
      <w:r>
        <w:rPr>
          <w:color w:val="000000" w:themeColor="text1"/>
          <w14:textFill>
            <w14:solidFill>
              <w14:schemeClr w14:val="tx1"/>
            </w14:solidFill>
          </w14:textFill>
        </w:rPr>
        <w:t>各项</w:t>
      </w:r>
      <w:r>
        <w:rPr>
          <w:rFonts w:hint="eastAsia" w:cs="Times New Roman"/>
          <w:color w:val="000000" w:themeColor="text1"/>
          <w:szCs w:val="20"/>
          <w14:textFill>
            <w14:solidFill>
              <w14:schemeClr w14:val="tx1"/>
            </w14:solidFill>
          </w14:textFill>
        </w:rPr>
        <w:t>水质</w:t>
      </w:r>
      <w:r>
        <w:rPr>
          <w:rFonts w:hint="eastAsia"/>
          <w:color w:val="000000" w:themeColor="text1"/>
          <w14:textFill>
            <w14:solidFill>
              <w14:schemeClr w14:val="tx1"/>
            </w14:solidFill>
          </w14:textFill>
        </w:rPr>
        <w:t>监测指标均</w:t>
      </w:r>
      <w:r>
        <w:rPr>
          <w:color w:val="000000" w:themeColor="text1"/>
          <w14:textFill>
            <w14:solidFill>
              <w14:schemeClr w14:val="tx1"/>
            </w14:solidFill>
          </w14:textFill>
        </w:rPr>
        <w:t>能够</w:t>
      </w:r>
      <w:r>
        <w:rPr>
          <w:rFonts w:hint="eastAsia"/>
          <w:color w:val="000000" w:themeColor="text1"/>
          <w14:textFill>
            <w14:solidFill>
              <w14:schemeClr w14:val="tx1"/>
            </w14:solidFill>
          </w14:textFill>
        </w:rPr>
        <w:t>满足</w:t>
      </w:r>
      <w:r>
        <w:rPr>
          <w:color w:val="000000" w:themeColor="text1"/>
          <w14:textFill>
            <w14:solidFill>
              <w14:schemeClr w14:val="tx1"/>
            </w14:solidFill>
          </w14:textFill>
        </w:rPr>
        <w:t>《地表水环境质量标准》（GB 3838-2002）中的II类标准要求。</w:t>
      </w:r>
    </w:p>
    <w:bookmarkEnd w:id="441"/>
    <w:bookmarkEnd w:id="442"/>
    <w:bookmarkEnd w:id="443"/>
    <w:bookmarkEnd w:id="444"/>
    <w:p w14:paraId="323EBE9B">
      <w:pPr>
        <w:pStyle w:val="220"/>
        <w:adjustRightInd w:val="0"/>
        <w:snapToGrid w:val="0"/>
        <w:spacing w:line="240" w:lineRule="auto"/>
        <w:ind w:firstLine="0"/>
        <w:outlineLvl w:val="0"/>
        <w:rPr>
          <w:rFonts w:ascii="Times New Roman" w:hAnsi="Times New Roman" w:cs="Times New Roman"/>
          <w:b/>
          <w:color w:val="000000" w:themeColor="text1"/>
          <w:sz w:val="44"/>
          <w:szCs w:val="44"/>
          <w14:textFill>
            <w14:solidFill>
              <w14:schemeClr w14:val="tx1"/>
            </w14:solidFill>
          </w14:textFill>
        </w:rPr>
      </w:pPr>
      <w:bookmarkStart w:id="463" w:name="_Toc98413546"/>
      <w:bookmarkStart w:id="464" w:name="_Toc4507856"/>
      <w:bookmarkStart w:id="465" w:name="_Toc316561687"/>
      <w:bookmarkStart w:id="466" w:name="_Toc187675423"/>
      <w:bookmarkStart w:id="467" w:name="_Toc316511096"/>
      <w:bookmarkStart w:id="468" w:name="_Toc381606019"/>
      <w:r>
        <w:rPr>
          <w:rFonts w:ascii="Times New Roman" w:hAnsi="Times New Roman" w:cs="Times New Roman"/>
          <w:b/>
          <w:color w:val="000000" w:themeColor="text1"/>
          <w:sz w:val="44"/>
          <w:szCs w:val="44"/>
          <w14:textFill>
            <w14:solidFill>
              <w14:schemeClr w14:val="tx1"/>
            </w14:solidFill>
          </w14:textFill>
        </w:rPr>
        <w:t>5环境影响预测与评价</w:t>
      </w:r>
      <w:bookmarkEnd w:id="463"/>
      <w:bookmarkEnd w:id="464"/>
      <w:bookmarkEnd w:id="465"/>
      <w:bookmarkEnd w:id="466"/>
      <w:bookmarkEnd w:id="467"/>
      <w:bookmarkEnd w:id="468"/>
    </w:p>
    <w:p w14:paraId="2C231880">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469" w:name="_Toc187675424"/>
      <w:bookmarkStart w:id="470" w:name="_Toc98413547"/>
      <w:bookmarkStart w:id="471" w:name="_Toc491045001"/>
      <w:r>
        <w:rPr>
          <w:rFonts w:ascii="Times New Roman" w:hAnsi="Times New Roman" w:cs="Times New Roman"/>
          <w:color w:val="000000" w:themeColor="text1"/>
          <w14:textFill>
            <w14:solidFill>
              <w14:schemeClr w14:val="tx1"/>
            </w14:solidFill>
          </w14:textFill>
        </w:rPr>
        <w:t>5.1生态环境影响分析</w:t>
      </w:r>
      <w:bookmarkEnd w:id="469"/>
      <w:bookmarkEnd w:id="470"/>
      <w:bookmarkEnd w:id="471"/>
    </w:p>
    <w:p w14:paraId="596FB852">
      <w:pPr>
        <w:pStyle w:val="4"/>
        <w:spacing w:before="156" w:after="156"/>
        <w:rPr>
          <w:rFonts w:ascii="Times New Roman" w:hAnsi="Times New Roman" w:cs="Times New Roman"/>
          <w:color w:val="000000" w:themeColor="text1"/>
          <w:sz w:val="30"/>
          <w:szCs w:val="30"/>
          <w14:textFill>
            <w14:solidFill>
              <w14:schemeClr w14:val="tx1"/>
            </w14:solidFill>
          </w14:textFill>
        </w:rPr>
      </w:pPr>
      <w:r>
        <w:rPr>
          <w:rFonts w:ascii="Times New Roman" w:hAnsi="Times New Roman" w:cs="Times New Roman"/>
          <w:color w:val="000000" w:themeColor="text1"/>
          <w:sz w:val="30"/>
          <w:szCs w:val="30"/>
          <w14:textFill>
            <w14:solidFill>
              <w14:schemeClr w14:val="tx1"/>
            </w14:solidFill>
          </w14:textFill>
        </w:rPr>
        <w:t>5.1.1生态系统结构及区域生物多样性影响分析</w:t>
      </w:r>
    </w:p>
    <w:p w14:paraId="2DFF091E">
      <w:pPr>
        <w:pStyle w:val="5"/>
        <w:keepLines/>
        <w:topLinePunct/>
        <w:autoSpaceDE/>
        <w:adjustRightInd/>
        <w:spacing w:beforeLines="0" w:beforeAutospacing="1" w:after="156"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5.1.1.1对生态系统结构的影响分析</w:t>
      </w:r>
    </w:p>
    <w:p w14:paraId="2C0D89E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公路沿线各类生态系统是属于开放的系统，虽然其初级生产力较低，能量流动受到限制，系统中营养物质缺乏，物质循环的规模小、速率很低，但其具有自我调节功能，在系统不受人为干扰的情况下，会保持自身的生态平衡，其结构、功能以及能量的输入输出都处于动态稳定的状态下。</w:t>
      </w:r>
    </w:p>
    <w:p w14:paraId="1E6F6F9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拟建公路沿线典型生态系统是人工及荒漠生态系统。工程建成和运行后，评价范围内林地、草地面积发生变化不大。工程实施后本区域内绝大部分的覆被面积和植被类型没有发生变化，即对本区域生态环境起控制作用的组分未变动，生境的异质性没有发生大的改变。</w:t>
      </w:r>
    </w:p>
    <w:p w14:paraId="3419523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本项目公路占地主要为人工及荒漠生态区，对生态系统结构和功能的影响较小，造成的不利影响均在可接受的范围内。因此，项目建设不会改变现有生态系统的完整性和功能的持续性。</w:t>
      </w:r>
    </w:p>
    <w:p w14:paraId="4A74F28F">
      <w:pPr>
        <w:pStyle w:val="5"/>
        <w:keepLines/>
        <w:topLinePunct/>
        <w:autoSpaceDE/>
        <w:adjustRightInd/>
        <w:spacing w:beforeLines="0" w:beforeAutospacing="1" w:after="156"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5.1.1.2对区域生物多样性的影响</w:t>
      </w:r>
    </w:p>
    <w:p w14:paraId="038A3038">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本项目的建设对区域陆生动植物的种群数量、物种丰富度、分布情况、群落结构不会产生较大影响；不会产生明显的生境分割、阻隔、破碎化，且在评价区周边分布有适宜野生动植物生存的替代生境，对生境的影响较小；通过绿化或植被恢复，将大大弥补生态功能损失，对区域生态系统结构和功能不会造成明显影响。综合上述对物种、生境及生态系统的影响程度，可判定本项目建设对区域生物多样性的影响较低。</w:t>
      </w:r>
    </w:p>
    <w:p w14:paraId="676886C5">
      <w:pPr>
        <w:keepNext/>
        <w:keepLines/>
        <w:adjustRightInd w:val="0"/>
        <w:snapToGrid w:val="0"/>
        <w:spacing w:before="156" w:beforeLines="50" w:after="156" w:afterLines="50"/>
        <w:outlineLvl w:val="2"/>
        <w:rPr>
          <w:rFonts w:ascii="Times New Roman" w:hAnsi="Times New Roman" w:cs="Times New Roman"/>
          <w:b/>
          <w:bCs/>
          <w:color w:val="000000" w:themeColor="text1"/>
          <w:sz w:val="30"/>
          <w:szCs w:val="32"/>
          <w14:textFill>
            <w14:solidFill>
              <w14:schemeClr w14:val="tx1"/>
            </w14:solidFill>
          </w14:textFill>
        </w:rPr>
      </w:pPr>
      <w:r>
        <w:rPr>
          <w:rFonts w:ascii="Times New Roman" w:hAnsi="Times New Roman" w:cs="Times New Roman"/>
          <w:b/>
          <w:bCs/>
          <w:color w:val="000000" w:themeColor="text1"/>
          <w:sz w:val="30"/>
          <w:szCs w:val="32"/>
          <w14:textFill>
            <w14:solidFill>
              <w14:schemeClr w14:val="tx1"/>
            </w14:solidFill>
          </w14:textFill>
        </w:rPr>
        <w:t>5.1.2施工期生态环境影响分析</w:t>
      </w:r>
    </w:p>
    <w:p w14:paraId="300716C6">
      <w:pPr>
        <w:spacing w:before="156" w:beforeLines="50" w:line="360" w:lineRule="auto"/>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5.1.2.1对植被环境的影响</w:t>
      </w:r>
    </w:p>
    <w:p w14:paraId="1B01704A">
      <w:pPr>
        <w:pStyle w:val="397"/>
        <w:spacing w:line="360" w:lineRule="auto"/>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1）工程占地的生物量损失</w:t>
      </w:r>
    </w:p>
    <w:p w14:paraId="213D8FDD">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本工程永久占地面积1232.11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82.141hm²</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，其中</w:t>
      </w:r>
      <w:r>
        <w:rPr>
          <w:rFonts w:hint="eastAsia" w:ascii="Times New Roman" w:hAnsi="Times New Roman" w:cs="Times New Roman"/>
          <w:color w:val="000000" w:themeColor="text1"/>
          <w14:textFill>
            <w14:solidFill>
              <w14:schemeClr w14:val="tx1"/>
            </w14:solidFill>
          </w14:textFill>
        </w:rPr>
        <w:t>灌木</w:t>
      </w:r>
      <w:r>
        <w:rPr>
          <w:rFonts w:ascii="Times New Roman" w:hAnsi="Times New Roman" w:cs="Times New Roman"/>
          <w:color w:val="000000" w:themeColor="text1"/>
          <w14:textFill>
            <w14:solidFill>
              <w14:schemeClr w14:val="tx1"/>
            </w14:solidFill>
          </w14:textFill>
        </w:rPr>
        <w:t>359.79</w:t>
      </w:r>
      <w:r>
        <w:rPr>
          <w:rFonts w:hint="eastAsia" w:ascii="Times New Roman" w:hAnsi="Times New Roman" w:cs="Times New Roman"/>
          <w:color w:val="000000" w:themeColor="text1"/>
          <w14:textFill>
            <w14:solidFill>
              <w14:schemeClr w14:val="tx1"/>
            </w14:solidFill>
          </w14:textFill>
        </w:rPr>
        <w:t>亩（</w:t>
      </w:r>
      <w:r>
        <w:rPr>
          <w:rFonts w:ascii="Times New Roman" w:hAnsi="Times New Roman" w:cs="Times New Roman"/>
          <w:color w:val="000000" w:themeColor="text1"/>
          <w14:textFill>
            <w14:solidFill>
              <w14:schemeClr w14:val="tx1"/>
            </w14:solidFill>
          </w14:textFill>
        </w:rPr>
        <w:t>23.986hm²</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草地4</w:t>
      </w:r>
      <w:r>
        <w:rPr>
          <w:rFonts w:ascii="Times New Roman" w:hAnsi="Times New Roman" w:cs="Times New Roman"/>
          <w:color w:val="000000" w:themeColor="text1"/>
          <w14:textFill>
            <w14:solidFill>
              <w14:schemeClr w14:val="tx1"/>
            </w14:solidFill>
          </w14:textFill>
        </w:rPr>
        <w:t>14.6</w:t>
      </w:r>
      <w:r>
        <w:rPr>
          <w:rFonts w:hint="eastAsia" w:ascii="Times New Roman" w:hAnsi="Times New Roman" w:cs="Times New Roman"/>
          <w:color w:val="000000" w:themeColor="text1"/>
          <w14:textFill>
            <w14:solidFill>
              <w14:schemeClr w14:val="tx1"/>
            </w14:solidFill>
          </w14:textFill>
        </w:rPr>
        <w:t>亩（</w:t>
      </w:r>
      <w:r>
        <w:rPr>
          <w:rFonts w:ascii="Times New Roman" w:hAnsi="Times New Roman" w:cs="Times New Roman"/>
          <w:color w:val="000000" w:themeColor="text1"/>
          <w14:textFill>
            <w14:solidFill>
              <w14:schemeClr w14:val="tx1"/>
            </w14:solidFill>
          </w14:textFill>
        </w:rPr>
        <w:t>27.640hm²</w:t>
      </w:r>
      <w:r>
        <w:rPr>
          <w:rFonts w:hint="eastAsia" w:ascii="Times New Roman" w:hAnsi="Times New Roman" w:cs="Times New Roman"/>
          <w:color w:val="000000" w:themeColor="text1"/>
          <w14:textFill>
            <w14:solidFill>
              <w14:schemeClr w14:val="tx1"/>
            </w14:solidFill>
          </w14:textFill>
        </w:rPr>
        <w:t>）、林地2</w:t>
      </w:r>
      <w:r>
        <w:rPr>
          <w:rFonts w:ascii="Times New Roman" w:hAnsi="Times New Roman" w:cs="Times New Roman"/>
          <w:color w:val="000000" w:themeColor="text1"/>
          <w14:textFill>
            <w14:solidFill>
              <w14:schemeClr w14:val="tx1"/>
            </w14:solidFill>
          </w14:textFill>
        </w:rPr>
        <w:t>87.65</w:t>
      </w:r>
      <w:r>
        <w:rPr>
          <w:rFonts w:hint="eastAsia" w:ascii="Times New Roman" w:hAnsi="Times New Roman" w:cs="Times New Roman"/>
          <w:color w:val="000000" w:themeColor="text1"/>
          <w14:textFill>
            <w14:solidFill>
              <w14:schemeClr w14:val="tx1"/>
            </w14:solidFill>
          </w14:textFill>
        </w:rPr>
        <w:t>亩（</w:t>
      </w:r>
      <w:r>
        <w:rPr>
          <w:rFonts w:ascii="Times New Roman" w:hAnsi="Times New Roman" w:cs="Times New Roman"/>
          <w:color w:val="000000" w:themeColor="text1"/>
          <w14:textFill>
            <w14:solidFill>
              <w14:schemeClr w14:val="tx1"/>
            </w14:solidFill>
          </w14:textFill>
        </w:rPr>
        <w:t>19.177hm²</w:t>
      </w:r>
      <w:r>
        <w:rPr>
          <w:rFonts w:hint="eastAsia" w:ascii="Times New Roman" w:hAnsi="Times New Roman" w:cs="Times New Roman"/>
          <w:color w:val="000000" w:themeColor="text1"/>
          <w14:textFill>
            <w14:solidFill>
              <w14:schemeClr w14:val="tx1"/>
            </w14:solidFill>
          </w14:textFill>
        </w:rPr>
        <w:t>）、果园4</w:t>
      </w:r>
      <w:r>
        <w:rPr>
          <w:rFonts w:ascii="Times New Roman" w:hAnsi="Times New Roman" w:cs="Times New Roman"/>
          <w:color w:val="000000" w:themeColor="text1"/>
          <w14:textFill>
            <w14:solidFill>
              <w14:schemeClr w14:val="tx1"/>
            </w14:solidFill>
          </w14:textFill>
        </w:rPr>
        <w:t>.87</w:t>
      </w:r>
      <w:r>
        <w:rPr>
          <w:rFonts w:hint="eastAsia" w:ascii="Times New Roman" w:hAnsi="Times New Roman" w:cs="Times New Roman"/>
          <w:color w:val="000000" w:themeColor="text1"/>
          <w14:textFill>
            <w14:solidFill>
              <w14:schemeClr w14:val="tx1"/>
            </w14:solidFill>
          </w14:textFill>
        </w:rPr>
        <w:t>亩（</w:t>
      </w:r>
      <w:r>
        <w:rPr>
          <w:rFonts w:ascii="Times New Roman" w:hAnsi="Times New Roman" w:cs="Times New Roman"/>
          <w:color w:val="000000" w:themeColor="text1"/>
          <w14:textFill>
            <w14:solidFill>
              <w14:schemeClr w14:val="tx1"/>
            </w14:solidFill>
          </w14:textFill>
        </w:rPr>
        <w:t>0.325hm²</w:t>
      </w:r>
      <w:r>
        <w:rPr>
          <w:rFonts w:hint="eastAsia" w:ascii="Times New Roman" w:hAnsi="Times New Roman" w:cs="Times New Roman"/>
          <w:color w:val="000000" w:themeColor="text1"/>
          <w14:textFill>
            <w14:solidFill>
              <w14:schemeClr w14:val="tx1"/>
            </w14:solidFill>
          </w14:textFill>
        </w:rPr>
        <w:t>）；临时占地4</w:t>
      </w:r>
      <w:r>
        <w:rPr>
          <w:rFonts w:ascii="Times New Roman" w:hAnsi="Times New Roman" w:cs="Times New Roman"/>
          <w:color w:val="000000" w:themeColor="text1"/>
          <w14:textFill>
            <w14:solidFill>
              <w14:schemeClr w14:val="tx1"/>
            </w14:solidFill>
          </w14:textFill>
        </w:rPr>
        <w:t>81.3</w:t>
      </w:r>
      <w:r>
        <w:rPr>
          <w:rFonts w:hint="eastAsia" w:ascii="Times New Roman" w:hAnsi="Times New Roman" w:cs="Times New Roman"/>
          <w:color w:val="000000" w:themeColor="text1"/>
          <w14:textFill>
            <w14:solidFill>
              <w14:schemeClr w14:val="tx1"/>
            </w14:solidFill>
          </w14:textFill>
        </w:rPr>
        <w:t>亩（</w:t>
      </w:r>
      <w:r>
        <w:rPr>
          <w:rFonts w:ascii="Times New Roman" w:hAnsi="Times New Roman" w:cs="Times New Roman"/>
          <w:color w:val="000000" w:themeColor="text1"/>
          <w14:textFill>
            <w14:solidFill>
              <w14:schemeClr w14:val="tx1"/>
            </w14:solidFill>
          </w14:textFill>
        </w:rPr>
        <w:t>32.087hm²</w:t>
      </w:r>
      <w:r>
        <w:rPr>
          <w:rFonts w:hint="eastAsia" w:ascii="Times New Roman" w:hAnsi="Times New Roman" w:cs="Times New Roman"/>
          <w:color w:val="000000" w:themeColor="text1"/>
          <w14:textFill>
            <w14:solidFill>
              <w14:schemeClr w14:val="tx1"/>
            </w14:solidFill>
          </w14:textFill>
        </w:rPr>
        <w:t>），均为荒地。</w:t>
      </w:r>
    </w:p>
    <w:p w14:paraId="51C4E7FA">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公路建设使公路沿线及其周围的植被遭受破坏，将导致植被生物量的损失及生物产生量的减少。</w:t>
      </w:r>
    </w:p>
    <w:p w14:paraId="0A0441BB">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自然植被的平均生物量参照方精云等《我国森林植被的生物量和净生产量》（生态学报，16（5）：497-508）、黄玫等《中国区域植被地上与地下生物量模拟》（生态学报，2016（12）：4156-4163）中有关数据。</w:t>
      </w:r>
    </w:p>
    <w:p w14:paraId="605A6997">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拟建工程永久占地和临时占地所导致的植被生物量具体见</w:t>
      </w:r>
      <w:r>
        <w:rPr>
          <w:rFonts w:ascii="Times New Roman" w:hAnsi="Times New Roman" w:cs="Times New Roman"/>
          <w:color w:val="000000" w:themeColor="text1"/>
          <w14:textFill>
            <w14:solidFill>
              <w14:schemeClr w14:val="tx1"/>
            </w14:solidFill>
          </w14:textFill>
        </w:rPr>
        <w:t>表5.1-1。</w:t>
      </w:r>
    </w:p>
    <w:p w14:paraId="0791AAB6">
      <w:pPr>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 xml:space="preserve">表5.1-1  </w:t>
      </w:r>
      <w:r>
        <w:rPr>
          <w:rFonts w:hint="eastAsia" w:ascii="Times New Roman" w:hAnsi="Times New Roman" w:eastAsia="黑体" w:cs="Times New Roman"/>
          <w:color w:val="000000" w:themeColor="text1"/>
          <w14:textFill>
            <w14:solidFill>
              <w14:schemeClr w14:val="tx1"/>
            </w14:solidFill>
          </w14:textFill>
        </w:rPr>
        <w:t>拟建工程植被生物量损失估算表</w:t>
      </w:r>
    </w:p>
    <w:tbl>
      <w:tblPr>
        <w:tblStyle w:val="87"/>
        <w:tblW w:w="5000" w:type="pct"/>
        <w:tblInd w:w="11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705"/>
        <w:gridCol w:w="1705"/>
        <w:gridCol w:w="1706"/>
        <w:gridCol w:w="1706"/>
        <w:gridCol w:w="1706"/>
      </w:tblGrid>
      <w:tr w14:paraId="373097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blHeader/>
        </w:trPr>
        <w:tc>
          <w:tcPr>
            <w:tcW w:w="1000" w:type="pct"/>
            <w:noWrap/>
            <w:vAlign w:val="center"/>
          </w:tcPr>
          <w:p w14:paraId="7A4ECE52">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占地类型</w:t>
            </w:r>
          </w:p>
        </w:tc>
        <w:tc>
          <w:tcPr>
            <w:tcW w:w="1000" w:type="pct"/>
            <w:vAlign w:val="center"/>
          </w:tcPr>
          <w:p w14:paraId="3C4E278F">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平均生物量（</w:t>
            </w:r>
            <w:r>
              <w:rPr>
                <w:color w:val="000000" w:themeColor="text1"/>
                <w:sz w:val="21"/>
                <w:szCs w:val="18"/>
                <w14:textFill>
                  <w14:solidFill>
                    <w14:schemeClr w14:val="tx1"/>
                  </w14:solidFill>
                </w14:textFill>
              </w:rPr>
              <w:t>t/hm</w:t>
            </w:r>
            <w:r>
              <w:rPr>
                <w:color w:val="000000" w:themeColor="text1"/>
                <w:sz w:val="21"/>
                <w:szCs w:val="18"/>
                <w:vertAlign w:val="superscript"/>
                <w14:textFill>
                  <w14:solidFill>
                    <w14:schemeClr w14:val="tx1"/>
                  </w14:solidFill>
                </w14:textFill>
              </w:rPr>
              <w:t>2</w:t>
            </w:r>
            <w:r>
              <w:rPr>
                <w:rFonts w:hint="eastAsia"/>
                <w:color w:val="000000" w:themeColor="text1"/>
                <w:sz w:val="21"/>
                <w:szCs w:val="18"/>
                <w14:textFill>
                  <w14:solidFill>
                    <w14:schemeClr w14:val="tx1"/>
                  </w14:solidFill>
                </w14:textFill>
              </w:rPr>
              <w:t>）</w:t>
            </w:r>
          </w:p>
        </w:tc>
        <w:tc>
          <w:tcPr>
            <w:tcW w:w="1000" w:type="pct"/>
            <w:vAlign w:val="center"/>
          </w:tcPr>
          <w:p w14:paraId="1D5077E3">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占地面积（</w:t>
            </w:r>
            <w:r>
              <w:rPr>
                <w:color w:val="000000" w:themeColor="text1"/>
                <w:sz w:val="21"/>
                <w:szCs w:val="18"/>
                <w14:textFill>
                  <w14:solidFill>
                    <w14:schemeClr w14:val="tx1"/>
                  </w14:solidFill>
                </w14:textFill>
              </w:rPr>
              <w:t>hm</w:t>
            </w:r>
            <w:r>
              <w:rPr>
                <w:color w:val="000000" w:themeColor="text1"/>
                <w:sz w:val="21"/>
                <w:szCs w:val="18"/>
                <w:vertAlign w:val="superscript"/>
                <w14:textFill>
                  <w14:solidFill>
                    <w14:schemeClr w14:val="tx1"/>
                  </w14:solidFill>
                </w14:textFill>
              </w:rPr>
              <w:t>2</w:t>
            </w:r>
            <w:r>
              <w:rPr>
                <w:rFonts w:hint="eastAsia"/>
                <w:color w:val="000000" w:themeColor="text1"/>
                <w:sz w:val="21"/>
                <w:szCs w:val="18"/>
                <w14:textFill>
                  <w14:solidFill>
                    <w14:schemeClr w14:val="tx1"/>
                  </w14:solidFill>
                </w14:textFill>
              </w:rPr>
              <w:t>）</w:t>
            </w:r>
          </w:p>
        </w:tc>
        <w:tc>
          <w:tcPr>
            <w:tcW w:w="1000" w:type="pct"/>
            <w:vAlign w:val="center"/>
          </w:tcPr>
          <w:p w14:paraId="3313F843">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生物量损失（</w:t>
            </w:r>
            <w:r>
              <w:rPr>
                <w:color w:val="000000" w:themeColor="text1"/>
                <w:sz w:val="21"/>
                <w:szCs w:val="18"/>
                <w14:textFill>
                  <w14:solidFill>
                    <w14:schemeClr w14:val="tx1"/>
                  </w14:solidFill>
                </w14:textFill>
              </w:rPr>
              <w:t>t</w:t>
            </w:r>
            <w:r>
              <w:rPr>
                <w:rFonts w:hint="eastAsia"/>
                <w:color w:val="000000" w:themeColor="text1"/>
                <w:sz w:val="21"/>
                <w:szCs w:val="18"/>
                <w14:textFill>
                  <w14:solidFill>
                    <w14:schemeClr w14:val="tx1"/>
                  </w14:solidFill>
                </w14:textFill>
              </w:rPr>
              <w:t>）</w:t>
            </w:r>
          </w:p>
        </w:tc>
        <w:tc>
          <w:tcPr>
            <w:tcW w:w="1000" w:type="pct"/>
            <w:noWrap/>
            <w:vAlign w:val="center"/>
          </w:tcPr>
          <w:p w14:paraId="2027F00B">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比例（%）</w:t>
            </w:r>
          </w:p>
        </w:tc>
      </w:tr>
      <w:tr w14:paraId="491EA1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00" w:type="pct"/>
            <w:vAlign w:val="center"/>
          </w:tcPr>
          <w:p w14:paraId="5E2A80B4">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灌木</w:t>
            </w:r>
          </w:p>
        </w:tc>
        <w:tc>
          <w:tcPr>
            <w:tcW w:w="1000" w:type="pct"/>
            <w:vAlign w:val="center"/>
          </w:tcPr>
          <w:p w14:paraId="1F9857A7">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0.9</w:t>
            </w:r>
          </w:p>
        </w:tc>
        <w:tc>
          <w:tcPr>
            <w:tcW w:w="1000" w:type="pct"/>
            <w:vAlign w:val="center"/>
          </w:tcPr>
          <w:p w14:paraId="3267687A">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3.986</w:t>
            </w:r>
          </w:p>
        </w:tc>
        <w:tc>
          <w:tcPr>
            <w:tcW w:w="1000" w:type="pct"/>
            <w:vAlign w:val="center"/>
          </w:tcPr>
          <w:p w14:paraId="441FDCBF">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1.59</w:t>
            </w:r>
          </w:p>
        </w:tc>
        <w:tc>
          <w:tcPr>
            <w:tcW w:w="1000" w:type="pct"/>
            <w:noWrap/>
            <w:vAlign w:val="center"/>
          </w:tcPr>
          <w:p w14:paraId="15646FB8">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.72</w:t>
            </w:r>
          </w:p>
        </w:tc>
      </w:tr>
      <w:tr w14:paraId="09FBF2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00" w:type="pct"/>
            <w:vAlign w:val="center"/>
          </w:tcPr>
          <w:p w14:paraId="372BC21B">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草地</w:t>
            </w:r>
          </w:p>
        </w:tc>
        <w:tc>
          <w:tcPr>
            <w:tcW w:w="1000" w:type="pct"/>
            <w:vAlign w:val="center"/>
          </w:tcPr>
          <w:p w14:paraId="24C2621F">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0.8</w:t>
            </w:r>
          </w:p>
        </w:tc>
        <w:tc>
          <w:tcPr>
            <w:tcW w:w="1000" w:type="pct"/>
            <w:vAlign w:val="center"/>
          </w:tcPr>
          <w:p w14:paraId="503B10B5">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7.640</w:t>
            </w:r>
          </w:p>
        </w:tc>
        <w:tc>
          <w:tcPr>
            <w:tcW w:w="1000" w:type="pct"/>
            <w:vAlign w:val="center"/>
          </w:tcPr>
          <w:p w14:paraId="04FCDA9B">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2.11</w:t>
            </w:r>
          </w:p>
        </w:tc>
        <w:tc>
          <w:tcPr>
            <w:tcW w:w="1000" w:type="pct"/>
            <w:noWrap/>
            <w:vAlign w:val="center"/>
          </w:tcPr>
          <w:p w14:paraId="735B2088">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.78</w:t>
            </w:r>
          </w:p>
        </w:tc>
      </w:tr>
      <w:tr w14:paraId="735591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00" w:type="pct"/>
            <w:vAlign w:val="center"/>
          </w:tcPr>
          <w:p w14:paraId="218F0999">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林地</w:t>
            </w:r>
          </w:p>
        </w:tc>
        <w:tc>
          <w:tcPr>
            <w:tcW w:w="1000" w:type="pct"/>
            <w:vAlign w:val="center"/>
          </w:tcPr>
          <w:p w14:paraId="0770048F">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38.6</w:t>
            </w:r>
          </w:p>
        </w:tc>
        <w:tc>
          <w:tcPr>
            <w:tcW w:w="1000" w:type="pct"/>
            <w:vAlign w:val="center"/>
          </w:tcPr>
          <w:p w14:paraId="6F6B8A7C">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1</w:t>
            </w:r>
            <w:r>
              <w:rPr>
                <w:color w:val="000000" w:themeColor="text1"/>
                <w:sz w:val="21"/>
                <w:szCs w:val="18"/>
                <w14:textFill>
                  <w14:solidFill>
                    <w14:schemeClr w14:val="tx1"/>
                  </w14:solidFill>
                </w14:textFill>
              </w:rPr>
              <w:t>9.177</w:t>
            </w:r>
          </w:p>
        </w:tc>
        <w:tc>
          <w:tcPr>
            <w:tcW w:w="1000" w:type="pct"/>
            <w:vAlign w:val="center"/>
          </w:tcPr>
          <w:p w14:paraId="0BAC9B28">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7</w:t>
            </w:r>
            <w:r>
              <w:rPr>
                <w:color w:val="000000" w:themeColor="text1"/>
                <w:sz w:val="21"/>
                <w:szCs w:val="18"/>
                <w14:textFill>
                  <w14:solidFill>
                    <w14:schemeClr w14:val="tx1"/>
                  </w14:solidFill>
                </w14:textFill>
              </w:rPr>
              <w:t>40.23</w:t>
            </w:r>
          </w:p>
        </w:tc>
        <w:tc>
          <w:tcPr>
            <w:tcW w:w="1000" w:type="pct"/>
            <w:noWrap/>
            <w:vAlign w:val="center"/>
          </w:tcPr>
          <w:p w14:paraId="77C8F46A">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9</w:t>
            </w:r>
            <w:r>
              <w:rPr>
                <w:color w:val="000000" w:themeColor="text1"/>
                <w:sz w:val="21"/>
                <w:szCs w:val="18"/>
                <w14:textFill>
                  <w14:solidFill>
                    <w14:schemeClr w14:val="tx1"/>
                  </w14:solidFill>
                </w14:textFill>
              </w:rPr>
              <w:t>3.19</w:t>
            </w:r>
          </w:p>
        </w:tc>
      </w:tr>
      <w:tr w14:paraId="396D96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00" w:type="pct"/>
            <w:vAlign w:val="center"/>
          </w:tcPr>
          <w:p w14:paraId="34AD53F7">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果园</w:t>
            </w:r>
          </w:p>
        </w:tc>
        <w:tc>
          <w:tcPr>
            <w:tcW w:w="1000" w:type="pct"/>
            <w:vAlign w:val="center"/>
          </w:tcPr>
          <w:p w14:paraId="787AEE63">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4.49</w:t>
            </w:r>
          </w:p>
        </w:tc>
        <w:tc>
          <w:tcPr>
            <w:tcW w:w="1000" w:type="pct"/>
            <w:vAlign w:val="center"/>
          </w:tcPr>
          <w:p w14:paraId="1F184CFE">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0</w:t>
            </w:r>
            <w:r>
              <w:rPr>
                <w:color w:val="000000" w:themeColor="text1"/>
                <w:sz w:val="21"/>
                <w:szCs w:val="18"/>
                <w14:textFill>
                  <w14:solidFill>
                    <w14:schemeClr w14:val="tx1"/>
                  </w14:solidFill>
                </w14:textFill>
              </w:rPr>
              <w:t>.325</w:t>
            </w:r>
          </w:p>
        </w:tc>
        <w:tc>
          <w:tcPr>
            <w:tcW w:w="1000" w:type="pct"/>
            <w:vAlign w:val="center"/>
          </w:tcPr>
          <w:p w14:paraId="024E7E06">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7</w:t>
            </w:r>
            <w:r>
              <w:rPr>
                <w:color w:val="000000" w:themeColor="text1"/>
                <w:sz w:val="21"/>
                <w:szCs w:val="18"/>
                <w14:textFill>
                  <w14:solidFill>
                    <w14:schemeClr w14:val="tx1"/>
                  </w14:solidFill>
                </w14:textFill>
              </w:rPr>
              <w:t>.96</w:t>
            </w:r>
          </w:p>
        </w:tc>
        <w:tc>
          <w:tcPr>
            <w:tcW w:w="1000" w:type="pct"/>
            <w:noWrap/>
            <w:vAlign w:val="center"/>
          </w:tcPr>
          <w:p w14:paraId="1845662D">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1</w:t>
            </w:r>
            <w:r>
              <w:rPr>
                <w:color w:val="000000" w:themeColor="text1"/>
                <w:sz w:val="21"/>
                <w:szCs w:val="18"/>
                <w14:textFill>
                  <w14:solidFill>
                    <w14:schemeClr w14:val="tx1"/>
                  </w14:solidFill>
                </w14:textFill>
              </w:rPr>
              <w:t>.00</w:t>
            </w:r>
          </w:p>
        </w:tc>
      </w:tr>
      <w:tr w14:paraId="511BDE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1000" w:type="pct"/>
            <w:vAlign w:val="center"/>
          </w:tcPr>
          <w:p w14:paraId="3C31C345">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荒地</w:t>
            </w:r>
          </w:p>
        </w:tc>
        <w:tc>
          <w:tcPr>
            <w:tcW w:w="1000" w:type="pct"/>
            <w:vAlign w:val="center"/>
          </w:tcPr>
          <w:p w14:paraId="5C1D13D1">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0.075</w:t>
            </w:r>
          </w:p>
        </w:tc>
        <w:tc>
          <w:tcPr>
            <w:tcW w:w="1000" w:type="pct"/>
            <w:vAlign w:val="center"/>
          </w:tcPr>
          <w:p w14:paraId="628E2C63">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3</w:t>
            </w:r>
            <w:r>
              <w:rPr>
                <w:color w:val="000000" w:themeColor="text1"/>
                <w:sz w:val="21"/>
                <w:szCs w:val="18"/>
                <w14:textFill>
                  <w14:solidFill>
                    <w14:schemeClr w14:val="tx1"/>
                  </w14:solidFill>
                </w14:textFill>
              </w:rPr>
              <w:t>2.087</w:t>
            </w:r>
          </w:p>
        </w:tc>
        <w:tc>
          <w:tcPr>
            <w:tcW w:w="1000" w:type="pct"/>
            <w:vAlign w:val="center"/>
          </w:tcPr>
          <w:p w14:paraId="0349CEA6">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.41</w:t>
            </w:r>
          </w:p>
        </w:tc>
        <w:tc>
          <w:tcPr>
            <w:tcW w:w="1000" w:type="pct"/>
            <w:noWrap/>
            <w:vAlign w:val="center"/>
          </w:tcPr>
          <w:p w14:paraId="4189735F">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0</w:t>
            </w:r>
            <w:r>
              <w:rPr>
                <w:color w:val="000000" w:themeColor="text1"/>
                <w:sz w:val="21"/>
                <w:szCs w:val="18"/>
                <w14:textFill>
                  <w14:solidFill>
                    <w14:schemeClr w14:val="tx1"/>
                  </w14:solidFill>
                </w14:textFill>
              </w:rPr>
              <w:t>.30</w:t>
            </w:r>
          </w:p>
        </w:tc>
      </w:tr>
      <w:tr w14:paraId="48D765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 w:hRule="atLeast"/>
        </w:trPr>
        <w:tc>
          <w:tcPr>
            <w:tcW w:w="3000" w:type="pct"/>
            <w:gridSpan w:val="3"/>
            <w:vAlign w:val="center"/>
          </w:tcPr>
          <w:p w14:paraId="353E4BEA">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合计</w:t>
            </w:r>
          </w:p>
        </w:tc>
        <w:tc>
          <w:tcPr>
            <w:tcW w:w="1000" w:type="pct"/>
            <w:vAlign w:val="center"/>
          </w:tcPr>
          <w:p w14:paraId="31F31EC2">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794.30</w:t>
            </w:r>
          </w:p>
        </w:tc>
        <w:tc>
          <w:tcPr>
            <w:tcW w:w="1000" w:type="pct"/>
            <w:noWrap/>
            <w:vAlign w:val="center"/>
          </w:tcPr>
          <w:p w14:paraId="56EFCEA5">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1</w:t>
            </w:r>
            <w:r>
              <w:rPr>
                <w:color w:val="000000" w:themeColor="text1"/>
                <w:sz w:val="21"/>
                <w:szCs w:val="18"/>
                <w14:textFill>
                  <w14:solidFill>
                    <w14:schemeClr w14:val="tx1"/>
                  </w14:solidFill>
                </w14:textFill>
              </w:rPr>
              <w:t>00</w:t>
            </w:r>
          </w:p>
        </w:tc>
      </w:tr>
    </w:tbl>
    <w:p w14:paraId="0A5B36D5">
      <w:pPr>
        <w:pStyle w:val="397"/>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本工程生物损失量每年约为</w:t>
      </w:r>
      <w:r>
        <w:rPr>
          <w:rFonts w:ascii="Times New Roman" w:hAnsi="Times New Roman" w:cs="Times New Roman"/>
          <w:color w:val="000000" w:themeColor="text1"/>
          <w14:textFill>
            <w14:solidFill>
              <w14:schemeClr w14:val="tx1"/>
            </w14:solidFill>
          </w14:textFill>
        </w:rPr>
        <w:t>794.30t，其中</w:t>
      </w:r>
      <w:r>
        <w:rPr>
          <w:rFonts w:hint="eastAsia" w:ascii="Times New Roman" w:hAnsi="Times New Roman" w:cs="Times New Roman"/>
          <w:color w:val="000000" w:themeColor="text1"/>
          <w14:textFill>
            <w14:solidFill>
              <w14:schemeClr w14:val="tx1"/>
            </w14:solidFill>
          </w14:textFill>
        </w:rPr>
        <w:t>林地</w:t>
      </w:r>
      <w:r>
        <w:rPr>
          <w:rFonts w:ascii="Times New Roman" w:hAnsi="Times New Roman" w:cs="Times New Roman"/>
          <w:color w:val="000000" w:themeColor="text1"/>
          <w14:textFill>
            <w14:solidFill>
              <w14:schemeClr w14:val="tx1"/>
            </w14:solidFill>
          </w14:textFill>
        </w:rPr>
        <w:t>损失的生物量最大，为740.23 t，占损失生物量的93.19%，其次为</w:t>
      </w:r>
      <w:r>
        <w:rPr>
          <w:rFonts w:hint="eastAsia" w:ascii="Times New Roman" w:hAnsi="Times New Roman" w:cs="Times New Roman"/>
          <w:color w:val="000000" w:themeColor="text1"/>
          <w14:textFill>
            <w14:solidFill>
              <w14:schemeClr w14:val="tx1"/>
            </w14:solidFill>
          </w14:textFill>
        </w:rPr>
        <w:t>草地</w:t>
      </w:r>
      <w:r>
        <w:rPr>
          <w:rFonts w:ascii="Times New Roman" w:hAnsi="Times New Roman" w:cs="Times New Roman"/>
          <w:color w:val="000000" w:themeColor="text1"/>
          <w14:textFill>
            <w14:solidFill>
              <w14:schemeClr w14:val="tx1"/>
            </w14:solidFill>
          </w14:textFill>
        </w:rPr>
        <w:t>，生物损失量为22.11t，占损失生物量的2.78%。</w:t>
      </w:r>
    </w:p>
    <w:p w14:paraId="6853453F">
      <w:pPr>
        <w:pStyle w:val="397"/>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工程将对区域内分布的植被进行铲除后进行硬化，将导致占地区域的生物个体失去生长环境，对植物个体的影响是不可逆的；但工程涉及范围较小，且受工程影响的陆生植被均为一般常见种，这些植被在周边地区均有广泛分布，不会因局部植被损失而导致该植物种群消失。</w:t>
      </w:r>
    </w:p>
    <w:p w14:paraId="5D9460BF">
      <w:pPr>
        <w:pStyle w:val="397"/>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工程临时占地在施工过程中，在工程完成后可对表土进行回填复垦，临时施工道路、施工工区、弃渣场等临时占地区在施工完成后均可进行迹地恢复，在结合施工进行此类植被恢复与迹地恢复措施的前提下，施工临时占地总体上对区域植被产生的不利影响较小，不会导致当地植物物种分布发生明显变化或种群消失。</w:t>
      </w:r>
    </w:p>
    <w:p w14:paraId="20505794">
      <w:pPr>
        <w:spacing w:before="156" w:before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5.1.2.2对陆生野生动物的影响</w:t>
      </w:r>
    </w:p>
    <w:p w14:paraId="453C9A96">
      <w:pPr>
        <w:pStyle w:val="397"/>
        <w:spacing w:line="360" w:lineRule="auto"/>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根据现场查勘及生态调查结果，评价区内无大型野生动物分布，现有野生动物以小型常见动物为主，常见野生动物主要为农田栖息小型两栖、爬行种类和农田分布的小型鸟类，均为常见种类，受人类开发活动，其种群数量亦有限，沿线工程施工直接影响区无集中的野生动物栖息地分布。工程施工过程中，占地可能导致部分野生动物栖息地减少，同时，高噪声施工活动可能对附近区域野生动物产生惊扰。</w:t>
      </w:r>
    </w:p>
    <w:p w14:paraId="410353D2">
      <w:pPr>
        <w:pStyle w:val="397"/>
        <w:spacing w:line="360" w:lineRule="auto"/>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根据区域野生动物分布特点与工程特性分析，一方面，工程施工对陆生植物影响范围较小，相应对陆生动物栖息生境影响较小；另一方面，由于工程直接影响区分布的陆生野生动物主要为常见小型种类，其活动能力较强、种群数量较少，可主动规避施工扰动区，且附近区域生境广阔，因而施工扰动不会对其分布生存与分布产生明显影响。此外，本工程分段分期施工，同一施工段工程规模较小，施工时段短，施工结束后其扰动影响即消失。因此，工程施工对陆生动物的影响也极为有限。</w:t>
      </w:r>
    </w:p>
    <w:p w14:paraId="37B36546">
      <w:pPr>
        <w:spacing w:before="156" w:beforeLines="50" w:line="360" w:lineRule="auto"/>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5.1.2.3对</w:t>
      </w:r>
      <w:r>
        <w:rPr>
          <w:rFonts w:hint="eastAsia" w:ascii="Times New Roman" w:hAnsi="Times New Roman" w:cs="Times New Roman"/>
          <w:b/>
          <w:color w:val="000000" w:themeColor="text1"/>
          <w14:textFill>
            <w14:solidFill>
              <w14:schemeClr w14:val="tx1"/>
            </w14:solidFill>
          </w14:textFill>
        </w:rPr>
        <w:t>水生生物</w:t>
      </w:r>
      <w:r>
        <w:rPr>
          <w:rFonts w:ascii="Times New Roman" w:hAnsi="Times New Roman" w:cs="Times New Roman"/>
          <w:b/>
          <w:color w:val="000000" w:themeColor="text1"/>
          <w14:textFill>
            <w14:solidFill>
              <w14:schemeClr w14:val="tx1"/>
            </w14:solidFill>
          </w14:textFill>
        </w:rPr>
        <w:t>的影响</w:t>
      </w:r>
    </w:p>
    <w:p w14:paraId="7840FAEE">
      <w:pPr>
        <w:pStyle w:val="397"/>
        <w:spacing w:line="360" w:lineRule="auto"/>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施工期的影响主要体现在涉水桥梁水域桩基施工会引起局部水域水体浑浊，同时也破坏并占用原有的水生生物部分栖息生境，使生活在施工水域附近的水生生物发生迁移或死亡。本项目采取围堰法进行水域施工，施工区域范围较小且与外界隔离，影响的水域范围较小；随着施工的结束，施工对水域水质的影响逐渐减小，水生环境可以迅速恢复到施工前的状态，原有水生生态系统也会得以迅速恢复。</w:t>
      </w:r>
    </w:p>
    <w:p w14:paraId="6FE767C1">
      <w:pPr>
        <w:pStyle w:val="397"/>
        <w:spacing w:line="360" w:lineRule="auto"/>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本环评要求施工期加强管理，增强施工人员环保意识，约束施工行为。在落实本项目环评要求的前提下，项目施工对水生生物的影响可接受，不会改变项目沿线水域的主导生态功能。</w:t>
      </w:r>
    </w:p>
    <w:p w14:paraId="1B845B84">
      <w:pPr>
        <w:keepNext/>
        <w:keepLines/>
        <w:spacing w:before="156" w:beforeLines="50" w:after="156" w:line="360" w:lineRule="auto"/>
        <w:jc w:val="both"/>
        <w:outlineLvl w:val="2"/>
        <w:rPr>
          <w:rFonts w:ascii="Times New Roman" w:hAnsi="Times New Roman" w:cs="Times New Roman"/>
          <w:b/>
          <w:bCs/>
          <w:color w:val="000000" w:themeColor="text1"/>
          <w:sz w:val="30"/>
          <w:szCs w:val="30"/>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5.1.3营运期生态环境影响分析</w:t>
      </w:r>
    </w:p>
    <w:p w14:paraId="3FB788EE">
      <w:pPr>
        <w:spacing w:before="156" w:beforeLines="50" w:after="156" w:after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5.1.3.1对土地利用格局的影响分析</w:t>
      </w:r>
    </w:p>
    <w:p w14:paraId="7F0CF237">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本工程永久占地面积1232.11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82.141hm²</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，占地以</w:t>
      </w:r>
      <w:r>
        <w:rPr>
          <w:rFonts w:hint="eastAsia" w:ascii="Times New Roman" w:hAnsi="Times New Roman" w:cs="Times New Roman"/>
          <w:color w:val="000000" w:themeColor="text1"/>
          <w14:textFill>
            <w14:solidFill>
              <w14:schemeClr w14:val="tx1"/>
            </w14:solidFill>
          </w14:textFill>
        </w:rPr>
        <w:t>戈壁荒漠</w:t>
      </w:r>
      <w:r>
        <w:rPr>
          <w:rFonts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灌木</w:t>
      </w:r>
      <w:r>
        <w:rPr>
          <w:rFonts w:ascii="Times New Roman" w:hAnsi="Times New Roman" w:cs="Times New Roman"/>
          <w:color w:val="000000" w:themeColor="text1"/>
          <w14:textFill>
            <w14:solidFill>
              <w14:schemeClr w14:val="tx1"/>
            </w14:solidFill>
          </w14:textFill>
        </w:rPr>
        <w:t>林地占地为主，从总体上看拟建项目占地对当地的土地利用格局影响较小。</w:t>
      </w:r>
    </w:p>
    <w:p w14:paraId="2EB52D6E">
      <w:pPr>
        <w:spacing w:before="156" w:beforeLines="50" w:after="156" w:after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5.1.3.2对植被的影响分析</w:t>
      </w:r>
    </w:p>
    <w:p w14:paraId="779C9BC4">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公路建成后，永久占地内的植被将完全被路面取代。对于荒漠区域，公路建成后将形成人为的微地形，会引起植物群落性质的变化，出现植物斑块，或形成特有的</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路旁带状植物群落</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。在施工迹地上将会出现新的植物演替过程，植被可以得到较快的恢复。</w:t>
      </w:r>
    </w:p>
    <w:p w14:paraId="4E10A0FE">
      <w:pPr>
        <w:spacing w:before="156" w:beforeLines="50" w:after="156" w:after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5.1.3.3对野生动物的影响分析</w:t>
      </w:r>
    </w:p>
    <w:p w14:paraId="6EFD149A">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（1）对野生动物的影响</w:t>
      </w:r>
    </w:p>
    <w:p w14:paraId="7E0C3A19">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营运期主要为道路阻隔对野生动物通行的影响，</w:t>
      </w:r>
      <w:r>
        <w:rPr>
          <w:rFonts w:ascii="Times New Roman" w:hAnsi="Times New Roman" w:cs="Times New Roman"/>
          <w:color w:val="000000" w:themeColor="text1"/>
          <w14:textFill>
            <w14:solidFill>
              <w14:schemeClr w14:val="tx1"/>
            </w14:solidFill>
          </w14:textFill>
        </w:rPr>
        <w:t>由于</w:t>
      </w:r>
      <w:r>
        <w:rPr>
          <w:rFonts w:hint="eastAsia" w:ascii="Times New Roman" w:hAnsi="Times New Roman" w:cs="Times New Roman"/>
          <w:color w:val="000000" w:themeColor="text1"/>
          <w14:textFill>
            <w14:solidFill>
              <w14:schemeClr w14:val="tx1"/>
            </w14:solidFill>
          </w14:textFill>
        </w:rPr>
        <w:t>本项目</w:t>
      </w:r>
      <w:r>
        <w:rPr>
          <w:rFonts w:ascii="Times New Roman" w:hAnsi="Times New Roman" w:cs="Times New Roman"/>
          <w:color w:val="000000" w:themeColor="text1"/>
          <w14:textFill>
            <w14:solidFill>
              <w14:schemeClr w14:val="tx1"/>
            </w14:solidFill>
          </w14:textFill>
        </w:rPr>
        <w:t>公路路基高度相对较小，路基宽度较窄，营运期对善于飞行的鸟类基本无影响，其它鼠类、蜥蜴类等动物均有较强的迁徙能力，能够避开拟建公路到周围相同生境活动。</w:t>
      </w:r>
      <w:r>
        <w:rPr>
          <w:rFonts w:hint="eastAsia" w:ascii="Times New Roman" w:hAnsi="Times New Roman" w:cs="Times New Roman"/>
          <w:color w:val="000000" w:themeColor="text1"/>
          <w14:textFill>
            <w14:solidFill>
              <w14:schemeClr w14:val="tx1"/>
            </w14:solidFill>
          </w14:textFill>
        </w:rPr>
        <w:t>且全线设置桥梁</w:t>
      </w:r>
      <w:r>
        <w:rPr>
          <w:rFonts w:ascii="Times New Roman" w:hAnsi="Times New Roman" w:cs="Times New Roman"/>
          <w:color w:val="000000" w:themeColor="text1"/>
          <w14:textFill>
            <w14:solidFill>
              <w14:schemeClr w14:val="tx1"/>
            </w14:solidFill>
          </w14:textFill>
        </w:rPr>
        <w:t>10</w:t>
      </w:r>
      <w:r>
        <w:rPr>
          <w:rFonts w:hint="eastAsia" w:ascii="Times New Roman" w:hAnsi="Times New Roman" w:cs="Times New Roman"/>
          <w:color w:val="000000" w:themeColor="text1"/>
          <w14:textFill>
            <w14:solidFill>
              <w14:schemeClr w14:val="tx1"/>
            </w14:solidFill>
          </w14:textFill>
        </w:rPr>
        <w:t>座，涵洞</w:t>
      </w:r>
      <w:r>
        <w:rPr>
          <w:rFonts w:ascii="Times New Roman" w:hAnsi="Times New Roman" w:cs="Times New Roman"/>
          <w:color w:val="000000" w:themeColor="text1"/>
          <w14:textFill>
            <w14:solidFill>
              <w14:schemeClr w14:val="tx1"/>
            </w14:solidFill>
          </w14:textFill>
        </w:rPr>
        <w:t>96</w:t>
      </w:r>
      <w:r>
        <w:rPr>
          <w:rFonts w:hint="eastAsia" w:ascii="Times New Roman" w:hAnsi="Times New Roman" w:cs="Times New Roman"/>
          <w:color w:val="000000" w:themeColor="text1"/>
          <w14:textFill>
            <w14:solidFill>
              <w14:schemeClr w14:val="tx1"/>
            </w14:solidFill>
          </w14:textFill>
        </w:rPr>
        <w:t>道可以作为项目区域的动物通道，故影响较小。</w:t>
      </w:r>
    </w:p>
    <w:p w14:paraId="361DCF7D">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（2）环境污染对动物的影响</w:t>
      </w:r>
    </w:p>
    <w:p w14:paraId="30ADB25F">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荒漠区野生动物分布密度较低，公路上行驶的车辆排放的废气、噪声、振动等对动物的生存环境造成一定影响，</w:t>
      </w:r>
      <w:r>
        <w:rPr>
          <w:rFonts w:hint="eastAsia" w:ascii="Times New Roman" w:hAnsi="Times New Roman" w:cs="Times New Roman"/>
          <w:color w:val="000000" w:themeColor="text1"/>
          <w14:textFill>
            <w14:solidFill>
              <w14:schemeClr w14:val="tx1"/>
            </w14:solidFill>
          </w14:textFill>
        </w:rPr>
        <w:t>项目区野生</w:t>
      </w:r>
      <w:r>
        <w:rPr>
          <w:rFonts w:ascii="Times New Roman" w:hAnsi="Times New Roman" w:cs="Times New Roman"/>
          <w:color w:val="000000" w:themeColor="text1"/>
          <w14:textFill>
            <w14:solidFill>
              <w14:schemeClr w14:val="tx1"/>
            </w14:solidFill>
          </w14:textFill>
        </w:rPr>
        <w:t>动物均有较强的迁徙能力，能够避开拟建公路到周围相同生境活动</w:t>
      </w:r>
      <w:r>
        <w:rPr>
          <w:rFonts w:hint="eastAsia" w:ascii="Times New Roman" w:hAnsi="Times New Roman" w:cs="Times New Roman"/>
          <w:color w:val="000000" w:themeColor="text1"/>
          <w14:textFill>
            <w14:solidFill>
              <w14:schemeClr w14:val="tx1"/>
            </w14:solidFill>
          </w14:textFill>
        </w:rPr>
        <w:t>，影响较小。</w:t>
      </w:r>
    </w:p>
    <w:p w14:paraId="12A0B6B0">
      <w:pPr>
        <w:keepNext/>
        <w:keepLines/>
        <w:spacing w:before="156" w:beforeLines="50" w:after="156" w:line="360" w:lineRule="auto"/>
        <w:jc w:val="both"/>
        <w:outlineLvl w:val="2"/>
        <w:rPr>
          <w:rFonts w:ascii="Times New Roman" w:hAnsi="Times New Roman" w:cs="Times New Roman"/>
          <w:b/>
          <w:bCs/>
          <w:color w:val="000000" w:themeColor="text1"/>
          <w:sz w:val="30"/>
          <w:szCs w:val="30"/>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5.1.4土地荒漠化影响分析</w:t>
      </w:r>
    </w:p>
    <w:p w14:paraId="3A8D3F0D">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本工程占地</w:t>
      </w:r>
      <w:r>
        <w:rPr>
          <w:rFonts w:hint="eastAsia" w:ascii="Times New Roman" w:hAnsi="Times New Roman" w:cs="Times New Roman"/>
          <w:color w:val="000000" w:themeColor="text1"/>
          <w14:textFill>
            <w14:solidFill>
              <w14:schemeClr w14:val="tx1"/>
            </w14:solidFill>
          </w14:textFill>
        </w:rPr>
        <w:t>呈</w:t>
      </w:r>
      <w:r>
        <w:rPr>
          <w:rFonts w:ascii="Times New Roman" w:hAnsi="Times New Roman" w:cs="Times New Roman"/>
          <w:color w:val="000000" w:themeColor="text1"/>
          <w14:textFill>
            <w14:solidFill>
              <w14:schemeClr w14:val="tx1"/>
            </w14:solidFill>
          </w14:textFill>
        </w:rPr>
        <w:t>线状分布，在施工阶段，对施工范围内以及取料场地的地表砾幕进行铲除或掩埋，破坏了地表土壤的保护层，同时在开挖处或填方处又改变了原地面的坡度与坡长等。这些工程行为与区域内不易改变的气候因素、土壤因素等的综合影响，是导致公路建设期间征地范围内水土流失加剧的主要原因。工程建设对当地水土流失影响分析汇总见表5.1-2。在营运期，这种影响将随着路基、边坡的防护工程实施与植被恢复工程的落实而逐步得到控制。所造成的水土流失因素如下：</w:t>
      </w:r>
    </w:p>
    <w:p w14:paraId="57B8A9A4">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（1）施工作业</w:t>
      </w:r>
    </w:p>
    <w:p w14:paraId="6250E333">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机械碾压、人员践踏、路基开挖等，均会造成地表扰动，导致结皮丧失，壤土裸露，土质疏松，在风力和水力的作用下会诱发水土流失。</w:t>
      </w:r>
    </w:p>
    <w:p w14:paraId="54290793">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（2）弃土场</w:t>
      </w:r>
    </w:p>
    <w:p w14:paraId="45146965">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由于弃渣比较疏松，受到风力和水力的侵蚀会发生水土流失。</w:t>
      </w:r>
    </w:p>
    <w:p w14:paraId="3B1C1D1C">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（3）路基边坡</w:t>
      </w:r>
    </w:p>
    <w:p w14:paraId="409597B5">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路基填方形成坡面，在未采取防护措施之前，遇到大风天或暴雨易产生水土流失。</w:t>
      </w:r>
    </w:p>
    <w:p w14:paraId="45E9E11B">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（4）施工便道</w:t>
      </w:r>
    </w:p>
    <w:p w14:paraId="386DA74B">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施工便道多为砂砾石便道，车辆运送材料时，会带起大量扬尘。</w:t>
      </w:r>
    </w:p>
    <w:p w14:paraId="61B7C3F5">
      <w:pPr>
        <w:spacing w:before="156" w:beforeLines="50"/>
        <w:jc w:val="center"/>
        <w:rPr>
          <w:rFonts w:ascii="黑体" w:hAnsi="黑体" w:eastAsia="黑体" w:cs="Times New Roman"/>
          <w:color w:val="000000" w:themeColor="text1"/>
          <w14:textFill>
            <w14:solidFill>
              <w14:schemeClr w14:val="tx1"/>
            </w14:solidFill>
          </w14:textFill>
        </w:rPr>
      </w:pPr>
      <w:r>
        <w:rPr>
          <w:rFonts w:ascii="黑体" w:hAnsi="黑体" w:eastAsia="黑体" w:cs="Times New Roman"/>
          <w:color w:val="000000" w:themeColor="text1"/>
          <w14:textFill>
            <w14:solidFill>
              <w14:schemeClr w14:val="tx1"/>
            </w14:solidFill>
          </w14:textFill>
        </w:rPr>
        <w:t>表5.1-2  水土流失影响分析汇总</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529"/>
        <w:gridCol w:w="988"/>
        <w:gridCol w:w="2700"/>
        <w:gridCol w:w="1581"/>
        <w:gridCol w:w="2292"/>
      </w:tblGrid>
      <w:tr w14:paraId="66EB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257" w:type="pct"/>
            <w:vMerge w:val="restart"/>
            <w:shd w:val="clear" w:color="auto" w:fill="auto"/>
            <w:vAlign w:val="center"/>
          </w:tcPr>
          <w:p w14:paraId="61E5746E">
            <w:pP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序号</w:t>
            </w:r>
          </w:p>
        </w:tc>
        <w:tc>
          <w:tcPr>
            <w:tcW w:w="889" w:type="pct"/>
            <w:gridSpan w:val="2"/>
            <w:vMerge w:val="restart"/>
            <w:shd w:val="clear" w:color="auto" w:fill="auto"/>
            <w:vAlign w:val="center"/>
          </w:tcPr>
          <w:p w14:paraId="3AB0856A">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项目</w:t>
            </w:r>
          </w:p>
        </w:tc>
        <w:tc>
          <w:tcPr>
            <w:tcW w:w="1583" w:type="pct"/>
            <w:vMerge w:val="restart"/>
            <w:shd w:val="clear" w:color="auto" w:fill="auto"/>
            <w:vAlign w:val="center"/>
          </w:tcPr>
          <w:p w14:paraId="20FB0B1A">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施工基本情况</w:t>
            </w:r>
          </w:p>
        </w:tc>
        <w:tc>
          <w:tcPr>
            <w:tcW w:w="927" w:type="pct"/>
            <w:vMerge w:val="restart"/>
            <w:shd w:val="clear" w:color="auto" w:fill="auto"/>
            <w:vAlign w:val="center"/>
          </w:tcPr>
          <w:p w14:paraId="59E5A4E2">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自然条件</w:t>
            </w:r>
          </w:p>
        </w:tc>
        <w:tc>
          <w:tcPr>
            <w:tcW w:w="1344" w:type="pct"/>
            <w:vMerge w:val="restart"/>
            <w:shd w:val="clear" w:color="auto" w:fill="auto"/>
            <w:vAlign w:val="center"/>
          </w:tcPr>
          <w:p w14:paraId="59F35408">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可能产生的水土流失因素</w:t>
            </w:r>
          </w:p>
        </w:tc>
      </w:tr>
      <w:tr w14:paraId="79B8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257" w:type="pct"/>
            <w:vMerge w:val="continue"/>
            <w:vAlign w:val="center"/>
          </w:tcPr>
          <w:p w14:paraId="786FC649">
            <w:pPr>
              <w:ind w:firstLine="480"/>
              <w:jc w:val="center"/>
              <w:rPr>
                <w:rFonts w:ascii="Times New Roman" w:hAnsi="Times New Roman" w:cs="Times New Roman"/>
                <w:color w:val="000000" w:themeColor="text1"/>
                <w:sz w:val="21"/>
                <w:szCs w:val="18"/>
                <w14:textFill>
                  <w14:solidFill>
                    <w14:schemeClr w14:val="tx1"/>
                  </w14:solidFill>
                </w14:textFill>
              </w:rPr>
            </w:pPr>
          </w:p>
        </w:tc>
        <w:tc>
          <w:tcPr>
            <w:tcW w:w="889" w:type="pct"/>
            <w:gridSpan w:val="2"/>
            <w:vMerge w:val="continue"/>
            <w:vAlign w:val="center"/>
          </w:tcPr>
          <w:p w14:paraId="7316D534">
            <w:pPr>
              <w:jc w:val="center"/>
              <w:rPr>
                <w:rFonts w:ascii="Times New Roman" w:hAnsi="Times New Roman" w:cs="Times New Roman"/>
                <w:b/>
                <w:color w:val="000000" w:themeColor="text1"/>
                <w:sz w:val="21"/>
                <w:szCs w:val="18"/>
                <w14:textFill>
                  <w14:solidFill>
                    <w14:schemeClr w14:val="tx1"/>
                  </w14:solidFill>
                </w14:textFill>
              </w:rPr>
            </w:pPr>
          </w:p>
        </w:tc>
        <w:tc>
          <w:tcPr>
            <w:tcW w:w="1583" w:type="pct"/>
            <w:vMerge w:val="continue"/>
            <w:vAlign w:val="center"/>
          </w:tcPr>
          <w:p w14:paraId="4DFE214E">
            <w:pPr>
              <w:jc w:val="center"/>
              <w:rPr>
                <w:rFonts w:ascii="Times New Roman" w:hAnsi="Times New Roman" w:cs="Times New Roman"/>
                <w:b/>
                <w:color w:val="000000" w:themeColor="text1"/>
                <w:sz w:val="21"/>
                <w:szCs w:val="18"/>
                <w14:textFill>
                  <w14:solidFill>
                    <w14:schemeClr w14:val="tx1"/>
                  </w14:solidFill>
                </w14:textFill>
              </w:rPr>
            </w:pPr>
          </w:p>
        </w:tc>
        <w:tc>
          <w:tcPr>
            <w:tcW w:w="927" w:type="pct"/>
            <w:vMerge w:val="continue"/>
            <w:vAlign w:val="center"/>
          </w:tcPr>
          <w:p w14:paraId="29507917">
            <w:pPr>
              <w:jc w:val="center"/>
              <w:rPr>
                <w:rFonts w:ascii="Times New Roman" w:hAnsi="Times New Roman" w:cs="Times New Roman"/>
                <w:b/>
                <w:color w:val="000000" w:themeColor="text1"/>
                <w:sz w:val="21"/>
                <w:szCs w:val="18"/>
                <w14:textFill>
                  <w14:solidFill>
                    <w14:schemeClr w14:val="tx1"/>
                  </w14:solidFill>
                </w14:textFill>
              </w:rPr>
            </w:pPr>
          </w:p>
        </w:tc>
        <w:tc>
          <w:tcPr>
            <w:tcW w:w="1344" w:type="pct"/>
            <w:vMerge w:val="continue"/>
            <w:vAlign w:val="center"/>
          </w:tcPr>
          <w:p w14:paraId="0F423356">
            <w:pPr>
              <w:jc w:val="center"/>
              <w:rPr>
                <w:rFonts w:ascii="Times New Roman" w:hAnsi="Times New Roman" w:cs="Times New Roman"/>
                <w:b/>
                <w:color w:val="000000" w:themeColor="text1"/>
                <w:sz w:val="21"/>
                <w:szCs w:val="18"/>
                <w14:textFill>
                  <w14:solidFill>
                    <w14:schemeClr w14:val="tx1"/>
                  </w14:solidFill>
                </w14:textFill>
              </w:rPr>
            </w:pPr>
          </w:p>
        </w:tc>
      </w:tr>
      <w:tr w14:paraId="62FD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257" w:type="pct"/>
            <w:vMerge w:val="restart"/>
            <w:vAlign w:val="center"/>
          </w:tcPr>
          <w:p w14:paraId="2867215C">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1</w:t>
            </w:r>
          </w:p>
        </w:tc>
        <w:tc>
          <w:tcPr>
            <w:tcW w:w="310" w:type="pct"/>
            <w:vMerge w:val="restart"/>
            <w:vAlign w:val="center"/>
          </w:tcPr>
          <w:p w14:paraId="17779C11">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线路工程</w:t>
            </w:r>
          </w:p>
        </w:tc>
        <w:tc>
          <w:tcPr>
            <w:tcW w:w="579" w:type="pct"/>
            <w:vAlign w:val="center"/>
          </w:tcPr>
          <w:p w14:paraId="62AB0341">
            <w:pP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路基</w:t>
            </w:r>
          </w:p>
          <w:p w14:paraId="55A8AE9A">
            <w:pP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工程</w:t>
            </w:r>
          </w:p>
        </w:tc>
        <w:tc>
          <w:tcPr>
            <w:tcW w:w="1583" w:type="pct"/>
            <w:vAlign w:val="center"/>
          </w:tcPr>
          <w:p w14:paraId="433F298E">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路基施工扰动原地貌；填方路基要分层填土，分层压实，最后进行边坡整修；挖方路基要分层挖土，开挖将产生弃渣</w:t>
            </w:r>
          </w:p>
        </w:tc>
        <w:tc>
          <w:tcPr>
            <w:tcW w:w="927" w:type="pct"/>
            <w:vAlign w:val="center"/>
          </w:tcPr>
          <w:p w14:paraId="6929FDBB">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地表有砾幕覆盖，大风天气</w:t>
            </w:r>
          </w:p>
        </w:tc>
        <w:tc>
          <w:tcPr>
            <w:tcW w:w="1344" w:type="pct"/>
            <w:vAlign w:val="center"/>
          </w:tcPr>
          <w:p w14:paraId="0AF7E446">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破坏地表土壤、扬尘，土壤侵蚀主要发生在填挖坡面，侵蚀类型水-风复合侵蚀</w:t>
            </w:r>
          </w:p>
        </w:tc>
      </w:tr>
      <w:tr w14:paraId="5B6D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257" w:type="pct"/>
            <w:vMerge w:val="continue"/>
            <w:vAlign w:val="center"/>
          </w:tcPr>
          <w:p w14:paraId="22472C36">
            <w:pPr>
              <w:jc w:val="center"/>
              <w:rPr>
                <w:rFonts w:ascii="Times New Roman" w:hAnsi="Times New Roman" w:cs="Times New Roman"/>
                <w:color w:val="000000" w:themeColor="text1"/>
                <w:sz w:val="21"/>
                <w:szCs w:val="18"/>
                <w14:textFill>
                  <w14:solidFill>
                    <w14:schemeClr w14:val="tx1"/>
                  </w14:solidFill>
                </w14:textFill>
              </w:rPr>
            </w:pPr>
          </w:p>
        </w:tc>
        <w:tc>
          <w:tcPr>
            <w:tcW w:w="310" w:type="pct"/>
            <w:vMerge w:val="continue"/>
            <w:vAlign w:val="center"/>
          </w:tcPr>
          <w:p w14:paraId="1F77D1E3">
            <w:pPr>
              <w:ind w:firstLine="420"/>
              <w:jc w:val="center"/>
              <w:rPr>
                <w:rFonts w:ascii="Times New Roman" w:hAnsi="Times New Roman" w:cs="Times New Roman"/>
                <w:color w:val="000000" w:themeColor="text1"/>
                <w:sz w:val="21"/>
                <w:szCs w:val="18"/>
                <w14:textFill>
                  <w14:solidFill>
                    <w14:schemeClr w14:val="tx1"/>
                  </w14:solidFill>
                </w14:textFill>
              </w:rPr>
            </w:pPr>
          </w:p>
        </w:tc>
        <w:tc>
          <w:tcPr>
            <w:tcW w:w="579" w:type="pct"/>
            <w:vAlign w:val="center"/>
          </w:tcPr>
          <w:p w14:paraId="52BBA2C4">
            <w:pP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桥涵</w:t>
            </w:r>
          </w:p>
          <w:p w14:paraId="036026FA">
            <w:pP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工程</w:t>
            </w:r>
          </w:p>
        </w:tc>
        <w:tc>
          <w:tcPr>
            <w:tcW w:w="1583" w:type="pct"/>
            <w:vAlign w:val="center"/>
          </w:tcPr>
          <w:p w14:paraId="1AC3FC45">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桥涵工程基础开挖将产生部分弃渣</w:t>
            </w:r>
          </w:p>
        </w:tc>
        <w:tc>
          <w:tcPr>
            <w:tcW w:w="927" w:type="pct"/>
            <w:vAlign w:val="center"/>
          </w:tcPr>
          <w:p w14:paraId="6BB1A66D">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干沟、大风天气</w:t>
            </w:r>
          </w:p>
        </w:tc>
        <w:tc>
          <w:tcPr>
            <w:tcW w:w="1344" w:type="pct"/>
            <w:vAlign w:val="center"/>
          </w:tcPr>
          <w:p w14:paraId="194A88C1">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侵蚀对置将产生一定量的风蚀</w:t>
            </w:r>
          </w:p>
        </w:tc>
      </w:tr>
      <w:tr w14:paraId="7AE1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257" w:type="pct"/>
            <w:vAlign w:val="center"/>
          </w:tcPr>
          <w:p w14:paraId="020AEF0C">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2</w:t>
            </w:r>
          </w:p>
        </w:tc>
        <w:tc>
          <w:tcPr>
            <w:tcW w:w="889" w:type="pct"/>
            <w:gridSpan w:val="2"/>
            <w:vAlign w:val="center"/>
          </w:tcPr>
          <w:p w14:paraId="7881512F">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弃土场</w:t>
            </w:r>
          </w:p>
        </w:tc>
        <w:tc>
          <w:tcPr>
            <w:tcW w:w="1583" w:type="pct"/>
            <w:vAlign w:val="center"/>
          </w:tcPr>
          <w:p w14:paraId="14147044">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料场中的取土场表土剥离、筛分弃料，破坏土体，并堆积在料场未利用区域；取土场有坡度；取土将形成深浅不一的坑；弃土松散，抗蚀力弱</w:t>
            </w:r>
          </w:p>
        </w:tc>
        <w:tc>
          <w:tcPr>
            <w:tcW w:w="927" w:type="pct"/>
            <w:vAlign w:val="center"/>
          </w:tcPr>
          <w:p w14:paraId="6F239261">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大风天气</w:t>
            </w:r>
          </w:p>
        </w:tc>
        <w:tc>
          <w:tcPr>
            <w:tcW w:w="1344" w:type="pct"/>
            <w:vAlign w:val="center"/>
          </w:tcPr>
          <w:p w14:paraId="42B37D7D">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料场开挖形成的料坑在侵蚀外营力作用下将产生一定量的风蚀；堆土场地坡面存在细沟侵蚀，顶面存在风蚀</w:t>
            </w:r>
          </w:p>
        </w:tc>
      </w:tr>
      <w:tr w14:paraId="2925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257" w:type="pct"/>
            <w:vAlign w:val="center"/>
          </w:tcPr>
          <w:p w14:paraId="486B4B60">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3</w:t>
            </w:r>
          </w:p>
        </w:tc>
        <w:tc>
          <w:tcPr>
            <w:tcW w:w="889" w:type="pct"/>
            <w:gridSpan w:val="2"/>
            <w:vAlign w:val="center"/>
          </w:tcPr>
          <w:p w14:paraId="57376D54">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施工便道</w:t>
            </w:r>
          </w:p>
        </w:tc>
        <w:tc>
          <w:tcPr>
            <w:tcW w:w="1583" w:type="pct"/>
            <w:vAlign w:val="center"/>
          </w:tcPr>
          <w:p w14:paraId="046A05FD">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碾压频繁</w:t>
            </w:r>
          </w:p>
        </w:tc>
        <w:tc>
          <w:tcPr>
            <w:tcW w:w="927" w:type="pct"/>
            <w:vAlign w:val="center"/>
          </w:tcPr>
          <w:p w14:paraId="72745F8C">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大风天气</w:t>
            </w:r>
          </w:p>
        </w:tc>
        <w:tc>
          <w:tcPr>
            <w:tcW w:w="1344" w:type="pct"/>
            <w:vAlign w:val="center"/>
          </w:tcPr>
          <w:p w14:paraId="7582773E">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扬尘、风蚀</w:t>
            </w:r>
          </w:p>
        </w:tc>
      </w:tr>
      <w:tr w14:paraId="745F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57" w:type="pct"/>
            <w:shd w:val="clear" w:color="000000" w:fill="FFFFFF"/>
            <w:noWrap/>
            <w:vAlign w:val="center"/>
          </w:tcPr>
          <w:p w14:paraId="1B43B377">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4</w:t>
            </w:r>
          </w:p>
        </w:tc>
        <w:tc>
          <w:tcPr>
            <w:tcW w:w="889" w:type="pct"/>
            <w:gridSpan w:val="2"/>
            <w:shd w:val="clear" w:color="000000" w:fill="FFFFFF"/>
            <w:noWrap/>
            <w:vAlign w:val="center"/>
          </w:tcPr>
          <w:p w14:paraId="0F488F56">
            <w:pPr>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施工综合场站</w:t>
            </w:r>
          </w:p>
        </w:tc>
        <w:tc>
          <w:tcPr>
            <w:tcW w:w="1583" w:type="pct"/>
            <w:shd w:val="clear" w:color="000000" w:fill="FFFFFF"/>
            <w:vAlign w:val="center"/>
          </w:tcPr>
          <w:p w14:paraId="6DAF8512">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施工前常去进行场地平整；施工完毕后施工迹地为裸露的地面</w:t>
            </w:r>
          </w:p>
        </w:tc>
        <w:tc>
          <w:tcPr>
            <w:tcW w:w="927" w:type="pct"/>
            <w:shd w:val="clear" w:color="000000" w:fill="FFFFFF"/>
            <w:noWrap/>
            <w:vAlign w:val="center"/>
          </w:tcPr>
          <w:p w14:paraId="0190F18A">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大风天气</w:t>
            </w:r>
          </w:p>
        </w:tc>
        <w:tc>
          <w:tcPr>
            <w:tcW w:w="1344" w:type="pct"/>
            <w:shd w:val="clear" w:color="000000" w:fill="FFFFFF"/>
            <w:vAlign w:val="center"/>
          </w:tcPr>
          <w:p w14:paraId="308EE11F">
            <w:pPr>
              <w:jc w:val="both"/>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z w:val="21"/>
                <w:szCs w:val="18"/>
                <w14:textFill>
                  <w14:solidFill>
                    <w14:schemeClr w14:val="tx1"/>
                  </w14:solidFill>
                </w14:textFill>
              </w:rPr>
              <w:t>临建拆除后，大面积裸露地面在侵蚀外营力作用下将产生一定量的水土流失</w:t>
            </w:r>
          </w:p>
        </w:tc>
      </w:tr>
    </w:tbl>
    <w:p w14:paraId="0518A88B">
      <w:pPr>
        <w:keepNext/>
        <w:keepLines/>
        <w:spacing w:before="156" w:beforeLines="50" w:after="156" w:line="360" w:lineRule="auto"/>
        <w:outlineLvl w:val="2"/>
        <w:rPr>
          <w:rFonts w:ascii="Times New Roman" w:hAnsi="Times New Roman" w:cs="Times New Roman"/>
          <w:b/>
          <w:bCs/>
          <w:color w:val="000000" w:themeColor="text1"/>
          <w:sz w:val="30"/>
          <w:szCs w:val="30"/>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5.1.5水土流失影响分析</w:t>
      </w:r>
    </w:p>
    <w:p w14:paraId="1E069C6A">
      <w:pPr>
        <w:pStyle w:val="6"/>
        <w:spacing w:after="0"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（1）项目区水土流失现状</w:t>
      </w:r>
    </w:p>
    <w:p w14:paraId="7EAB3FA8">
      <w:pPr>
        <w:pStyle w:val="6"/>
        <w:spacing w:after="0"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本工程地形平坦，地层岩性为砂卵砾石；区内地下水埋藏较深，植被发育不发育。根据项目区气象、地形地貌、土壤植被条件，依据《土壤侵蚀分类分级标准》（</w:t>
      </w:r>
      <w:r>
        <w:rPr>
          <w:color w:val="000000" w:themeColor="text1"/>
          <w14:textFill>
            <w14:solidFill>
              <w14:schemeClr w14:val="tx1"/>
            </w14:solidFill>
          </w14:textFill>
        </w:rPr>
        <w:t>SL190-2007），结合2021年邻近的疏附县、疏勒县水土流失动态</w:t>
      </w:r>
      <w:r>
        <w:rPr>
          <w:rFonts w:hint="eastAsia"/>
          <w:color w:val="000000" w:themeColor="text1"/>
          <w14:textFill>
            <w14:solidFill>
              <w14:schemeClr w14:val="tx1"/>
            </w14:solidFill>
          </w14:textFill>
        </w:rPr>
        <w:t>监测资料</w:t>
      </w:r>
      <w:r>
        <w:rPr>
          <w:color w:val="000000" w:themeColor="text1"/>
          <w14:textFill>
            <w14:solidFill>
              <w14:schemeClr w14:val="tx1"/>
            </w14:solidFill>
          </w14:textFill>
        </w:rPr>
        <w:t>，判断本工程区原地貌土壤侵蚀模数为1500t/（km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·a），水土流失容许值确定为1500t/（km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p>
    <w:p w14:paraId="0AB6163B">
      <w:pPr>
        <w:pStyle w:val="6"/>
        <w:spacing w:after="0" w:line="360" w:lineRule="auto"/>
        <w:ind w:firstLine="460" w:firstLineChars="200"/>
        <w:jc w:val="both"/>
        <w:rPr>
          <w:rFonts w:ascii="Times New Roman" w:hAnsi="Times New Roman" w:cs="Times New Roman"/>
          <w:color w:val="000000" w:themeColor="text1"/>
          <w:spacing w:val="-5"/>
          <w14:textFill>
            <w14:solidFill>
              <w14:schemeClr w14:val="tx1"/>
            </w14:solidFill>
          </w14:textFill>
        </w:rPr>
      </w:pPr>
      <w:r>
        <w:rPr>
          <w:rFonts w:hint="eastAsia" w:ascii="Times New Roman" w:hAnsi="Times New Roman" w:cs="Times New Roman"/>
          <w:color w:val="000000" w:themeColor="text1"/>
          <w:spacing w:val="-5"/>
          <w14:textFill>
            <w14:solidFill>
              <w14:schemeClr w14:val="tx1"/>
            </w14:solidFill>
          </w14:textFill>
        </w:rPr>
        <w:t>（2）公路施工对水土流失的影响</w:t>
      </w:r>
    </w:p>
    <w:p w14:paraId="067F9534">
      <w:pPr>
        <w:pStyle w:val="6"/>
        <w:spacing w:after="0" w:line="360" w:lineRule="auto"/>
        <w:ind w:firstLine="460" w:firstLineChars="200"/>
        <w:jc w:val="both"/>
        <w:rPr>
          <w:rFonts w:ascii="Times New Roman" w:hAnsi="Times New Roman" w:cs="Times New Roman"/>
          <w:color w:val="000000" w:themeColor="text1"/>
          <w:spacing w:val="-2"/>
          <w14:textFill>
            <w14:solidFill>
              <w14:schemeClr w14:val="tx1"/>
            </w14:solidFill>
          </w14:textFill>
        </w:rPr>
      </w:pPr>
      <w:r>
        <w:rPr>
          <w:rFonts w:ascii="Times New Roman" w:hAnsi="Times New Roman" w:cs="Times New Roman"/>
          <w:color w:val="000000" w:themeColor="text1"/>
          <w:spacing w:val="-5"/>
          <w14:textFill>
            <w14:solidFill>
              <w14:schemeClr w14:val="tx1"/>
            </w14:solidFill>
          </w14:textFill>
        </w:rPr>
        <w:t>由于在公路的施工阶段对施工范围的地表植被进行铲除或掩埋，破坏了地表</w:t>
      </w:r>
      <w:r>
        <w:rPr>
          <w:rFonts w:ascii="Times New Roman" w:hAnsi="Times New Roman" w:cs="Times New Roman"/>
          <w:color w:val="000000" w:themeColor="text1"/>
          <w:spacing w:val="-4"/>
          <w14:textFill>
            <w14:solidFill>
              <w14:schemeClr w14:val="tx1"/>
            </w14:solidFill>
          </w14:textFill>
        </w:rPr>
        <w:t>土壤的保护层。同时在开挖处或填方处又改变了原地面的坡度与坡长等。这些人</w:t>
      </w:r>
      <w:r>
        <w:rPr>
          <w:rFonts w:ascii="Times New Roman" w:hAnsi="Times New Roman" w:cs="Times New Roman"/>
          <w:color w:val="000000" w:themeColor="text1"/>
          <w:spacing w:val="-9"/>
          <w14:textFill>
            <w14:solidFill>
              <w14:schemeClr w14:val="tx1"/>
            </w14:solidFill>
          </w14:textFill>
        </w:rPr>
        <w:t>为的工程行为在当地的气候因素、土壤因素条件下引发或加剧了评价范围内的水</w:t>
      </w:r>
      <w:r>
        <w:rPr>
          <w:rFonts w:ascii="Times New Roman" w:hAnsi="Times New Roman" w:cs="Times New Roman"/>
          <w:color w:val="000000" w:themeColor="text1"/>
          <w:spacing w:val="-4"/>
          <w14:textFill>
            <w14:solidFill>
              <w14:schemeClr w14:val="tx1"/>
            </w14:solidFill>
          </w14:textFill>
        </w:rPr>
        <w:t>土流失，明显表现在施工期。而随着路基、边坡防护工程实施落实，水土流失也</w:t>
      </w:r>
      <w:r>
        <w:rPr>
          <w:rFonts w:ascii="Times New Roman" w:hAnsi="Times New Roman" w:cs="Times New Roman"/>
          <w:color w:val="000000" w:themeColor="text1"/>
          <w:spacing w:val="-2"/>
          <w14:textFill>
            <w14:solidFill>
              <w14:schemeClr w14:val="tx1"/>
            </w14:solidFill>
          </w14:textFill>
        </w:rPr>
        <w:t>逐步得到控制。</w:t>
      </w:r>
    </w:p>
    <w:p w14:paraId="678B8F1B">
      <w:pPr>
        <w:pStyle w:val="6"/>
        <w:spacing w:after="0" w:line="360" w:lineRule="auto"/>
        <w:ind w:firstLine="472" w:firstLineChars="200"/>
        <w:jc w:val="both"/>
        <w:rPr>
          <w:rFonts w:ascii="Times New Roman" w:hAnsi="Times New Roman" w:cs="Times New Roman"/>
          <w:color w:val="000000" w:themeColor="text1"/>
          <w:spacing w:val="-4"/>
          <w14:textFill>
            <w14:solidFill>
              <w14:schemeClr w14:val="tx1"/>
            </w14:solidFill>
          </w14:textFill>
        </w:rPr>
      </w:pPr>
      <w:r>
        <w:rPr>
          <w:rFonts w:ascii="Times New Roman" w:hAnsi="Times New Roman" w:cs="Times New Roman"/>
          <w:color w:val="000000" w:themeColor="text1"/>
          <w:spacing w:val="-2"/>
          <w14:textFill>
            <w14:solidFill>
              <w14:schemeClr w14:val="tx1"/>
            </w14:solidFill>
          </w14:textFill>
        </w:rPr>
        <w:t>填方工程：施工过程中，形成了一定的坡面和坡度。在公路路堤施工</w:t>
      </w:r>
      <w:r>
        <w:rPr>
          <w:rFonts w:ascii="Times New Roman" w:hAnsi="Times New Roman" w:cs="Times New Roman"/>
          <w:color w:val="000000" w:themeColor="text1"/>
          <w:spacing w:val="-7"/>
          <w14:textFill>
            <w14:solidFill>
              <w14:schemeClr w14:val="tx1"/>
            </w14:solidFill>
          </w14:textFill>
        </w:rPr>
        <w:t>过程中一般是填一段压实一段且采取分层压实，因此在这些区域产生的水土流失</w:t>
      </w:r>
      <w:r>
        <w:rPr>
          <w:rFonts w:ascii="Times New Roman" w:hAnsi="Times New Roman" w:cs="Times New Roman"/>
          <w:color w:val="000000" w:themeColor="text1"/>
          <w:spacing w:val="-4"/>
          <w14:textFill>
            <w14:solidFill>
              <w14:schemeClr w14:val="tx1"/>
            </w14:solidFill>
          </w14:textFill>
        </w:rPr>
        <w:t>量很小。</w:t>
      </w:r>
    </w:p>
    <w:p w14:paraId="6FFDE6E2">
      <w:pPr>
        <w:pStyle w:val="6"/>
        <w:spacing w:after="0" w:line="360" w:lineRule="auto"/>
        <w:ind w:firstLine="476" w:firstLineChars="200"/>
        <w:jc w:val="both"/>
        <w:rPr>
          <w:rFonts w:ascii="Times New Roman" w:hAnsi="Times New Roman" w:cs="Times New Roman"/>
          <w:color w:val="000000" w:themeColor="text1"/>
          <w:spacing w:val="-2"/>
          <w14:textFill>
            <w14:solidFill>
              <w14:schemeClr w14:val="tx1"/>
            </w14:solidFill>
          </w14:textFill>
        </w:rPr>
      </w:pPr>
      <w:r>
        <w:rPr>
          <w:rFonts w:ascii="Times New Roman" w:hAnsi="Times New Roman" w:cs="Times New Roman"/>
          <w:color w:val="000000" w:themeColor="text1"/>
          <w:spacing w:val="-1"/>
          <w14:textFill>
            <w14:solidFill>
              <w14:schemeClr w14:val="tx1"/>
            </w14:solidFill>
          </w14:textFill>
        </w:rPr>
        <w:t>挖方工程：施工初期不仅新的路基顶面会暴露，同时还增加挖方区域</w:t>
      </w:r>
      <w:r>
        <w:rPr>
          <w:rFonts w:ascii="Times New Roman" w:hAnsi="Times New Roman" w:cs="Times New Roman"/>
          <w:color w:val="000000" w:themeColor="text1"/>
          <w:spacing w:val="-4"/>
          <w14:textFill>
            <w14:solidFill>
              <w14:schemeClr w14:val="tx1"/>
            </w14:solidFill>
          </w14:textFill>
        </w:rPr>
        <w:t>（如挖方段、取料场（弃土场）等）挖方边坡的坡面。而在坡面上的植被被完全铲除，在短时间内即为土质边坡，若不加大力度恢复植被或进行工程防护措施，裸露的坡</w:t>
      </w:r>
      <w:r>
        <w:rPr>
          <w:rFonts w:ascii="Times New Roman" w:hAnsi="Times New Roman" w:cs="Times New Roman"/>
          <w:color w:val="000000" w:themeColor="text1"/>
          <w:spacing w:val="-2"/>
          <w14:textFill>
            <w14:solidFill>
              <w14:schemeClr w14:val="tx1"/>
            </w14:solidFill>
          </w14:textFill>
        </w:rPr>
        <w:t>面会增加当地的水土流失量。</w:t>
      </w:r>
    </w:p>
    <w:p w14:paraId="7A8F5167">
      <w:pPr>
        <w:pStyle w:val="6"/>
        <w:spacing w:after="0" w:line="360" w:lineRule="auto"/>
        <w:ind w:firstLine="472" w:firstLineChars="200"/>
        <w:jc w:val="both"/>
        <w:rPr>
          <w:rFonts w:ascii="Times New Roman" w:hAnsi="Times New Roman" w:cs="Times New Roman"/>
          <w:color w:val="000000" w:themeColor="text1"/>
          <w:spacing w:val="-2"/>
          <w14:textFill>
            <w14:solidFill>
              <w14:schemeClr w14:val="tx1"/>
            </w14:solidFill>
          </w14:textFill>
        </w:rPr>
      </w:pPr>
      <w:r>
        <w:rPr>
          <w:rFonts w:ascii="Times New Roman" w:hAnsi="Times New Roman" w:cs="Times New Roman"/>
          <w:color w:val="000000" w:themeColor="text1"/>
          <w:spacing w:val="-2"/>
          <w14:textFill>
            <w14:solidFill>
              <w14:schemeClr w14:val="tx1"/>
            </w14:solidFill>
          </w14:textFill>
        </w:rPr>
        <w:t>在桥、涵洞施工过程，桥头的开挖面，路基施工中的弃渣、弃土若处理不好，也会产生水土流失。</w:t>
      </w:r>
    </w:p>
    <w:p w14:paraId="6732CC6F">
      <w:pPr>
        <w:pStyle w:val="6"/>
        <w:spacing w:after="0" w:line="360" w:lineRule="auto"/>
        <w:ind w:firstLine="472" w:firstLineChars="200"/>
        <w:jc w:val="both"/>
        <w:rPr>
          <w:rFonts w:ascii="Times New Roman" w:hAnsi="Times New Roman" w:cs="Times New Roman"/>
          <w:color w:val="000000" w:themeColor="text1"/>
          <w:spacing w:val="-4"/>
          <w14:textFill>
            <w14:solidFill>
              <w14:schemeClr w14:val="tx1"/>
            </w14:solidFill>
          </w14:textFill>
        </w:rPr>
      </w:pPr>
      <w:r>
        <w:rPr>
          <w:rFonts w:ascii="Times New Roman" w:hAnsi="Times New Roman" w:cs="Times New Roman"/>
          <w:color w:val="000000" w:themeColor="text1"/>
          <w:spacing w:val="-2"/>
          <w14:textFill>
            <w14:solidFill>
              <w14:schemeClr w14:val="tx1"/>
            </w14:solidFill>
          </w14:textFill>
        </w:rPr>
        <w:t>由于施工人员践踏、机械作业对地表植被及土壤结构的破坏，将造成</w:t>
      </w:r>
      <w:r>
        <w:rPr>
          <w:rFonts w:ascii="Times New Roman" w:hAnsi="Times New Roman" w:cs="Times New Roman"/>
          <w:color w:val="000000" w:themeColor="text1"/>
          <w:spacing w:val="-4"/>
          <w14:textFill>
            <w14:solidFill>
              <w14:schemeClr w14:val="tx1"/>
            </w14:solidFill>
          </w14:textFill>
        </w:rPr>
        <w:t>成片的裸地，而项目区土壤质地多为沙壤土，遇暴雨或大风天气，将会引发水土流失。</w:t>
      </w:r>
    </w:p>
    <w:p w14:paraId="22D9AD72">
      <w:pPr>
        <w:pStyle w:val="6"/>
        <w:spacing w:after="0" w:line="360" w:lineRule="auto"/>
        <w:ind w:firstLine="472" w:firstLineChars="200"/>
        <w:jc w:val="both"/>
        <w:rPr>
          <w:rFonts w:ascii="Times New Roman" w:hAnsi="Times New Roman" w:cs="Times New Roman"/>
          <w:color w:val="000000" w:themeColor="text1"/>
          <w:spacing w:val="-2"/>
          <w14:textFill>
            <w14:solidFill>
              <w14:schemeClr w14:val="tx1"/>
            </w14:solidFill>
          </w14:textFill>
        </w:rPr>
      </w:pPr>
      <w:r>
        <w:rPr>
          <w:rFonts w:ascii="Times New Roman" w:hAnsi="Times New Roman" w:cs="Times New Roman"/>
          <w:color w:val="000000" w:themeColor="text1"/>
          <w:spacing w:val="-2"/>
          <w14:textFill>
            <w14:solidFill>
              <w14:schemeClr w14:val="tx1"/>
            </w14:solidFill>
          </w14:textFill>
        </w:rPr>
        <w:t>施工期风蚀影响在大风天气下较为明显，施工过程中产生的堆积土，由于土质疏松，易被大风扬起沙尘，造成水土流失</w:t>
      </w:r>
      <w:r>
        <w:rPr>
          <w:rFonts w:hint="eastAsia" w:ascii="Times New Roman" w:hAnsi="Times New Roman" w:cs="Times New Roman"/>
          <w:color w:val="000000" w:themeColor="text1"/>
          <w:spacing w:val="-2"/>
          <w14:textFill>
            <w14:solidFill>
              <w14:schemeClr w14:val="tx1"/>
            </w14:solidFill>
          </w14:textFill>
        </w:rPr>
        <w:t>。</w:t>
      </w:r>
    </w:p>
    <w:p w14:paraId="13DFB034">
      <w:pPr>
        <w:pStyle w:val="253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水土流失防治措施体系及总体布局</w:t>
      </w:r>
    </w:p>
    <w:p w14:paraId="077780CD">
      <w:pPr>
        <w:pStyle w:val="2536"/>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1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公路施工</w:t>
      </w:r>
    </w:p>
    <w:p w14:paraId="0E94FE02">
      <w:pPr>
        <w:pStyle w:val="253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公路路基施工将产生大量土方动迁，要求主体工程做好土方平衡及调运，尽量将开挖土石方量用作填方，做好临时堆土场及弃渣场的规划布置，以减少水土流失的发生。主体设计在公路施工前，对占耕地、园地区域采取表土剥离措施，在施工完成后对上述区域采取表土回覆措施。本方案新增措施为：施工前在本区扰动区域外侧布设彩条旗限界措施，防止新增扰动区域，施工结束后对管理范围内的施工迹地采取场地平整措施。</w:t>
      </w:r>
    </w:p>
    <w:p w14:paraId="04E15BC9">
      <w:pPr>
        <w:pStyle w:val="2536"/>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2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临时施工道路区</w:t>
      </w:r>
    </w:p>
    <w:p w14:paraId="548AE551">
      <w:pPr>
        <w:pStyle w:val="253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前对施工道路区占地区域采取表土剥离措施，剥离表土堆放在临时堆土区，施工结束后将剥离表土回覆到剥离区域。施工道路在施工前在道路两侧拉彩条旗进行拦挡，严格控制和管理运输车辆及重型机械的行驶范围，尽量减少施工过程中扰动原地表面积，需限制施工车辆在施工期内的行驶范围；大风天气采取洒水降尘措施，施工结束后对施工道路区采取场地平整措施。</w:t>
      </w:r>
    </w:p>
    <w:p w14:paraId="6F8C3036">
      <w:pPr>
        <w:pStyle w:val="2536"/>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3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临时堆土场区</w:t>
      </w:r>
    </w:p>
    <w:p w14:paraId="70227503">
      <w:pPr>
        <w:pStyle w:val="253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施工前对临时堆土场区占地区域采取表土剥离措施，对于施工中暂不利用的堆土需用防尘网进行表面苫盖，防尘网可重复利用，施工结束后对占耕地区域采取表土回覆措施。</w:t>
      </w:r>
    </w:p>
    <w:p w14:paraId="74EFD56B">
      <w:pPr>
        <w:pStyle w:val="2536"/>
        <w:ind w:firstLine="480"/>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 4 \* GB3</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施工生产生活区</w:t>
      </w:r>
    </w:p>
    <w:p w14:paraId="2FDB6847">
      <w:pPr>
        <w:pStyle w:val="253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施工生产生活区在施工过程中对施工区域采取洒水措施，在施工结束后对施工生产生活区扰动区域采取土地平整措施，这些设计可以有效地控制此地区的水土流失。</w:t>
      </w:r>
    </w:p>
    <w:p w14:paraId="0F3C2FC2">
      <w:pPr>
        <w:pStyle w:val="4"/>
        <w:spacing w:before="156" w:after="156"/>
        <w:rPr>
          <w:rFonts w:ascii="Times New Roman" w:hAnsi="Times New Roman" w:cs="Times New Roman"/>
          <w:sz w:val="30"/>
          <w:szCs w:val="30"/>
        </w:rPr>
      </w:pPr>
      <w:r>
        <w:rPr>
          <w:rFonts w:ascii="Times New Roman" w:hAnsi="Times New Roman" w:cs="Times New Roman"/>
          <w:sz w:val="30"/>
          <w:szCs w:val="30"/>
        </w:rPr>
        <w:t>5.1.6生态影响评价结论</w:t>
      </w:r>
    </w:p>
    <w:p w14:paraId="1300CF4A">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根据现场调查及资料收集，本项目评价区域内无自然保护区、风景名胜区等生态敏感区。</w:t>
      </w:r>
    </w:p>
    <w:p w14:paraId="211D0AFF">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工程对生态环境的影响主要是永久占地及各类临时占地。本项目公路建设将占用土地、造成植被破坏，引发水土流失。需要采取一定的生态补偿和恢复措施。</w:t>
      </w:r>
    </w:p>
    <w:p w14:paraId="723BAC8E">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（1）工程永久占地将使评价区内部分林地、</w:t>
      </w:r>
      <w:r>
        <w:rPr>
          <w:rFonts w:hint="eastAsia" w:ascii="Times New Roman" w:hAnsi="Times New Roman" w:cs="Times New Roman"/>
          <w:snapToGrid w:val="0"/>
          <w:color w:val="000000" w:themeColor="text1"/>
          <w14:textFill>
            <w14:solidFill>
              <w14:schemeClr w14:val="tx1"/>
            </w14:solidFill>
          </w14:textFill>
        </w:rPr>
        <w:t>草</w:t>
      </w:r>
      <w:r>
        <w:rPr>
          <w:rFonts w:ascii="Times New Roman" w:hAnsi="Times New Roman" w:cs="Times New Roman"/>
          <w:snapToGrid w:val="0"/>
          <w:color w:val="000000" w:themeColor="text1"/>
          <w14:textFill>
            <w14:solidFill>
              <w14:schemeClr w14:val="tx1"/>
            </w14:solidFill>
          </w14:textFill>
        </w:rPr>
        <w:t>地等转变为交通运输用地，但工程整体呈线性分布，线路横向影响范围较狭窄，因此对整个评价区而言，不会导致沿线土地利用格局发生明显变化。</w:t>
      </w:r>
    </w:p>
    <w:p w14:paraId="7657AE35">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工程建设虽导致植被破坏，但受破坏的植物种类较少，多数植物均为常见种且扩散能力强、分布范围广。且评价区内植物群落结构简单，在本地区广泛分布，群落类型非特有类型。工程建设对植物种群数量、物种丰富度、群落结构及分布范围、植被覆盖度分布格局影响较小。</w:t>
      </w:r>
    </w:p>
    <w:p w14:paraId="1CC31361">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3）工程实施会暂时破坏动物原有的觅食环境，使其向周围相似生境中扩散，引起趋避反应，但不会造成其主要生境的丧失、退化以及破碎化，各动物种群可以通过自由扩散等方式在生态系统内部进行自我调节，所以不会对区域的动物种群数量及分布产生较大影响。</w:t>
      </w:r>
    </w:p>
    <w:p w14:paraId="02CB27EA">
      <w:pPr>
        <w:pStyle w:val="6"/>
        <w:spacing w:before="2"/>
        <w:ind w:left="7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2"/>
          <w14:textFill>
            <w14:solidFill>
              <w14:schemeClr w14:val="tx1"/>
            </w14:solidFill>
          </w14:textFill>
        </w:rPr>
        <w:t>建设项目生态环境影响评价自查表见表</w:t>
      </w:r>
      <w:r>
        <w:rPr>
          <w:rFonts w:ascii="Times New Roman" w:hAnsi="Times New Roman" w:eastAsia="Times New Roman" w:cs="Times New Roman"/>
          <w:color w:val="000000" w:themeColor="text1"/>
          <w:spacing w:val="-2"/>
          <w14:textFill>
            <w14:solidFill>
              <w14:schemeClr w14:val="tx1"/>
            </w14:solidFill>
          </w14:textFill>
        </w:rPr>
        <w:t>5.1-3</w:t>
      </w:r>
      <w:r>
        <w:rPr>
          <w:rFonts w:ascii="Times New Roman" w:hAnsi="Times New Roman" w:cs="Times New Roman"/>
          <w:color w:val="000000" w:themeColor="text1"/>
          <w:spacing w:val="-10"/>
          <w14:textFill>
            <w14:solidFill>
              <w14:schemeClr w14:val="tx1"/>
            </w14:solidFill>
          </w14:textFill>
        </w:rPr>
        <w:t>。</w:t>
      </w:r>
    </w:p>
    <w:p w14:paraId="46C6EDE9">
      <w:pPr>
        <w:spacing w:before="156" w:beforeLines="50"/>
        <w:jc w:val="center"/>
        <w:rPr>
          <w:rFonts w:ascii="Times New Roman" w:hAnsi="Times New Roman" w:cs="Times New Roman"/>
        </w:rPr>
      </w:pPr>
      <w:r>
        <w:rPr>
          <w:rFonts w:ascii="Times New Roman" w:hAnsi="Times New Roman" w:cs="Times New Roman"/>
          <w:b/>
        </w:rPr>
        <w:t>表 5.1-3</w:t>
      </w:r>
      <w:r>
        <w:rPr>
          <w:rFonts w:ascii="Times New Roman" w:hAnsi="Times New Roman" w:cs="Times New Roman"/>
          <w:b/>
        </w:rPr>
        <w:tab/>
      </w:r>
      <w:r>
        <w:rPr>
          <w:rFonts w:ascii="Times New Roman" w:hAnsi="Times New Roman" w:cs="Times New Roman"/>
          <w:b/>
        </w:rPr>
        <w:t>生态影响评价自查表</w:t>
      </w:r>
    </w:p>
    <w:tbl>
      <w:tblPr>
        <w:tblStyle w:val="2264"/>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5"/>
        <w:gridCol w:w="1146"/>
        <w:gridCol w:w="6413"/>
      </w:tblGrid>
      <w:tr w14:paraId="148C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2111" w:type="dxa"/>
            <w:gridSpan w:val="2"/>
            <w:vAlign w:val="center"/>
          </w:tcPr>
          <w:p w14:paraId="58A1DC70">
            <w:pPr>
              <w:pStyle w:val="2265"/>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w w:val="95"/>
                <w:sz w:val="21"/>
                <w:szCs w:val="21"/>
                <w14:textFill>
                  <w14:solidFill>
                    <w14:schemeClr w14:val="tx1"/>
                  </w14:solidFill>
                </w14:textFill>
              </w:rPr>
              <w:t>工作内</w:t>
            </w:r>
            <w:r>
              <w:rPr>
                <w:rFonts w:ascii="Times New Roman" w:hAnsi="Times New Roman" w:cs="Times New Roman"/>
                <w:color w:val="000000" w:themeColor="text1"/>
                <w:spacing w:val="-10"/>
                <w:w w:val="95"/>
                <w:sz w:val="21"/>
                <w:szCs w:val="21"/>
                <w14:textFill>
                  <w14:solidFill>
                    <w14:schemeClr w14:val="tx1"/>
                  </w14:solidFill>
                </w14:textFill>
              </w:rPr>
              <w:t>容</w:t>
            </w:r>
          </w:p>
        </w:tc>
        <w:tc>
          <w:tcPr>
            <w:tcW w:w="6413" w:type="dxa"/>
            <w:vAlign w:val="center"/>
          </w:tcPr>
          <w:p w14:paraId="54928888">
            <w:pPr>
              <w:pStyle w:val="2265"/>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w w:val="95"/>
                <w:sz w:val="21"/>
                <w:szCs w:val="21"/>
                <w14:textFill>
                  <w14:solidFill>
                    <w14:schemeClr w14:val="tx1"/>
                  </w14:solidFill>
                </w14:textFill>
              </w:rPr>
              <w:t>自查项</w:t>
            </w:r>
            <w:r>
              <w:rPr>
                <w:rFonts w:ascii="Times New Roman" w:hAnsi="Times New Roman" w:cs="Times New Roman"/>
                <w:color w:val="000000" w:themeColor="text1"/>
                <w:spacing w:val="-10"/>
                <w:w w:val="95"/>
                <w:sz w:val="21"/>
                <w:szCs w:val="21"/>
                <w14:textFill>
                  <w14:solidFill>
                    <w14:schemeClr w14:val="tx1"/>
                  </w14:solidFill>
                </w14:textFill>
              </w:rPr>
              <w:t>目</w:t>
            </w:r>
          </w:p>
        </w:tc>
      </w:tr>
      <w:tr w14:paraId="5082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jc w:val="center"/>
        </w:trPr>
        <w:tc>
          <w:tcPr>
            <w:tcW w:w="965" w:type="dxa"/>
            <w:vMerge w:val="restart"/>
            <w:vAlign w:val="center"/>
          </w:tcPr>
          <w:p w14:paraId="73D8089D">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生态影响识别</w:t>
            </w:r>
          </w:p>
        </w:tc>
        <w:tc>
          <w:tcPr>
            <w:tcW w:w="1146" w:type="dxa"/>
            <w:vAlign w:val="center"/>
          </w:tcPr>
          <w:p w14:paraId="41CF6C04">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生态保护目标</w:t>
            </w:r>
          </w:p>
        </w:tc>
        <w:tc>
          <w:tcPr>
            <w:tcW w:w="6413" w:type="dxa"/>
            <w:vAlign w:val="center"/>
          </w:tcPr>
          <w:p w14:paraId="4D6FAE64">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重要物种□；国家公园□；自然保护区□；自然公园；世界自然遗产□；生态保护红线；重要生境□；其他具有重要生态功能、对保护生物多样性具有重要意义的区域□；其他√</w:t>
            </w:r>
          </w:p>
        </w:tc>
      </w:tr>
      <w:tr w14:paraId="5DAB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965" w:type="dxa"/>
            <w:vMerge w:val="continue"/>
            <w:vAlign w:val="center"/>
          </w:tcPr>
          <w:p w14:paraId="2B979713">
            <w:pPr>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p>
        </w:tc>
        <w:tc>
          <w:tcPr>
            <w:tcW w:w="1146" w:type="dxa"/>
            <w:vAlign w:val="center"/>
          </w:tcPr>
          <w:p w14:paraId="718B7DA1">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影响方式</w:t>
            </w:r>
          </w:p>
        </w:tc>
        <w:tc>
          <w:tcPr>
            <w:tcW w:w="6413" w:type="dxa"/>
            <w:vAlign w:val="center"/>
          </w:tcPr>
          <w:p w14:paraId="0F5F7F81">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工程占用√；施工活动干扰√；改变环境条件□；其他□</w:t>
            </w:r>
          </w:p>
        </w:tc>
      </w:tr>
      <w:tr w14:paraId="2150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76" w:hRule="atLeast"/>
          <w:jc w:val="center"/>
        </w:trPr>
        <w:tc>
          <w:tcPr>
            <w:tcW w:w="965" w:type="dxa"/>
            <w:vMerge w:val="continue"/>
            <w:vAlign w:val="center"/>
          </w:tcPr>
          <w:p w14:paraId="0B28F497">
            <w:pPr>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p>
        </w:tc>
        <w:tc>
          <w:tcPr>
            <w:tcW w:w="1146" w:type="dxa"/>
            <w:vAlign w:val="center"/>
          </w:tcPr>
          <w:p w14:paraId="3D3C025F">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评价因子</w:t>
            </w:r>
          </w:p>
        </w:tc>
        <w:tc>
          <w:tcPr>
            <w:tcW w:w="6413" w:type="dxa"/>
            <w:vAlign w:val="center"/>
          </w:tcPr>
          <w:p w14:paraId="4233D539">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物种√（分布范围、种群数量）</w:t>
            </w:r>
          </w:p>
          <w:p w14:paraId="5987B5F6">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生境√（生境面积、连通性）</w:t>
            </w:r>
          </w:p>
          <w:p w14:paraId="465C786E">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生物群落□（）</w:t>
            </w:r>
          </w:p>
          <w:p w14:paraId="6484FA89">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生态系统</w:t>
            </w:r>
            <w:r>
              <w:rPr>
                <w:rFonts w:ascii="Times New Roman" w:hAnsi="Times New Roman" w:cs="Times New Roman"/>
                <w:color w:val="000000" w:themeColor="text1"/>
                <w:spacing w:val="-8"/>
                <w:w w:val="99"/>
                <w:sz w:val="21"/>
                <w:szCs w:val="21"/>
                <w:lang w:eastAsia="en-US"/>
                <w14:textFill>
                  <w14:solidFill>
                    <w14:schemeClr w14:val="tx1"/>
                  </w14:solidFill>
                </w14:textFill>
              </w:rPr>
              <w:sym w:font="Wingdings 2" w:char="F052"/>
            </w:r>
            <w:r>
              <w:rPr>
                <w:rFonts w:ascii="Times New Roman" w:hAnsi="Times New Roman" w:cs="Times New Roman"/>
                <w:color w:val="000000" w:themeColor="text1"/>
                <w:spacing w:val="-8"/>
                <w:w w:val="99"/>
                <w:sz w:val="21"/>
                <w:szCs w:val="21"/>
                <w:lang w:eastAsia="zh-CN"/>
                <w14:textFill>
                  <w14:solidFill>
                    <w14:schemeClr w14:val="tx1"/>
                  </w14:solidFill>
                </w14:textFill>
              </w:rPr>
              <w:t>（植被覆盖度、生物量）</w:t>
            </w:r>
          </w:p>
          <w:p w14:paraId="5C8C4D28">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生物多样性</w:t>
            </w:r>
            <w:r>
              <w:rPr>
                <w:rFonts w:ascii="Times New Roman" w:hAnsi="Times New Roman" w:cs="Times New Roman"/>
                <w:color w:val="000000" w:themeColor="text1"/>
                <w:spacing w:val="-8"/>
                <w:w w:val="99"/>
                <w:sz w:val="21"/>
                <w:szCs w:val="21"/>
                <w:lang w:eastAsia="en-US"/>
                <w14:textFill>
                  <w14:solidFill>
                    <w14:schemeClr w14:val="tx1"/>
                  </w14:solidFill>
                </w14:textFill>
              </w:rPr>
              <w:sym w:font="Wingdings 2" w:char="F052"/>
            </w:r>
            <w:r>
              <w:rPr>
                <w:rFonts w:ascii="Times New Roman" w:hAnsi="Times New Roman" w:cs="Times New Roman"/>
                <w:color w:val="000000" w:themeColor="text1"/>
                <w:spacing w:val="-8"/>
                <w:w w:val="99"/>
                <w:sz w:val="21"/>
                <w:szCs w:val="21"/>
                <w:lang w:eastAsia="zh-CN"/>
                <w14:textFill>
                  <w14:solidFill>
                    <w14:schemeClr w14:val="tx1"/>
                  </w14:solidFill>
                </w14:textFill>
              </w:rPr>
              <w:t>（物种丰富度）</w:t>
            </w:r>
          </w:p>
          <w:p w14:paraId="0D78ED3F">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生态敏感区□（）</w:t>
            </w:r>
          </w:p>
          <w:p w14:paraId="73324B12">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自然景观</w:t>
            </w:r>
            <w:r>
              <w:rPr>
                <w:rFonts w:ascii="Times New Roman" w:hAnsi="Times New Roman" w:cs="Times New Roman"/>
                <w:color w:val="000000" w:themeColor="text1"/>
                <w:spacing w:val="-8"/>
                <w:w w:val="99"/>
                <w:sz w:val="21"/>
                <w:szCs w:val="21"/>
                <w:lang w:eastAsia="en-US"/>
                <w14:textFill>
                  <w14:solidFill>
                    <w14:schemeClr w14:val="tx1"/>
                  </w14:solidFill>
                </w14:textFill>
              </w:rPr>
              <w:sym w:font="Wingdings 2" w:char="F052"/>
            </w:r>
            <w:r>
              <w:rPr>
                <w:rFonts w:ascii="Times New Roman" w:hAnsi="Times New Roman" w:cs="Times New Roman"/>
                <w:color w:val="000000" w:themeColor="text1"/>
                <w:spacing w:val="-8"/>
                <w:w w:val="99"/>
                <w:sz w:val="21"/>
                <w:szCs w:val="21"/>
                <w:lang w:eastAsia="zh-CN"/>
                <w14:textFill>
                  <w14:solidFill>
                    <w14:schemeClr w14:val="tx1"/>
                  </w14:solidFill>
                </w14:textFill>
              </w:rPr>
              <w:t>（景观多样性、景观完整性）</w:t>
            </w:r>
          </w:p>
          <w:p w14:paraId="6B76F2CA">
            <w:pPr>
              <w:pStyle w:val="75"/>
              <w:widowControl w:val="0"/>
              <w:spacing w:after="0" w:line="240" w:lineRule="auto"/>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自然遗迹□（）</w:t>
            </w:r>
          </w:p>
          <w:p w14:paraId="4D4D15F6">
            <w:pPr>
              <w:pStyle w:val="2265"/>
              <w:widowControl w:val="0"/>
              <w:tabs>
                <w:tab w:val="left" w:pos="3857"/>
              </w:tabs>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其他□（）</w:t>
            </w:r>
          </w:p>
        </w:tc>
      </w:tr>
      <w:tr w14:paraId="40AA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 w:hRule="atLeast"/>
          <w:jc w:val="center"/>
        </w:trPr>
        <w:tc>
          <w:tcPr>
            <w:tcW w:w="2111" w:type="dxa"/>
            <w:gridSpan w:val="2"/>
            <w:vAlign w:val="center"/>
          </w:tcPr>
          <w:p w14:paraId="206C10EA">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评价等级</w:t>
            </w:r>
          </w:p>
        </w:tc>
        <w:tc>
          <w:tcPr>
            <w:tcW w:w="6413" w:type="dxa"/>
            <w:vAlign w:val="center"/>
          </w:tcPr>
          <w:p w14:paraId="6CD19E12">
            <w:pPr>
              <w:pStyle w:val="2265"/>
              <w:widowControl w:val="0"/>
              <w:tabs>
                <w:tab w:val="left" w:pos="1572"/>
                <w:tab w:val="left" w:pos="3019"/>
                <w:tab w:val="left" w:pos="4253"/>
              </w:tabs>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一级□</w:t>
            </w:r>
            <w:r>
              <w:rPr>
                <w:rFonts w:ascii="Times New Roman" w:hAnsi="Times New Roman" w:cs="Times New Roman"/>
                <w:color w:val="000000" w:themeColor="text1"/>
                <w:spacing w:val="-8"/>
                <w:w w:val="99"/>
                <w:sz w:val="21"/>
                <w:szCs w:val="21"/>
                <w:lang w:eastAsia="zh-CN"/>
                <w14:textFill>
                  <w14:solidFill>
                    <w14:schemeClr w14:val="tx1"/>
                  </w14:solidFill>
                </w14:textFill>
              </w:rPr>
              <w:tab/>
            </w:r>
            <w:r>
              <w:rPr>
                <w:rFonts w:ascii="Times New Roman" w:hAnsi="Times New Roman" w:cs="Times New Roman"/>
                <w:color w:val="000000" w:themeColor="text1"/>
                <w:spacing w:val="-8"/>
                <w:w w:val="99"/>
                <w:sz w:val="21"/>
                <w:szCs w:val="21"/>
                <w:lang w:eastAsia="zh-CN"/>
                <w14:textFill>
                  <w14:solidFill>
                    <w14:schemeClr w14:val="tx1"/>
                  </w14:solidFill>
                </w14:textFill>
              </w:rPr>
              <w:t>二级</w:t>
            </w:r>
            <w:r>
              <w:rPr>
                <w:rFonts w:ascii="Times New Roman" w:hAnsi="Times New Roman" w:cs="Times New Roman"/>
                <w:color w:val="000000" w:themeColor="text1"/>
                <w:spacing w:val="-8"/>
                <w:w w:val="99"/>
                <w:sz w:val="21"/>
                <w:szCs w:val="21"/>
                <w:lang w:eastAsia="zh-CN"/>
                <w14:textFill>
                  <w14:solidFill>
                    <w14:schemeClr w14:val="tx1"/>
                  </w14:solidFill>
                </w14:textFill>
              </w:rPr>
              <w:tab/>
            </w:r>
            <w:r>
              <w:rPr>
                <w:rFonts w:ascii="Times New Roman" w:hAnsi="Times New Roman" w:cs="Times New Roman"/>
                <w:color w:val="000000" w:themeColor="text1"/>
                <w:spacing w:val="-8"/>
                <w:w w:val="99"/>
                <w:sz w:val="21"/>
                <w:szCs w:val="21"/>
                <w:lang w:eastAsia="zh-CN"/>
                <w14:textFill>
                  <w14:solidFill>
                    <w14:schemeClr w14:val="tx1"/>
                  </w14:solidFill>
                </w14:textFill>
              </w:rPr>
              <w:t>三级√</w:t>
            </w:r>
            <w:r>
              <w:rPr>
                <w:rFonts w:ascii="Times New Roman" w:hAnsi="Times New Roman" w:cs="Times New Roman"/>
                <w:color w:val="000000" w:themeColor="text1"/>
                <w:spacing w:val="-8"/>
                <w:w w:val="99"/>
                <w:sz w:val="21"/>
                <w:szCs w:val="21"/>
                <w:lang w:eastAsia="zh-CN"/>
                <w14:textFill>
                  <w14:solidFill>
                    <w14:schemeClr w14:val="tx1"/>
                  </w14:solidFill>
                </w14:textFill>
              </w:rPr>
              <w:tab/>
            </w:r>
            <w:r>
              <w:rPr>
                <w:rFonts w:ascii="Times New Roman" w:hAnsi="Times New Roman" w:cs="Times New Roman"/>
                <w:color w:val="000000" w:themeColor="text1"/>
                <w:spacing w:val="-8"/>
                <w:w w:val="99"/>
                <w:sz w:val="21"/>
                <w:szCs w:val="21"/>
                <w:lang w:eastAsia="zh-CN"/>
                <w14:textFill>
                  <w14:solidFill>
                    <w14:schemeClr w14:val="tx1"/>
                  </w14:solidFill>
                </w14:textFill>
              </w:rPr>
              <w:t>生态影响简单分析□</w:t>
            </w:r>
          </w:p>
        </w:tc>
      </w:tr>
      <w:tr w14:paraId="64A4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2111" w:type="dxa"/>
            <w:gridSpan w:val="2"/>
            <w:vAlign w:val="center"/>
          </w:tcPr>
          <w:p w14:paraId="58BAA063">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评价范围</w:t>
            </w:r>
          </w:p>
        </w:tc>
        <w:tc>
          <w:tcPr>
            <w:tcW w:w="6413" w:type="dxa"/>
            <w:vAlign w:val="center"/>
          </w:tcPr>
          <w:p w14:paraId="0AA7DBB9">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陆域面积：（20）km</w:t>
            </w:r>
            <w:r>
              <w:rPr>
                <w:rFonts w:ascii="Times New Roman" w:hAnsi="Times New Roman" w:cs="Times New Roman"/>
                <w:color w:val="000000" w:themeColor="text1"/>
                <w:spacing w:val="-8"/>
                <w:w w:val="99"/>
                <w:sz w:val="21"/>
                <w:szCs w:val="21"/>
                <w:vertAlign w:val="superscript"/>
                <w:lang w:eastAsia="zh-CN"/>
                <w14:textFill>
                  <w14:solidFill>
                    <w14:schemeClr w14:val="tx1"/>
                  </w14:solidFill>
                </w14:textFill>
              </w:rPr>
              <w:t>2</w:t>
            </w:r>
            <w:r>
              <w:rPr>
                <w:rFonts w:ascii="Times New Roman" w:hAnsi="Times New Roman" w:cs="Times New Roman"/>
                <w:color w:val="000000" w:themeColor="text1"/>
                <w:spacing w:val="-8"/>
                <w:w w:val="99"/>
                <w:sz w:val="21"/>
                <w:szCs w:val="21"/>
                <w:lang w:eastAsia="zh-CN"/>
                <w14:textFill>
                  <w14:solidFill>
                    <w14:schemeClr w14:val="tx1"/>
                  </w14:solidFill>
                </w14:textFill>
              </w:rPr>
              <w:t>；水域面积：（/ ）km</w:t>
            </w:r>
            <w:r>
              <w:rPr>
                <w:rFonts w:ascii="Times New Roman" w:hAnsi="Times New Roman" w:cs="Times New Roman"/>
                <w:color w:val="000000" w:themeColor="text1"/>
                <w:spacing w:val="-8"/>
                <w:w w:val="99"/>
                <w:sz w:val="21"/>
                <w:szCs w:val="21"/>
                <w:vertAlign w:val="superscript"/>
                <w:lang w:eastAsia="zh-CN"/>
                <w14:textFill>
                  <w14:solidFill>
                    <w14:schemeClr w14:val="tx1"/>
                  </w14:solidFill>
                </w14:textFill>
              </w:rPr>
              <w:t>2</w:t>
            </w:r>
          </w:p>
        </w:tc>
      </w:tr>
      <w:tr w14:paraId="1EF7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965" w:type="dxa"/>
            <w:vMerge w:val="restart"/>
            <w:vAlign w:val="center"/>
          </w:tcPr>
          <w:p w14:paraId="266F903C">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生态现状调查与</w:t>
            </w:r>
          </w:p>
          <w:p w14:paraId="20FD0ADE">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w:t>
            </w:r>
          </w:p>
        </w:tc>
        <w:tc>
          <w:tcPr>
            <w:tcW w:w="1146" w:type="dxa"/>
            <w:vAlign w:val="center"/>
          </w:tcPr>
          <w:p w14:paraId="26969B8D">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调查方法</w:t>
            </w:r>
          </w:p>
        </w:tc>
        <w:tc>
          <w:tcPr>
            <w:tcW w:w="6413" w:type="dxa"/>
            <w:vAlign w:val="center"/>
          </w:tcPr>
          <w:p w14:paraId="7ADA2CD6">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资料收集√；遥感调查√；调查样方、样线；调查点位、断面□；专家和公众咨询法；其他□</w:t>
            </w:r>
          </w:p>
        </w:tc>
      </w:tr>
      <w:tr w14:paraId="4004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965" w:type="dxa"/>
            <w:vMerge w:val="continue"/>
            <w:vAlign w:val="center"/>
          </w:tcPr>
          <w:p w14:paraId="06913215">
            <w:pPr>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p>
        </w:tc>
        <w:tc>
          <w:tcPr>
            <w:tcW w:w="1146" w:type="dxa"/>
            <w:vAlign w:val="center"/>
          </w:tcPr>
          <w:p w14:paraId="0B3AFED6">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调查时间</w:t>
            </w:r>
          </w:p>
        </w:tc>
        <w:tc>
          <w:tcPr>
            <w:tcW w:w="6413" w:type="dxa"/>
            <w:vAlign w:val="center"/>
          </w:tcPr>
          <w:p w14:paraId="714F1BD9">
            <w:pPr>
              <w:pStyle w:val="312"/>
              <w:spacing w:line="200" w:lineRule="exact"/>
              <w:rPr>
                <w:rFonts w:ascii="Times New Roman" w:hAnsi="Calibri" w:cs="Times New Roman"/>
                <w:color w:val="000000" w:themeColor="text1"/>
                <w:spacing w:val="-8"/>
                <w:w w:val="99"/>
                <w:sz w:val="21"/>
                <w:szCs w:val="21"/>
                <w:lang w:eastAsia="en-US"/>
                <w14:textFill>
                  <w14:solidFill>
                    <w14:schemeClr w14:val="tx1"/>
                  </w14:solidFill>
                </w14:textFill>
              </w:rPr>
            </w:pPr>
            <w:r>
              <w:rPr>
                <w:rFonts w:ascii="Times New Roman" w:hAnsi="Calibri" w:cs="Times New Roman"/>
                <w:color w:val="000000" w:themeColor="text1"/>
                <w:spacing w:val="-8"/>
                <w:w w:val="99"/>
                <w:sz w:val="21"/>
                <w:szCs w:val="21"/>
                <w:lang w:eastAsia="en-US"/>
                <w14:textFill>
                  <w14:solidFill>
                    <w14:schemeClr w14:val="tx1"/>
                  </w14:solidFill>
                </w14:textFill>
              </w:rPr>
              <w:t>春季□；夏季√；秋季√；冬季√</w:t>
            </w:r>
          </w:p>
          <w:p w14:paraId="02EC584F">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丰水期□；枯水期□；平水期□</w:t>
            </w:r>
          </w:p>
        </w:tc>
      </w:tr>
      <w:tr w14:paraId="6430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 w:hRule="atLeast"/>
          <w:jc w:val="center"/>
        </w:trPr>
        <w:tc>
          <w:tcPr>
            <w:tcW w:w="965" w:type="dxa"/>
            <w:vMerge w:val="continue"/>
            <w:vAlign w:val="center"/>
          </w:tcPr>
          <w:p w14:paraId="08D1C0B7">
            <w:pPr>
              <w:widowControl w:val="0"/>
              <w:jc w:val="center"/>
              <w:rPr>
                <w:rFonts w:ascii="Times New Roman" w:hAnsi="Times New Roman" w:cs="Times New Roman"/>
                <w:color w:val="000000" w:themeColor="text1"/>
                <w:spacing w:val="-8"/>
                <w:w w:val="99"/>
                <w:sz w:val="21"/>
                <w:szCs w:val="21"/>
                <w:lang w:eastAsia="en-US"/>
                <w14:textFill>
                  <w14:solidFill>
                    <w14:schemeClr w14:val="tx1"/>
                  </w14:solidFill>
                </w14:textFill>
              </w:rPr>
            </w:pPr>
          </w:p>
        </w:tc>
        <w:tc>
          <w:tcPr>
            <w:tcW w:w="1146" w:type="dxa"/>
            <w:vAlign w:val="center"/>
          </w:tcPr>
          <w:p w14:paraId="71DADA55">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所在区域的生态问题</w:t>
            </w:r>
          </w:p>
        </w:tc>
        <w:tc>
          <w:tcPr>
            <w:tcW w:w="6413" w:type="dxa"/>
            <w:vAlign w:val="center"/>
          </w:tcPr>
          <w:p w14:paraId="73F6F55F">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水土流失√；沙漠化□；石漠化□；盐渍化；生物入侵□；污染危害□；其他□</w:t>
            </w:r>
          </w:p>
        </w:tc>
      </w:tr>
      <w:tr w14:paraId="314B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65" w:type="dxa"/>
            <w:vMerge w:val="continue"/>
            <w:vAlign w:val="center"/>
          </w:tcPr>
          <w:p w14:paraId="2A016420">
            <w:pPr>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p>
        </w:tc>
        <w:tc>
          <w:tcPr>
            <w:tcW w:w="1146" w:type="dxa"/>
            <w:vAlign w:val="center"/>
          </w:tcPr>
          <w:p w14:paraId="126AE9CF">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评价内容</w:t>
            </w:r>
          </w:p>
        </w:tc>
        <w:tc>
          <w:tcPr>
            <w:tcW w:w="6413" w:type="dxa"/>
            <w:vAlign w:val="center"/>
          </w:tcPr>
          <w:p w14:paraId="2A9856EF">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植被/植物群落√；土地利用√；生态系统√；生物多样性√；重要物种□；生态敏感区□；其他□</w:t>
            </w:r>
          </w:p>
        </w:tc>
      </w:tr>
      <w:tr w14:paraId="55D8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965" w:type="dxa"/>
            <w:vMerge w:val="restart"/>
            <w:vAlign w:val="center"/>
          </w:tcPr>
          <w:p w14:paraId="44F0988C">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生态影响预测与评价</w:t>
            </w:r>
          </w:p>
        </w:tc>
        <w:tc>
          <w:tcPr>
            <w:tcW w:w="1146" w:type="dxa"/>
            <w:vAlign w:val="center"/>
          </w:tcPr>
          <w:p w14:paraId="5D1905BB">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评价方法</w:t>
            </w:r>
          </w:p>
        </w:tc>
        <w:tc>
          <w:tcPr>
            <w:tcW w:w="6413" w:type="dxa"/>
            <w:vAlign w:val="center"/>
          </w:tcPr>
          <w:p w14:paraId="23FDACBB">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定性；定性和定量√</w:t>
            </w:r>
          </w:p>
        </w:tc>
      </w:tr>
      <w:tr w14:paraId="240B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965" w:type="dxa"/>
            <w:vMerge w:val="continue"/>
            <w:vAlign w:val="center"/>
          </w:tcPr>
          <w:p w14:paraId="6266303D">
            <w:pPr>
              <w:widowControl w:val="0"/>
              <w:jc w:val="center"/>
              <w:rPr>
                <w:rFonts w:ascii="Times New Roman" w:hAnsi="Times New Roman" w:cs="Times New Roman"/>
                <w:color w:val="000000" w:themeColor="text1"/>
                <w:spacing w:val="-8"/>
                <w:w w:val="99"/>
                <w:sz w:val="21"/>
                <w:szCs w:val="21"/>
                <w:lang w:eastAsia="en-US"/>
                <w14:textFill>
                  <w14:solidFill>
                    <w14:schemeClr w14:val="tx1"/>
                  </w14:solidFill>
                </w14:textFill>
              </w:rPr>
            </w:pPr>
          </w:p>
        </w:tc>
        <w:tc>
          <w:tcPr>
            <w:tcW w:w="1146" w:type="dxa"/>
            <w:vAlign w:val="center"/>
          </w:tcPr>
          <w:p w14:paraId="05557486">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评价内容</w:t>
            </w:r>
          </w:p>
        </w:tc>
        <w:tc>
          <w:tcPr>
            <w:tcW w:w="6413" w:type="dxa"/>
            <w:vAlign w:val="center"/>
          </w:tcPr>
          <w:p w14:paraId="3A63DC6C">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植被/植物群落□；土地利用□；生态系统√；生物多样性√；重要物种□；生态敏感区□；生物入侵风险□；其他√</w:t>
            </w:r>
          </w:p>
        </w:tc>
      </w:tr>
      <w:tr w14:paraId="149D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 w:hRule="atLeast"/>
          <w:jc w:val="center"/>
        </w:trPr>
        <w:tc>
          <w:tcPr>
            <w:tcW w:w="965" w:type="dxa"/>
            <w:vMerge w:val="restart"/>
            <w:vAlign w:val="center"/>
          </w:tcPr>
          <w:p w14:paraId="77B7A33D">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生态保护对策措施</w:t>
            </w:r>
          </w:p>
        </w:tc>
        <w:tc>
          <w:tcPr>
            <w:tcW w:w="1146" w:type="dxa"/>
            <w:vAlign w:val="center"/>
          </w:tcPr>
          <w:p w14:paraId="5AFE4DCD">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对策措施</w:t>
            </w:r>
          </w:p>
        </w:tc>
        <w:tc>
          <w:tcPr>
            <w:tcW w:w="6413" w:type="dxa"/>
            <w:vAlign w:val="center"/>
          </w:tcPr>
          <w:p w14:paraId="68FB8803">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避让√；减缓√；生态修复√；生态补偿√；科研□；其他□</w:t>
            </w:r>
          </w:p>
        </w:tc>
      </w:tr>
      <w:tr w14:paraId="5757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965" w:type="dxa"/>
            <w:vMerge w:val="continue"/>
            <w:vAlign w:val="center"/>
          </w:tcPr>
          <w:p w14:paraId="05C4CB80">
            <w:pPr>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p>
        </w:tc>
        <w:tc>
          <w:tcPr>
            <w:tcW w:w="1146" w:type="dxa"/>
            <w:vAlign w:val="center"/>
          </w:tcPr>
          <w:p w14:paraId="69BFAB3D">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生态监测计划</w:t>
            </w:r>
          </w:p>
        </w:tc>
        <w:tc>
          <w:tcPr>
            <w:tcW w:w="6413" w:type="dxa"/>
            <w:vAlign w:val="center"/>
          </w:tcPr>
          <w:p w14:paraId="791936C5">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全生命周期□；长期跟踪；常规；无√</w:t>
            </w:r>
          </w:p>
        </w:tc>
      </w:tr>
      <w:tr w14:paraId="70EA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 w:hRule="atLeast"/>
          <w:jc w:val="center"/>
        </w:trPr>
        <w:tc>
          <w:tcPr>
            <w:tcW w:w="965" w:type="dxa"/>
            <w:vMerge w:val="continue"/>
            <w:vAlign w:val="center"/>
          </w:tcPr>
          <w:p w14:paraId="46939C69">
            <w:pPr>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p>
        </w:tc>
        <w:tc>
          <w:tcPr>
            <w:tcW w:w="1146" w:type="dxa"/>
            <w:vAlign w:val="center"/>
          </w:tcPr>
          <w:p w14:paraId="27E45218">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环境管理</w:t>
            </w:r>
          </w:p>
        </w:tc>
        <w:tc>
          <w:tcPr>
            <w:tcW w:w="6413" w:type="dxa"/>
            <w:vAlign w:val="center"/>
          </w:tcPr>
          <w:p w14:paraId="7D2E3669">
            <w:pPr>
              <w:pStyle w:val="2265"/>
              <w:widowControl w:val="0"/>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环境监理；环境影响后评价；其他□</w:t>
            </w:r>
          </w:p>
        </w:tc>
      </w:tr>
      <w:tr w14:paraId="6B5A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 w:hRule="atLeast"/>
          <w:jc w:val="center"/>
        </w:trPr>
        <w:tc>
          <w:tcPr>
            <w:tcW w:w="965" w:type="dxa"/>
            <w:vAlign w:val="center"/>
          </w:tcPr>
          <w:p w14:paraId="68FAC11D">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评价结论</w:t>
            </w:r>
          </w:p>
        </w:tc>
        <w:tc>
          <w:tcPr>
            <w:tcW w:w="1146" w:type="dxa"/>
            <w:vAlign w:val="center"/>
          </w:tcPr>
          <w:p w14:paraId="76CF71D7">
            <w:pPr>
              <w:pStyle w:val="2265"/>
              <w:widowControl w:val="0"/>
              <w:jc w:val="center"/>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生态影响</w:t>
            </w:r>
          </w:p>
        </w:tc>
        <w:tc>
          <w:tcPr>
            <w:tcW w:w="6413" w:type="dxa"/>
            <w:vAlign w:val="center"/>
          </w:tcPr>
          <w:p w14:paraId="0F4F2C0F">
            <w:pPr>
              <w:pStyle w:val="2265"/>
              <w:widowControl w:val="0"/>
              <w:tabs>
                <w:tab w:val="left" w:pos="1546"/>
              </w:tabs>
              <w:rPr>
                <w:rFonts w:ascii="Times New Roman" w:hAnsi="Times New Roman" w:cs="Times New Roman"/>
                <w:color w:val="000000" w:themeColor="text1"/>
                <w:spacing w:val="-8"/>
                <w:w w:val="99"/>
                <w:sz w:val="21"/>
                <w:szCs w:val="21"/>
                <w:lang w:eastAsia="zh-CN"/>
                <w14:textFill>
                  <w14:solidFill>
                    <w14:schemeClr w14:val="tx1"/>
                  </w14:solidFill>
                </w14:textFill>
              </w:rPr>
            </w:pPr>
            <w:r>
              <w:rPr>
                <w:rFonts w:ascii="Times New Roman" w:hAnsi="Times New Roman" w:cs="Times New Roman"/>
                <w:color w:val="000000" w:themeColor="text1"/>
                <w:spacing w:val="-8"/>
                <w:w w:val="99"/>
                <w:sz w:val="21"/>
                <w:szCs w:val="21"/>
                <w:lang w:eastAsia="zh-CN"/>
                <w14:textFill>
                  <w14:solidFill>
                    <w14:schemeClr w14:val="tx1"/>
                  </w14:solidFill>
                </w14:textFill>
              </w:rPr>
              <w:t>可行√</w:t>
            </w:r>
            <w:r>
              <w:rPr>
                <w:rFonts w:ascii="Times New Roman" w:hAnsi="Times New Roman" w:cs="Times New Roman"/>
                <w:color w:val="000000" w:themeColor="text1"/>
                <w:spacing w:val="-8"/>
                <w:w w:val="99"/>
                <w:sz w:val="21"/>
                <w:szCs w:val="21"/>
                <w:lang w:eastAsia="zh-CN"/>
                <w14:textFill>
                  <w14:solidFill>
                    <w14:schemeClr w14:val="tx1"/>
                  </w14:solidFill>
                </w14:textFill>
              </w:rPr>
              <w:tab/>
            </w:r>
            <w:r>
              <w:rPr>
                <w:rFonts w:ascii="Times New Roman" w:hAnsi="Times New Roman" w:cs="Times New Roman"/>
                <w:color w:val="000000" w:themeColor="text1"/>
                <w:spacing w:val="-8"/>
                <w:w w:val="99"/>
                <w:sz w:val="21"/>
                <w:szCs w:val="21"/>
                <w:lang w:eastAsia="zh-CN"/>
                <w14:textFill>
                  <w14:solidFill>
                    <w14:schemeClr w14:val="tx1"/>
                  </w14:solidFill>
                </w14:textFill>
              </w:rPr>
              <w:t>不可行□</w:t>
            </w:r>
          </w:p>
        </w:tc>
      </w:tr>
    </w:tbl>
    <w:p w14:paraId="7782A57C">
      <w:pPr>
        <w:keepNext/>
        <w:keepLines/>
        <w:spacing w:before="156" w:beforeLines="50" w:after="156" w:afterLines="50" w:line="360" w:lineRule="auto"/>
        <w:ind w:left="578" w:hanging="578"/>
        <w:outlineLvl w:val="1"/>
        <w:rPr>
          <w:rFonts w:ascii="Times New Roman" w:hAnsi="Times New Roman" w:cs="Times New Roman"/>
          <w:b/>
          <w:bCs/>
          <w:sz w:val="32"/>
          <w:szCs w:val="32"/>
        </w:rPr>
      </w:pPr>
      <w:bookmarkStart w:id="472" w:name="_Toc53944696"/>
      <w:bookmarkStart w:id="473" w:name="_Toc187675425"/>
      <w:bookmarkStart w:id="474" w:name="_Toc491045003"/>
      <w:bookmarkStart w:id="475" w:name="_Toc98413554"/>
      <w:r>
        <w:rPr>
          <w:rFonts w:ascii="Times New Roman" w:hAnsi="Times New Roman" w:cs="Times New Roman"/>
          <w:b/>
          <w:bCs/>
          <w:sz w:val="32"/>
          <w:szCs w:val="32"/>
        </w:rPr>
        <w:t>5.2环境空气影响分析</w:t>
      </w:r>
      <w:bookmarkEnd w:id="472"/>
      <w:bookmarkEnd w:id="473"/>
    </w:p>
    <w:p w14:paraId="6A138DBD">
      <w:pPr>
        <w:keepNext/>
        <w:keepLines/>
        <w:spacing w:before="156" w:beforeLines="50" w:after="156" w:line="360" w:lineRule="auto"/>
        <w:outlineLvl w:val="2"/>
        <w:rPr>
          <w:rFonts w:ascii="Times New Roman" w:hAnsi="Times New Roman" w:cs="Times New Roman"/>
          <w:b/>
          <w:bCs/>
          <w:sz w:val="30"/>
          <w:szCs w:val="30"/>
        </w:rPr>
      </w:pPr>
      <w:r>
        <w:rPr>
          <w:rFonts w:ascii="Times New Roman" w:hAnsi="Times New Roman" w:cs="Times New Roman"/>
          <w:b/>
          <w:bCs/>
          <w:sz w:val="30"/>
          <w:szCs w:val="30"/>
        </w:rPr>
        <w:t>5.2.1施工期环境影响分析</w:t>
      </w:r>
    </w:p>
    <w:p w14:paraId="0B318A11">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5.2.1.1扬尘污染</w:t>
      </w:r>
    </w:p>
    <w:p w14:paraId="068A721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扬尘污染主要发生在施工前期路基填筑过程中，以施工道路车辆运输引起的扬尘和桥梁施工区扬尘为主，据对公路施工现场的调查，汽车行驶引起的路面扬尘和施工区扬尘对周围环境的影响最突出。</w:t>
      </w:r>
    </w:p>
    <w:p w14:paraId="0846990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（1）道路扬尘</w:t>
      </w:r>
    </w:p>
    <w:p w14:paraId="17691A0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道路扬尘主要是由于施工车辆在运输施工材料而引起，引起道路扬尘的因素较多，主要跟车辆行驶速度、风速、路面积尘量和路面积尘湿度有关，其中风速还直接影响到扬尘的传输距离。本工程施工过程中，上、下行道路可以互为利用，可以有效减少因为汽车行驶带来道路扬尘。施工便道和未完工路段的路面积尘数量与湿度、施工机械和运输车辆速度、风速等有关，此外风速和风向还直接影响道路扬尘的污染范围。</w:t>
      </w:r>
    </w:p>
    <w:p w14:paraId="3619384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（2）堆场扬尘</w:t>
      </w:r>
    </w:p>
    <w:p w14:paraId="009076D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公路施工一般在预制场、拌和站和施工场地内设置物料堆场，堆场物料的种类、性质及风速对起尘量有很大影响，比重小的物料容易受扰动而起尘，物料中小颗粒比例大时起尘量相应也大。堆场的扬尘包括料堆的风吹扬尘、装卸扬尘和过往车辆引起路面积尘二次扬尘等。根据经验，通过适时洒水可有效抑制扬尘，可使扬尘量减少70％；对一些粉状材料采取一些防风措施也可有效减少扬尘污染，可有效减缓堆场扬尘对周围环境的影响。</w:t>
      </w:r>
    </w:p>
    <w:p w14:paraId="412C3D1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（3）物料拌和扬尘</w:t>
      </w:r>
    </w:p>
    <w:p w14:paraId="5931A36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灰土、混凝土等物料在拌和过程中会产生许多粉尘，是主要大气污染源。本项目采用站拌方式施工，由于有固定的位置所以较易采取密闭措施，且工可拟定的2处施工综合场站500m范围内无大气环境保护目标，另外，材料运输车辆也会遮盖严密，可使TSP污染在此过程中减至最小。</w:t>
      </w:r>
    </w:p>
    <w:p w14:paraId="6055B2BA">
      <w:pPr>
        <w:pStyle w:val="5"/>
        <w:snapToGrid w:val="0"/>
        <w:spacing w:before="156" w:after="156" w:line="240" w:lineRule="auto"/>
        <w:jc w:val="both"/>
        <w:rPr>
          <w:rFonts w:ascii="Times New Roman" w:hAnsi="Times New Roman" w:cs="Times New Roman"/>
          <w:i w:val="0"/>
          <w:color w:val="000000" w:themeColor="text1"/>
          <w14:textFill>
            <w14:solidFill>
              <w14:schemeClr w14:val="tx1"/>
            </w14:solidFill>
          </w14:textFill>
        </w:rPr>
      </w:pPr>
      <w:bookmarkStart w:id="476" w:name="_Hlk171702242"/>
      <w:r>
        <w:rPr>
          <w:rFonts w:ascii="Times New Roman" w:hAnsi="Times New Roman" w:cs="Times New Roman"/>
          <w:i w:val="0"/>
          <w:color w:val="000000" w:themeColor="text1"/>
          <w14:textFill>
            <w14:solidFill>
              <w14:schemeClr w14:val="tx1"/>
            </w14:solidFill>
          </w14:textFill>
        </w:rPr>
        <w:t>5.2.1.2施工场地沥青混凝土热拌的环境影响分析</w:t>
      </w:r>
      <w:bookmarkEnd w:id="476"/>
    </w:p>
    <w:p w14:paraId="52B67863">
      <w:pPr>
        <w:spacing w:line="360" w:lineRule="auto"/>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施工阶段的沥青烟气主要出现在沥青路面铺设过程中。由于本项目沥青由外购成品提供，施工过程不涉及沥青熬炼过程，仅涉及搅拌过程。在沥青搅拌和路面铺设过程中会产生沥青烟气，</w:t>
      </w:r>
      <w:r>
        <w:rPr>
          <w:rFonts w:ascii="Times New Roman" w:hAnsi="Times New Roman" w:cs="Times New Roman"/>
          <w:color w:val="000000" w:themeColor="text1"/>
          <w14:textFill>
            <w14:solidFill>
              <w14:schemeClr w14:val="tx1"/>
            </w14:solidFill>
          </w14:textFill>
        </w:rPr>
        <w:t>类比同类拌合站的污染物排放，在沥青的加热过程和拌和料搅拌时会有沥青烟气产生。沥青烟气是黄色的气体，既含有沥青挥发组分凝结成的固体和液体微粒，又有蒸汽状态的有机物，沥青烟气的排放浓度为45mg/m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，其中含有微量的苯并（α）芘为0.065μg/m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，高温时（180℃以上时）随烟气一起挥发出来。</w:t>
      </w:r>
    </w:p>
    <w:p w14:paraId="3D35609B">
      <w:pPr>
        <w:spacing w:line="360" w:lineRule="auto"/>
        <w:ind w:firstLine="48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期间的沥青熬制、搅拌和摊铺等作业过程中将会有沥青烟和苯并（α）芘的排出。交通运输部公路科学研究所委托北京市环境保护监测中心对京郊大羊坊沥青混凝土搅拌站进行了现场监测以供类比分析。类比监测结果表明，在下风向100m处，沥青搅拌站周围的环境空气中沥青烟的浓度在1.16～1.29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范围内，比周边浓度略高。搅拌机排气筒监测结果表明沥青烟、苯并[а]芘排放平均浓度、排放量也基本可满足《大气污染物综合排放标准》（GB16297-1996）要求。</w:t>
      </w:r>
    </w:p>
    <w:p w14:paraId="43C7F0B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修建沥青结构面层时，沥青铺于路面后散发沥青废气会对附近两侧区域环境空气造成一些影响。由于铺设路面过程中挥发的少量无组织排放的沥青烟浓度较低，一般情况下，铺设沥青路面约3-5天后，沥青废气将会大大减少，本项目地形缓和空旷，易于扩散，</w:t>
      </w:r>
      <w:r>
        <w:rPr>
          <w:rFonts w:ascii="Times New Roman" w:hAnsi="Times New Roman" w:cs="Times New Roman"/>
          <w:snapToGrid w:val="0"/>
          <w:color w:val="000000" w:themeColor="text1"/>
          <w:lang w:val="zh-CN"/>
          <w14:textFill>
            <w14:solidFill>
              <w14:schemeClr w14:val="tx1"/>
            </w14:solidFill>
          </w14:textFill>
        </w:rPr>
        <w:t>且工可拟定的2处施工综合场站500m范围内无大气环境保护目标，故</w:t>
      </w:r>
      <w:r>
        <w:rPr>
          <w:rFonts w:ascii="Times New Roman" w:hAnsi="Times New Roman" w:cs="Times New Roman"/>
          <w:color w:val="000000" w:themeColor="text1"/>
          <w14:textFill>
            <w14:solidFill>
              <w14:schemeClr w14:val="tx1"/>
            </w14:solidFill>
          </w14:textFill>
        </w:rPr>
        <w:t xml:space="preserve">注意好现场施工人员的个体防护即可。 </w:t>
      </w:r>
    </w:p>
    <w:p w14:paraId="6869ED6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项目区路面铺滩沥青时，是瞬间影响，严格控制工程施工期间需用的石油沥青的加热时间，不施工时应暂停加热沥青，以减少石油沥青烟气的产生量及排放时间，减少沥青烟气对项目周边空气环境质量的影响。随着施工竣工，施工沥青烟气影响将不再存在，施工沥青烟气对环境的不利影响是暂时的，短期的。</w:t>
      </w:r>
      <w:r>
        <w:rPr>
          <w:rFonts w:ascii="Times New Roman" w:hAnsi="Times New Roman" w:cs="Times New Roman"/>
          <w:color w:val="000000" w:themeColor="text1"/>
          <w14:textFill>
            <w14:solidFill>
              <w14:schemeClr w14:val="tx1"/>
            </w14:solidFill>
          </w14:textFill>
        </w:rPr>
        <w:t>因此沥青烟气对大气环境影响较小。</w:t>
      </w:r>
    </w:p>
    <w:p w14:paraId="42C645BD">
      <w:pPr>
        <w:pStyle w:val="5"/>
        <w:snapToGrid w:val="0"/>
        <w:spacing w:before="156" w:after="156" w:line="240" w:lineRule="auto"/>
        <w:jc w:val="both"/>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5.2.1.3机械尾气排放影响分析</w:t>
      </w:r>
    </w:p>
    <w:p w14:paraId="4B6E4704">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机械耗油中相当一部分燃油消耗于汽车运输上，特别是载重车辆耗油量较大，主要是在公路上行驶，因此，燃油污染物排放中相当一部分是分散于运输道路上，而并不集中在施工现场，施工现场内实际排放的污染物不大，对周围环境空气质量影响不大。</w:t>
      </w:r>
    </w:p>
    <w:p w14:paraId="60A738B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从以上分析可以看出，如果施工管理严格，采取降尘措施后，施工扬尘的污染可得到有效控制，对周围大气环境的影响范围可以控制在50m以内；如果不进行防护会产生大量粉尘，对局部空气质量造成的影响较大，影响范围可达到150m。</w:t>
      </w:r>
    </w:p>
    <w:p w14:paraId="0A38DE7E">
      <w:pPr>
        <w:keepNext/>
        <w:keepLines/>
        <w:spacing w:before="156" w:beforeLines="50" w:after="156" w:line="360" w:lineRule="auto"/>
        <w:jc w:val="both"/>
        <w:outlineLvl w:val="2"/>
        <w:rPr>
          <w:rFonts w:ascii="Times New Roman" w:hAnsi="Times New Roman" w:cs="Times New Roman"/>
          <w:b/>
          <w:bCs/>
          <w:color w:val="000000" w:themeColor="text1"/>
          <w:sz w:val="30"/>
          <w:szCs w:val="30"/>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5.2.2营运期环境空气影响分析</w:t>
      </w:r>
    </w:p>
    <w:p w14:paraId="42BC38D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本项目拟建道路不设服务区和收费站，因此</w:t>
      </w:r>
      <w:r>
        <w:rPr>
          <w:rFonts w:ascii="Times New Roman" w:hAnsi="Times New Roman" w:cs="Times New Roman"/>
          <w:snapToGrid w:val="0"/>
          <w:color w:val="000000" w:themeColor="text1"/>
          <w:lang w:val="zh-CN"/>
          <w14:textFill>
            <w14:solidFill>
              <w14:schemeClr w14:val="tx1"/>
            </w14:solidFill>
          </w14:textFill>
        </w:rPr>
        <w:t>本项目营运期大气污染源主要是机动车尾气。对于公路上往来汽车尾气，以及沿线各种货车在运输过程中因货物裸露产生的扬尘和道路扬尘等的影响。类比近年来公路竣工验收监测结果可知，公路营运期对汽车尾气周围环境的空气污染影响较小，路侧50m外NO</w:t>
      </w:r>
      <w:r>
        <w:rPr>
          <w:rFonts w:ascii="Times New Roman" w:hAnsi="Times New Roman" w:cs="Times New Roman"/>
          <w:snapToGrid w:val="0"/>
          <w:color w:val="000000" w:themeColor="text1"/>
          <w:vertAlign w:val="subscript"/>
          <w:lang w:val="zh-CN"/>
          <w14:textFill>
            <w14:solidFill>
              <w14:schemeClr w14:val="tx1"/>
            </w14:solidFill>
          </w14:textFill>
        </w:rPr>
        <w:t>2</w:t>
      </w:r>
      <w:r>
        <w:rPr>
          <w:rFonts w:ascii="Times New Roman" w:hAnsi="Times New Roman" w:cs="Times New Roman"/>
          <w:snapToGrid w:val="0"/>
          <w:color w:val="000000" w:themeColor="text1"/>
          <w:lang w:val="zh-CN"/>
          <w14:textFill>
            <w14:solidFill>
              <w14:schemeClr w14:val="tx1"/>
            </w14:solidFill>
          </w14:textFill>
        </w:rPr>
        <w:t>浓度均可满足《环境空气质量标准》二级标准。另外，通过采取加强道路管理及路面维修养护，使道路保持良好营运状态，减少塞车现象发生，可以减轻公路营运对沿线空气质量的影响。总体说来，公路营运过程中汽车尾气和路面扬尘不会对公路沿线环境空气质量产生明显不利影响。</w:t>
      </w:r>
    </w:p>
    <w:p w14:paraId="49DDDC0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考虑到道路营运后，随着车流量的增加，汽车排放尾气影响会有所增大，建议注意工程营运期绿化养护管理，加强道路管理及路面维修养护，使道路保持良好营运状态，努力使公路沿线空气环境维持良好状况。</w:t>
      </w:r>
    </w:p>
    <w:p w14:paraId="5F50159F">
      <w:pPr>
        <w:spacing w:line="360" w:lineRule="auto"/>
        <w:jc w:val="center"/>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表5.2-1  建设项目大气环境影响评价自查表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639"/>
        <w:gridCol w:w="912"/>
        <w:gridCol w:w="742"/>
        <w:gridCol w:w="114"/>
        <w:gridCol w:w="336"/>
        <w:gridCol w:w="248"/>
        <w:gridCol w:w="512"/>
        <w:gridCol w:w="360"/>
        <w:gridCol w:w="503"/>
        <w:gridCol w:w="123"/>
        <w:gridCol w:w="123"/>
        <w:gridCol w:w="116"/>
        <w:gridCol w:w="123"/>
        <w:gridCol w:w="374"/>
        <w:gridCol w:w="580"/>
        <w:gridCol w:w="400"/>
        <w:gridCol w:w="480"/>
      </w:tblGrid>
      <w:tr w14:paraId="59D9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pct"/>
            <w:gridSpan w:val="2"/>
            <w:shd w:val="clear" w:color="auto" w:fill="auto"/>
            <w:vAlign w:val="center"/>
          </w:tcPr>
          <w:p w14:paraId="1E5A5D5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工作内容</w:t>
            </w:r>
          </w:p>
        </w:tc>
        <w:tc>
          <w:tcPr>
            <w:tcW w:w="3543" w:type="pct"/>
            <w:gridSpan w:val="16"/>
            <w:shd w:val="clear" w:color="auto" w:fill="auto"/>
            <w:vAlign w:val="center"/>
          </w:tcPr>
          <w:p w14:paraId="0BBC8225">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自查项目</w:t>
            </w:r>
          </w:p>
        </w:tc>
      </w:tr>
      <w:tr w14:paraId="702E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shd w:val="clear" w:color="auto" w:fill="auto"/>
            <w:vAlign w:val="center"/>
          </w:tcPr>
          <w:p w14:paraId="0600CC8F">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评价等级与范围</w:t>
            </w:r>
          </w:p>
        </w:tc>
        <w:tc>
          <w:tcPr>
            <w:tcW w:w="961" w:type="pct"/>
            <w:shd w:val="clear" w:color="auto" w:fill="auto"/>
            <w:vAlign w:val="center"/>
          </w:tcPr>
          <w:p w14:paraId="67B42C1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评价等级</w:t>
            </w:r>
          </w:p>
        </w:tc>
        <w:tc>
          <w:tcPr>
            <w:tcW w:w="1379" w:type="pct"/>
            <w:gridSpan w:val="5"/>
            <w:shd w:val="clear" w:color="auto" w:fill="auto"/>
            <w:vAlign w:val="center"/>
          </w:tcPr>
          <w:p w14:paraId="060D4E26">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一级□</w:t>
            </w:r>
          </w:p>
        </w:tc>
        <w:tc>
          <w:tcPr>
            <w:tcW w:w="1090" w:type="pct"/>
            <w:gridSpan w:val="7"/>
            <w:shd w:val="clear" w:color="auto" w:fill="auto"/>
            <w:vAlign w:val="center"/>
          </w:tcPr>
          <w:p w14:paraId="477BB3B6">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二级□</w:t>
            </w:r>
          </w:p>
        </w:tc>
        <w:tc>
          <w:tcPr>
            <w:tcW w:w="1075" w:type="pct"/>
            <w:gridSpan w:val="4"/>
            <w:shd w:val="clear" w:color="auto" w:fill="auto"/>
            <w:vAlign w:val="center"/>
          </w:tcPr>
          <w:p w14:paraId="6FAA37E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三级</w:t>
            </w:r>
            <w:r>
              <w:rPr>
                <w:rFonts w:ascii="Times New Roman" w:hAnsi="Times New Roman" w:cs="Times New Roman"/>
                <w:color w:val="000000" w:themeColor="text1"/>
                <w:sz w:val="21"/>
                <w:szCs w:val="21"/>
                <w14:textFill>
                  <w14:solidFill>
                    <w14:schemeClr w14:val="tx1"/>
                  </w14:solidFill>
                </w14:textFill>
              </w:rPr>
              <w:sym w:font="Wingdings 2" w:char="F052"/>
            </w:r>
          </w:p>
        </w:tc>
      </w:tr>
      <w:tr w14:paraId="6372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55247F87">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743D3448">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评价范围</w:t>
            </w:r>
          </w:p>
        </w:tc>
        <w:tc>
          <w:tcPr>
            <w:tcW w:w="1379" w:type="pct"/>
            <w:gridSpan w:val="5"/>
            <w:shd w:val="clear" w:color="auto" w:fill="auto"/>
            <w:vAlign w:val="center"/>
          </w:tcPr>
          <w:p w14:paraId="6B0BB0F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边长=50km□</w:t>
            </w:r>
          </w:p>
        </w:tc>
        <w:tc>
          <w:tcPr>
            <w:tcW w:w="1090" w:type="pct"/>
            <w:gridSpan w:val="7"/>
            <w:shd w:val="clear" w:color="auto" w:fill="auto"/>
            <w:vAlign w:val="center"/>
          </w:tcPr>
          <w:p w14:paraId="3A916CB8">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边长5～50km□</w:t>
            </w:r>
          </w:p>
        </w:tc>
        <w:tc>
          <w:tcPr>
            <w:tcW w:w="1075" w:type="pct"/>
            <w:gridSpan w:val="4"/>
            <w:shd w:val="clear" w:color="auto" w:fill="auto"/>
            <w:vAlign w:val="center"/>
          </w:tcPr>
          <w:p w14:paraId="78049918">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边长=5km□</w:t>
            </w:r>
          </w:p>
        </w:tc>
      </w:tr>
      <w:tr w14:paraId="14F0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shd w:val="clear" w:color="auto" w:fill="auto"/>
            <w:vAlign w:val="center"/>
          </w:tcPr>
          <w:p w14:paraId="2E61282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评价因子</w:t>
            </w:r>
          </w:p>
        </w:tc>
        <w:tc>
          <w:tcPr>
            <w:tcW w:w="961" w:type="pct"/>
            <w:shd w:val="clear" w:color="auto" w:fill="auto"/>
            <w:vAlign w:val="center"/>
          </w:tcPr>
          <w:p w14:paraId="604ED495">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SO</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+NOx排放量</w:t>
            </w:r>
          </w:p>
        </w:tc>
        <w:tc>
          <w:tcPr>
            <w:tcW w:w="1379" w:type="pct"/>
            <w:gridSpan w:val="5"/>
            <w:shd w:val="clear" w:color="auto" w:fill="auto"/>
            <w:vAlign w:val="center"/>
          </w:tcPr>
          <w:p w14:paraId="4B3E459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≥2000t/a□</w:t>
            </w:r>
          </w:p>
        </w:tc>
        <w:tc>
          <w:tcPr>
            <w:tcW w:w="1090" w:type="pct"/>
            <w:gridSpan w:val="7"/>
            <w:shd w:val="clear" w:color="auto" w:fill="auto"/>
            <w:vAlign w:val="center"/>
          </w:tcPr>
          <w:p w14:paraId="2F00E6E2">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500～2000t/a□</w:t>
            </w:r>
          </w:p>
        </w:tc>
        <w:tc>
          <w:tcPr>
            <w:tcW w:w="1075" w:type="pct"/>
            <w:gridSpan w:val="4"/>
            <w:shd w:val="clear" w:color="auto" w:fill="auto"/>
            <w:vAlign w:val="center"/>
          </w:tcPr>
          <w:p w14:paraId="50A63FF2">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＜500t/a□</w:t>
            </w:r>
          </w:p>
        </w:tc>
      </w:tr>
      <w:tr w14:paraId="5461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57D24CD8">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39DAD116">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评价因子</w:t>
            </w:r>
          </w:p>
        </w:tc>
        <w:tc>
          <w:tcPr>
            <w:tcW w:w="2257" w:type="pct"/>
            <w:gridSpan w:val="9"/>
            <w:shd w:val="clear" w:color="auto" w:fill="auto"/>
            <w:vAlign w:val="center"/>
          </w:tcPr>
          <w:p w14:paraId="1A9411EF">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基本污染物（NO</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、SO</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、PM</w:t>
            </w:r>
            <w:r>
              <w:rPr>
                <w:rFonts w:ascii="Times New Roman" w:hAnsi="Times New Roman" w:cs="Times New Roman"/>
                <w:color w:val="000000" w:themeColor="text1"/>
                <w:sz w:val="21"/>
                <w:szCs w:val="21"/>
                <w:vertAlign w:val="subscript"/>
                <w14:textFill>
                  <w14:solidFill>
                    <w14:schemeClr w14:val="tx1"/>
                  </w14:solidFill>
                </w14:textFill>
              </w:rPr>
              <w:t>10</w:t>
            </w:r>
            <w:r>
              <w:rPr>
                <w:rFonts w:ascii="Times New Roman" w:hAnsi="Times New Roman" w:cs="Times New Roman"/>
                <w:color w:val="000000" w:themeColor="text1"/>
                <w:sz w:val="21"/>
                <w:szCs w:val="21"/>
                <w14:textFill>
                  <w14:solidFill>
                    <w14:schemeClr w14:val="tx1"/>
                  </w14:solidFill>
                </w14:textFill>
              </w:rPr>
              <w:t>、PM</w:t>
            </w:r>
            <w:r>
              <w:rPr>
                <w:rFonts w:ascii="Times New Roman" w:hAnsi="Times New Roman" w:cs="Times New Roman"/>
                <w:color w:val="000000" w:themeColor="text1"/>
                <w:spacing w:val="-1"/>
                <w:sz w:val="21"/>
                <w:szCs w:val="21"/>
                <w:vertAlign w:val="subscript"/>
                <w14:textFill>
                  <w14:solidFill>
                    <w14:schemeClr w14:val="tx1"/>
                  </w14:solidFill>
                </w14:textFill>
              </w:rPr>
              <w:t>2.5</w:t>
            </w:r>
            <w:r>
              <w:rPr>
                <w:rFonts w:ascii="Times New Roman" w:hAnsi="Times New Roman" w:cs="Times New Roman"/>
                <w:color w:val="000000" w:themeColor="text1"/>
                <w:spacing w:val="-1"/>
                <w:sz w:val="21"/>
                <w:szCs w:val="21"/>
                <w14:textFill>
                  <w14:solidFill>
                    <w14:schemeClr w14:val="tx1"/>
                  </w14:solidFill>
                </w14:textFill>
              </w:rPr>
              <w:t>、CO和O</w:t>
            </w:r>
            <w:r>
              <w:rPr>
                <w:rFonts w:ascii="Times New Roman" w:hAnsi="Times New Roman" w:cs="Times New Roman"/>
                <w:color w:val="000000" w:themeColor="text1"/>
                <w:spacing w:val="-1"/>
                <w:sz w:val="21"/>
                <w:szCs w:val="21"/>
                <w:vertAlign w:val="subscript"/>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t>）</w:t>
            </w:r>
          </w:p>
          <w:p w14:paraId="3D80C89A">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其他污染物（）</w:t>
            </w:r>
          </w:p>
        </w:tc>
        <w:tc>
          <w:tcPr>
            <w:tcW w:w="1286" w:type="pct"/>
            <w:gridSpan w:val="7"/>
            <w:shd w:val="clear" w:color="auto" w:fill="auto"/>
            <w:vAlign w:val="center"/>
          </w:tcPr>
          <w:p w14:paraId="109CA06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包括二次PM</w:t>
            </w:r>
            <w:r>
              <w:rPr>
                <w:rFonts w:ascii="Times New Roman" w:hAnsi="Times New Roman" w:cs="Times New Roman"/>
                <w:color w:val="000000" w:themeColor="text1"/>
                <w:sz w:val="21"/>
                <w:szCs w:val="21"/>
                <w:vertAlign w:val="subscript"/>
                <w14:textFill>
                  <w14:solidFill>
                    <w14:schemeClr w14:val="tx1"/>
                  </w14:solidFill>
                </w14:textFill>
              </w:rPr>
              <w:t>2.5</w:t>
            </w:r>
            <w:r>
              <w:rPr>
                <w:rFonts w:ascii="Times New Roman" w:hAnsi="Times New Roman" w:cs="Times New Roman"/>
                <w:color w:val="000000" w:themeColor="text1"/>
                <w:sz w:val="21"/>
                <w:szCs w:val="21"/>
                <w14:textFill>
                  <w14:solidFill>
                    <w14:schemeClr w14:val="tx1"/>
                  </w14:solidFill>
                </w14:textFill>
              </w:rPr>
              <w:t>□</w:t>
            </w:r>
          </w:p>
          <w:p w14:paraId="63C33F5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不包括二次PM</w:t>
            </w:r>
            <w:r>
              <w:rPr>
                <w:rFonts w:ascii="Times New Roman" w:hAnsi="Times New Roman" w:cs="Times New Roman"/>
                <w:color w:val="000000" w:themeColor="text1"/>
                <w:sz w:val="21"/>
                <w:szCs w:val="21"/>
                <w:vertAlign w:val="subscript"/>
                <w14:textFill>
                  <w14:solidFill>
                    <w14:schemeClr w14:val="tx1"/>
                  </w14:solidFill>
                </w14:textFill>
              </w:rPr>
              <w:t>2.5</w:t>
            </w:r>
            <w:r>
              <w:rPr>
                <w:rFonts w:ascii="Times New Roman" w:hAnsi="Times New Roman" w:cs="Times New Roman"/>
                <w:color w:val="000000" w:themeColor="text1"/>
                <w:sz w:val="21"/>
                <w:szCs w:val="21"/>
                <w14:textFill>
                  <w14:solidFill>
                    <w14:schemeClr w14:val="tx1"/>
                  </w14:solidFill>
                </w14:textFill>
              </w:rPr>
              <w:t>□</w:t>
            </w:r>
          </w:p>
        </w:tc>
      </w:tr>
      <w:tr w14:paraId="2ED13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shd w:val="clear" w:color="auto" w:fill="auto"/>
            <w:vAlign w:val="center"/>
          </w:tcPr>
          <w:p w14:paraId="3340AD52">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评价标准</w:t>
            </w:r>
          </w:p>
        </w:tc>
        <w:tc>
          <w:tcPr>
            <w:tcW w:w="961" w:type="pct"/>
            <w:shd w:val="clear" w:color="auto" w:fill="auto"/>
            <w:vAlign w:val="center"/>
          </w:tcPr>
          <w:p w14:paraId="5345ED31">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评价标准</w:t>
            </w:r>
          </w:p>
        </w:tc>
        <w:tc>
          <w:tcPr>
            <w:tcW w:w="1037" w:type="pct"/>
            <w:gridSpan w:val="3"/>
            <w:shd w:val="clear" w:color="auto" w:fill="auto"/>
            <w:vAlign w:val="center"/>
          </w:tcPr>
          <w:p w14:paraId="3CA958C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国家标准</w:t>
            </w:r>
            <w:r>
              <w:rPr>
                <w:rFonts w:ascii="Times New Roman" w:hAnsi="Times New Roman" w:cs="Times New Roman"/>
                <w:color w:val="000000" w:themeColor="text1"/>
                <w:sz w:val="21"/>
                <w:szCs w:val="21"/>
                <w14:textFill>
                  <w14:solidFill>
                    <w14:schemeClr w14:val="tx1"/>
                  </w14:solidFill>
                </w14:textFill>
              </w:rPr>
              <w:sym w:font="Wingdings 2" w:char="F052"/>
            </w:r>
          </w:p>
        </w:tc>
        <w:tc>
          <w:tcPr>
            <w:tcW w:w="853" w:type="pct"/>
            <w:gridSpan w:val="4"/>
            <w:shd w:val="clear" w:color="auto" w:fill="auto"/>
            <w:vAlign w:val="center"/>
          </w:tcPr>
          <w:p w14:paraId="47C08ECF">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地方标准□</w:t>
            </w:r>
          </w:p>
        </w:tc>
        <w:tc>
          <w:tcPr>
            <w:tcW w:w="578" w:type="pct"/>
            <w:gridSpan w:val="5"/>
            <w:shd w:val="clear" w:color="auto" w:fill="auto"/>
            <w:vAlign w:val="center"/>
          </w:tcPr>
          <w:p w14:paraId="413368FA">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附录D□</w:t>
            </w:r>
          </w:p>
        </w:tc>
        <w:tc>
          <w:tcPr>
            <w:tcW w:w="1075" w:type="pct"/>
            <w:gridSpan w:val="4"/>
            <w:shd w:val="clear" w:color="auto" w:fill="auto"/>
            <w:vAlign w:val="center"/>
          </w:tcPr>
          <w:p w14:paraId="6C4F0720">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其他标准□</w:t>
            </w:r>
          </w:p>
        </w:tc>
      </w:tr>
      <w:tr w14:paraId="5C7B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shd w:val="clear" w:color="auto" w:fill="auto"/>
            <w:vAlign w:val="center"/>
          </w:tcPr>
          <w:p w14:paraId="2BDDE427">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现状评价</w:t>
            </w:r>
          </w:p>
        </w:tc>
        <w:tc>
          <w:tcPr>
            <w:tcW w:w="961" w:type="pct"/>
            <w:shd w:val="clear" w:color="auto" w:fill="auto"/>
            <w:vAlign w:val="center"/>
          </w:tcPr>
          <w:p w14:paraId="7A866F7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环境功能区</w:t>
            </w:r>
          </w:p>
        </w:tc>
        <w:tc>
          <w:tcPr>
            <w:tcW w:w="1379" w:type="pct"/>
            <w:gridSpan w:val="5"/>
            <w:shd w:val="clear" w:color="auto" w:fill="auto"/>
            <w:vAlign w:val="center"/>
          </w:tcPr>
          <w:p w14:paraId="126E935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一类区□</w:t>
            </w:r>
          </w:p>
        </w:tc>
        <w:tc>
          <w:tcPr>
            <w:tcW w:w="1090" w:type="pct"/>
            <w:gridSpan w:val="7"/>
            <w:shd w:val="clear" w:color="auto" w:fill="auto"/>
            <w:vAlign w:val="center"/>
          </w:tcPr>
          <w:p w14:paraId="3716BD6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二类区</w:t>
            </w:r>
            <w:r>
              <w:rPr>
                <w:rFonts w:ascii="Times New Roman" w:hAnsi="Times New Roman" w:cs="Times New Roman"/>
                <w:color w:val="000000" w:themeColor="text1"/>
                <w:sz w:val="21"/>
                <w:szCs w:val="21"/>
                <w14:textFill>
                  <w14:solidFill>
                    <w14:schemeClr w14:val="tx1"/>
                  </w14:solidFill>
                </w14:textFill>
              </w:rPr>
              <w:sym w:font="Wingdings 2" w:char="F052"/>
            </w:r>
          </w:p>
        </w:tc>
        <w:tc>
          <w:tcPr>
            <w:tcW w:w="1075" w:type="pct"/>
            <w:gridSpan w:val="4"/>
            <w:shd w:val="clear" w:color="auto" w:fill="auto"/>
            <w:vAlign w:val="center"/>
          </w:tcPr>
          <w:p w14:paraId="7E6DFC7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一类区和二类区□</w:t>
            </w:r>
          </w:p>
        </w:tc>
      </w:tr>
      <w:tr w14:paraId="2B8F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10BB224C">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761F8730">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评价基准年</w:t>
            </w:r>
          </w:p>
        </w:tc>
        <w:tc>
          <w:tcPr>
            <w:tcW w:w="3543" w:type="pct"/>
            <w:gridSpan w:val="16"/>
            <w:shd w:val="clear" w:color="auto" w:fill="auto"/>
            <w:vAlign w:val="center"/>
          </w:tcPr>
          <w:p w14:paraId="3292248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（2022）年</w:t>
            </w:r>
          </w:p>
        </w:tc>
      </w:tr>
      <w:tr w14:paraId="4803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3F38ECB8">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05DE1368">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环境空气质量现状调查数据来源</w:t>
            </w:r>
          </w:p>
        </w:tc>
        <w:tc>
          <w:tcPr>
            <w:tcW w:w="1379" w:type="pct"/>
            <w:gridSpan w:val="5"/>
            <w:shd w:val="clear" w:color="auto" w:fill="auto"/>
            <w:vAlign w:val="center"/>
          </w:tcPr>
          <w:p w14:paraId="339B37FA">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长期例行监测数据</w:t>
            </w:r>
            <w:r>
              <w:rPr>
                <w:rFonts w:ascii="Times New Roman" w:hAnsi="Times New Roman" w:cs="Times New Roman"/>
                <w:color w:val="000000" w:themeColor="text1"/>
                <w:sz w:val="21"/>
                <w:szCs w:val="21"/>
                <w14:textFill>
                  <w14:solidFill>
                    <w14:schemeClr w14:val="tx1"/>
                  </w14:solidFill>
                </w14:textFill>
              </w:rPr>
              <w:sym w:font="Wingdings 2" w:char="F052"/>
            </w:r>
          </w:p>
        </w:tc>
        <w:tc>
          <w:tcPr>
            <w:tcW w:w="1090" w:type="pct"/>
            <w:gridSpan w:val="7"/>
            <w:shd w:val="clear" w:color="auto" w:fill="auto"/>
            <w:vAlign w:val="center"/>
          </w:tcPr>
          <w:p w14:paraId="64BF385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主管部门发布的数据□</w:t>
            </w:r>
          </w:p>
        </w:tc>
        <w:tc>
          <w:tcPr>
            <w:tcW w:w="1075" w:type="pct"/>
            <w:gridSpan w:val="4"/>
            <w:shd w:val="clear" w:color="auto" w:fill="auto"/>
            <w:vAlign w:val="center"/>
          </w:tcPr>
          <w:p w14:paraId="16E0C56F">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现状补充数据□</w:t>
            </w:r>
          </w:p>
        </w:tc>
      </w:tr>
      <w:tr w14:paraId="65AE4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3667E997">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4B790578">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现状评价</w:t>
            </w:r>
          </w:p>
        </w:tc>
        <w:tc>
          <w:tcPr>
            <w:tcW w:w="2397" w:type="pct"/>
            <w:gridSpan w:val="11"/>
            <w:shd w:val="clear" w:color="auto" w:fill="auto"/>
            <w:vAlign w:val="center"/>
          </w:tcPr>
          <w:p w14:paraId="7CD3AE9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达标区□</w:t>
            </w:r>
          </w:p>
        </w:tc>
        <w:tc>
          <w:tcPr>
            <w:tcW w:w="1147" w:type="pct"/>
            <w:gridSpan w:val="5"/>
            <w:shd w:val="clear" w:color="auto" w:fill="auto"/>
            <w:vAlign w:val="center"/>
          </w:tcPr>
          <w:p w14:paraId="5FDE13E6">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不达标区</w:t>
            </w:r>
            <w:r>
              <w:rPr>
                <w:rFonts w:ascii="Times New Roman" w:hAnsi="Times New Roman" w:cs="Times New Roman"/>
                <w:color w:val="000000" w:themeColor="text1"/>
                <w:sz w:val="21"/>
                <w:szCs w:val="21"/>
                <w14:textFill>
                  <w14:solidFill>
                    <w14:schemeClr w14:val="tx1"/>
                  </w14:solidFill>
                </w14:textFill>
              </w:rPr>
              <w:sym w:font="Wingdings 2" w:char="F052"/>
            </w:r>
          </w:p>
        </w:tc>
      </w:tr>
      <w:tr w14:paraId="60A7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shd w:val="clear" w:color="auto" w:fill="auto"/>
            <w:vAlign w:val="center"/>
          </w:tcPr>
          <w:p w14:paraId="695439B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污染源调查</w:t>
            </w:r>
          </w:p>
        </w:tc>
        <w:tc>
          <w:tcPr>
            <w:tcW w:w="961" w:type="pct"/>
            <w:shd w:val="clear" w:color="auto" w:fill="auto"/>
            <w:vAlign w:val="center"/>
          </w:tcPr>
          <w:p w14:paraId="5F37F56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调查内容</w:t>
            </w:r>
          </w:p>
        </w:tc>
        <w:tc>
          <w:tcPr>
            <w:tcW w:w="1234" w:type="pct"/>
            <w:gridSpan w:val="4"/>
            <w:shd w:val="clear" w:color="auto" w:fill="auto"/>
            <w:vAlign w:val="center"/>
          </w:tcPr>
          <w:p w14:paraId="00CF5AC6">
            <w:pPr>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本项目正常排放源</w:t>
            </w:r>
            <w:r>
              <w:rPr>
                <w:rFonts w:ascii="Times New Roman" w:hAnsi="Times New Roman" w:cs="Times New Roman"/>
                <w:color w:val="000000" w:themeColor="text1"/>
                <w:sz w:val="21"/>
                <w:szCs w:val="21"/>
                <w14:textFill>
                  <w14:solidFill>
                    <w14:schemeClr w14:val="tx1"/>
                  </w14:solidFill>
                </w14:textFill>
              </w:rPr>
              <w:sym w:font="Wingdings 2" w:char="F052"/>
            </w:r>
          </w:p>
          <w:p w14:paraId="2DDA214B">
            <w:pPr>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本项目非正常排放源□</w:t>
            </w:r>
          </w:p>
          <w:p w14:paraId="243BF90A">
            <w:pPr>
              <w:jc w:val="both"/>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现有污染源□</w:t>
            </w:r>
          </w:p>
        </w:tc>
        <w:tc>
          <w:tcPr>
            <w:tcW w:w="951" w:type="pct"/>
            <w:gridSpan w:val="4"/>
            <w:shd w:val="clear" w:color="auto" w:fill="auto"/>
            <w:vAlign w:val="center"/>
          </w:tcPr>
          <w:p w14:paraId="2BCDBBD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拟替代的污染源□</w:t>
            </w:r>
          </w:p>
        </w:tc>
        <w:tc>
          <w:tcPr>
            <w:tcW w:w="843" w:type="pct"/>
            <w:gridSpan w:val="6"/>
            <w:shd w:val="clear" w:color="auto" w:fill="auto"/>
            <w:vAlign w:val="center"/>
          </w:tcPr>
          <w:p w14:paraId="0EAC79C5">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其他在建、拟建项目污染源□</w:t>
            </w:r>
          </w:p>
        </w:tc>
        <w:tc>
          <w:tcPr>
            <w:tcW w:w="515" w:type="pct"/>
            <w:gridSpan w:val="2"/>
            <w:shd w:val="clear" w:color="auto" w:fill="auto"/>
            <w:vAlign w:val="center"/>
          </w:tcPr>
          <w:p w14:paraId="09C8350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区域污染源□</w:t>
            </w:r>
          </w:p>
        </w:tc>
      </w:tr>
      <w:tr w14:paraId="5EB4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shd w:val="clear" w:color="auto" w:fill="auto"/>
            <w:vAlign w:val="center"/>
          </w:tcPr>
          <w:p w14:paraId="25EB7F4A">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大气环境影响预测与评价</w:t>
            </w:r>
          </w:p>
        </w:tc>
        <w:tc>
          <w:tcPr>
            <w:tcW w:w="961" w:type="pct"/>
            <w:shd w:val="clear" w:color="auto" w:fill="auto"/>
            <w:vAlign w:val="center"/>
          </w:tcPr>
          <w:p w14:paraId="567F04CF">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预测模型</w:t>
            </w:r>
          </w:p>
        </w:tc>
        <w:tc>
          <w:tcPr>
            <w:tcW w:w="535" w:type="pct"/>
            <w:shd w:val="clear" w:color="auto" w:fill="auto"/>
            <w:vAlign w:val="center"/>
          </w:tcPr>
          <w:p w14:paraId="61E86B9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AERMOD□</w:t>
            </w:r>
          </w:p>
        </w:tc>
        <w:tc>
          <w:tcPr>
            <w:tcW w:w="435" w:type="pct"/>
            <w:shd w:val="clear" w:color="auto" w:fill="auto"/>
            <w:vAlign w:val="center"/>
          </w:tcPr>
          <w:p w14:paraId="2C754DE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ADMS□</w:t>
            </w:r>
          </w:p>
        </w:tc>
        <w:tc>
          <w:tcPr>
            <w:tcW w:w="709" w:type="pct"/>
            <w:gridSpan w:val="4"/>
            <w:shd w:val="clear" w:color="auto" w:fill="auto"/>
            <w:vAlign w:val="center"/>
          </w:tcPr>
          <w:p w14:paraId="2B39CDD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AUSTAL2000□</w:t>
            </w:r>
          </w:p>
        </w:tc>
        <w:tc>
          <w:tcPr>
            <w:tcW w:w="650" w:type="pct"/>
            <w:gridSpan w:val="4"/>
            <w:shd w:val="clear" w:color="auto" w:fill="auto"/>
            <w:vAlign w:val="center"/>
          </w:tcPr>
          <w:p w14:paraId="639B6D4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EDMS/AEDT□</w:t>
            </w:r>
          </w:p>
        </w:tc>
        <w:tc>
          <w:tcPr>
            <w:tcW w:w="359" w:type="pct"/>
            <w:gridSpan w:val="3"/>
            <w:shd w:val="clear" w:color="auto" w:fill="auto"/>
            <w:vAlign w:val="center"/>
          </w:tcPr>
          <w:p w14:paraId="5CBD10E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CALPUFF□</w:t>
            </w:r>
          </w:p>
        </w:tc>
        <w:tc>
          <w:tcPr>
            <w:tcW w:w="574" w:type="pct"/>
            <w:gridSpan w:val="2"/>
            <w:shd w:val="clear" w:color="auto" w:fill="auto"/>
            <w:vAlign w:val="center"/>
          </w:tcPr>
          <w:p w14:paraId="5C3DE69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网格模型□</w:t>
            </w:r>
          </w:p>
        </w:tc>
        <w:tc>
          <w:tcPr>
            <w:tcW w:w="282" w:type="pct"/>
            <w:shd w:val="clear" w:color="auto" w:fill="auto"/>
            <w:vAlign w:val="center"/>
          </w:tcPr>
          <w:p w14:paraId="4DC376E2">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其他□</w:t>
            </w:r>
          </w:p>
        </w:tc>
      </w:tr>
      <w:tr w14:paraId="6DD1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52B7DB66">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7268CC7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预测范围</w:t>
            </w:r>
          </w:p>
        </w:tc>
        <w:tc>
          <w:tcPr>
            <w:tcW w:w="1379" w:type="pct"/>
            <w:gridSpan w:val="5"/>
            <w:shd w:val="clear" w:color="auto" w:fill="auto"/>
            <w:vAlign w:val="center"/>
          </w:tcPr>
          <w:p w14:paraId="3979E1F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边长=50km□</w:t>
            </w:r>
          </w:p>
        </w:tc>
        <w:tc>
          <w:tcPr>
            <w:tcW w:w="1090" w:type="pct"/>
            <w:gridSpan w:val="7"/>
            <w:shd w:val="clear" w:color="auto" w:fill="auto"/>
            <w:vAlign w:val="center"/>
          </w:tcPr>
          <w:p w14:paraId="13DE21F0">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边长5～50km□</w:t>
            </w:r>
          </w:p>
        </w:tc>
        <w:tc>
          <w:tcPr>
            <w:tcW w:w="1075" w:type="pct"/>
            <w:gridSpan w:val="4"/>
            <w:shd w:val="clear" w:color="auto" w:fill="auto"/>
            <w:vAlign w:val="center"/>
          </w:tcPr>
          <w:p w14:paraId="4BC8B4E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边长=5km□</w:t>
            </w:r>
          </w:p>
        </w:tc>
      </w:tr>
      <w:tr w14:paraId="7F3BA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22ADEA00">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04F6C5F7">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预测因子</w:t>
            </w:r>
          </w:p>
        </w:tc>
        <w:tc>
          <w:tcPr>
            <w:tcW w:w="1890" w:type="pct"/>
            <w:gridSpan w:val="7"/>
            <w:shd w:val="clear" w:color="auto" w:fill="auto"/>
            <w:vAlign w:val="center"/>
          </w:tcPr>
          <w:p w14:paraId="0A153E8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预测因子（）</w:t>
            </w:r>
          </w:p>
        </w:tc>
        <w:tc>
          <w:tcPr>
            <w:tcW w:w="1653" w:type="pct"/>
            <w:gridSpan w:val="9"/>
            <w:shd w:val="clear" w:color="auto" w:fill="auto"/>
            <w:vAlign w:val="center"/>
          </w:tcPr>
          <w:p w14:paraId="6C0D1B9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包括二次PM</w:t>
            </w:r>
            <w:r>
              <w:rPr>
                <w:rFonts w:ascii="Times New Roman" w:hAnsi="Times New Roman" w:cs="Times New Roman"/>
                <w:color w:val="000000" w:themeColor="text1"/>
                <w:sz w:val="21"/>
                <w:szCs w:val="21"/>
                <w:vertAlign w:val="subscript"/>
                <w14:textFill>
                  <w14:solidFill>
                    <w14:schemeClr w14:val="tx1"/>
                  </w14:solidFill>
                </w14:textFill>
              </w:rPr>
              <w:t>2.5</w:t>
            </w:r>
            <w:r>
              <w:rPr>
                <w:rFonts w:ascii="Times New Roman" w:hAnsi="Times New Roman" w:cs="Times New Roman"/>
                <w:color w:val="000000" w:themeColor="text1"/>
                <w:sz w:val="21"/>
                <w:szCs w:val="21"/>
                <w14:textFill>
                  <w14:solidFill>
                    <w14:schemeClr w14:val="tx1"/>
                  </w14:solidFill>
                </w14:textFill>
              </w:rPr>
              <w:t>□</w:t>
            </w:r>
          </w:p>
          <w:p w14:paraId="4DE90397">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不包括二次PM</w:t>
            </w:r>
            <w:r>
              <w:rPr>
                <w:rFonts w:ascii="Times New Roman" w:hAnsi="Times New Roman" w:cs="Times New Roman"/>
                <w:color w:val="000000" w:themeColor="text1"/>
                <w:sz w:val="21"/>
                <w:szCs w:val="21"/>
                <w:vertAlign w:val="subscript"/>
                <w14:textFill>
                  <w14:solidFill>
                    <w14:schemeClr w14:val="tx1"/>
                  </w14:solidFill>
                </w14:textFill>
              </w:rPr>
              <w:t>2.5</w:t>
            </w:r>
            <w:r>
              <w:rPr>
                <w:rFonts w:ascii="Times New Roman" w:hAnsi="Times New Roman" w:cs="Times New Roman"/>
                <w:color w:val="000000" w:themeColor="text1"/>
                <w:sz w:val="21"/>
                <w:szCs w:val="21"/>
                <w14:textFill>
                  <w14:solidFill>
                    <w14:schemeClr w14:val="tx1"/>
                  </w14:solidFill>
                </w14:textFill>
              </w:rPr>
              <w:t>□</w:t>
            </w:r>
          </w:p>
        </w:tc>
      </w:tr>
      <w:tr w14:paraId="7F8F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2DD50E5E">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6195034A">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正常排放短期浓度贡献值</w:t>
            </w:r>
          </w:p>
        </w:tc>
        <w:tc>
          <w:tcPr>
            <w:tcW w:w="1890" w:type="pct"/>
            <w:gridSpan w:val="7"/>
            <w:shd w:val="clear" w:color="auto" w:fill="auto"/>
            <w:vAlign w:val="center"/>
          </w:tcPr>
          <w:p w14:paraId="2CAC113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最大占标率≤100%□</w:t>
            </w:r>
          </w:p>
        </w:tc>
        <w:tc>
          <w:tcPr>
            <w:tcW w:w="1653" w:type="pct"/>
            <w:gridSpan w:val="9"/>
            <w:shd w:val="clear" w:color="auto" w:fill="auto"/>
            <w:vAlign w:val="center"/>
          </w:tcPr>
          <w:p w14:paraId="601E257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最大占标率＞100%□</w:t>
            </w:r>
          </w:p>
        </w:tc>
      </w:tr>
      <w:tr w14:paraId="5FC7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47E8B3F7">
            <w:pPr>
              <w:jc w:val="center"/>
              <w:rPr>
                <w:rFonts w:ascii="Times New Roman" w:hAnsi="Times New Roman" w:cs="Times New Roman"/>
                <w:color w:val="000000" w:themeColor="text1"/>
                <w:sz w:val="21"/>
                <w:szCs w:val="21"/>
                <w14:textFill>
                  <w14:solidFill>
                    <w14:schemeClr w14:val="tx1"/>
                  </w14:solidFill>
                </w14:textFill>
              </w:rPr>
            </w:pPr>
          </w:p>
        </w:tc>
        <w:tc>
          <w:tcPr>
            <w:tcW w:w="961" w:type="pct"/>
            <w:vMerge w:val="restart"/>
            <w:shd w:val="clear" w:color="auto" w:fill="auto"/>
            <w:vAlign w:val="center"/>
          </w:tcPr>
          <w:p w14:paraId="454CE3AC">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正常排放年均浓度贡献值</w:t>
            </w:r>
          </w:p>
        </w:tc>
        <w:tc>
          <w:tcPr>
            <w:tcW w:w="535" w:type="pct"/>
            <w:shd w:val="clear" w:color="auto" w:fill="auto"/>
            <w:vAlign w:val="center"/>
          </w:tcPr>
          <w:p w14:paraId="31C7084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一类区</w:t>
            </w:r>
          </w:p>
        </w:tc>
        <w:tc>
          <w:tcPr>
            <w:tcW w:w="1355" w:type="pct"/>
            <w:gridSpan w:val="6"/>
            <w:shd w:val="clear" w:color="auto" w:fill="auto"/>
            <w:vAlign w:val="center"/>
          </w:tcPr>
          <w:p w14:paraId="3B94D6D2">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w:t>
            </w:r>
          </w:p>
        </w:tc>
        <w:tc>
          <w:tcPr>
            <w:tcW w:w="1653" w:type="pct"/>
            <w:gridSpan w:val="9"/>
            <w:shd w:val="clear" w:color="auto" w:fill="auto"/>
            <w:vAlign w:val="center"/>
          </w:tcPr>
          <w:p w14:paraId="5802000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最大占标率＞10%□</w:t>
            </w:r>
          </w:p>
        </w:tc>
      </w:tr>
      <w:tr w14:paraId="046B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05D7A54C">
            <w:pPr>
              <w:jc w:val="center"/>
              <w:rPr>
                <w:rFonts w:ascii="Times New Roman" w:hAnsi="Times New Roman" w:cs="Times New Roman"/>
                <w:color w:val="000000" w:themeColor="text1"/>
                <w:sz w:val="21"/>
                <w:szCs w:val="21"/>
                <w14:textFill>
                  <w14:solidFill>
                    <w14:schemeClr w14:val="tx1"/>
                  </w14:solidFill>
                </w14:textFill>
              </w:rPr>
            </w:pPr>
          </w:p>
        </w:tc>
        <w:tc>
          <w:tcPr>
            <w:tcW w:w="961" w:type="pct"/>
            <w:vMerge w:val="continue"/>
            <w:shd w:val="clear" w:color="auto" w:fill="auto"/>
            <w:vAlign w:val="center"/>
          </w:tcPr>
          <w:p w14:paraId="3CECF8A7">
            <w:pPr>
              <w:jc w:val="center"/>
              <w:rPr>
                <w:rFonts w:ascii="Times New Roman" w:hAnsi="Times New Roman" w:cs="Times New Roman"/>
                <w:color w:val="000000" w:themeColor="text1"/>
                <w:sz w:val="21"/>
                <w:szCs w:val="21"/>
                <w14:textFill>
                  <w14:solidFill>
                    <w14:schemeClr w14:val="tx1"/>
                  </w14:solidFill>
                </w14:textFill>
              </w:rPr>
            </w:pPr>
          </w:p>
        </w:tc>
        <w:tc>
          <w:tcPr>
            <w:tcW w:w="535" w:type="pct"/>
            <w:shd w:val="clear" w:color="auto" w:fill="auto"/>
            <w:vAlign w:val="center"/>
          </w:tcPr>
          <w:p w14:paraId="6A0BE04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二类区</w:t>
            </w:r>
          </w:p>
        </w:tc>
        <w:tc>
          <w:tcPr>
            <w:tcW w:w="1355" w:type="pct"/>
            <w:gridSpan w:val="6"/>
            <w:shd w:val="clear" w:color="auto" w:fill="auto"/>
            <w:vAlign w:val="center"/>
          </w:tcPr>
          <w:p w14:paraId="64A8EEA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最大占标率≤30%□</w:t>
            </w:r>
          </w:p>
        </w:tc>
        <w:tc>
          <w:tcPr>
            <w:tcW w:w="1653" w:type="pct"/>
            <w:gridSpan w:val="9"/>
            <w:shd w:val="clear" w:color="auto" w:fill="auto"/>
            <w:vAlign w:val="center"/>
          </w:tcPr>
          <w:p w14:paraId="3FD90A4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本项目</w:t>
            </w:r>
            <w:r>
              <w:rPr>
                <w:rFonts w:ascii="Times New Roman" w:hAnsi="Times New Roman" w:cs="Times New Roman"/>
                <w:color w:val="000000" w:themeColor="text1"/>
                <w:sz w:val="21"/>
                <w:szCs w:val="21"/>
                <w14:textFill>
                  <w14:solidFill>
                    <w14:schemeClr w14:val="tx1"/>
                  </w14:solidFill>
                </w14:textFill>
              </w:rPr>
              <w:t>最大占标率＞30%□</w:t>
            </w:r>
          </w:p>
        </w:tc>
      </w:tr>
      <w:tr w14:paraId="5446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2966C2A6">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6646129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非正常排放1h浓度贡献值</w:t>
            </w:r>
          </w:p>
        </w:tc>
        <w:tc>
          <w:tcPr>
            <w:tcW w:w="1379" w:type="pct"/>
            <w:gridSpan w:val="5"/>
            <w:shd w:val="clear" w:color="auto" w:fill="auto"/>
            <w:vAlign w:val="center"/>
          </w:tcPr>
          <w:p w14:paraId="29437B0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非正常持续时长（）h</w:t>
            </w:r>
          </w:p>
        </w:tc>
        <w:tc>
          <w:tcPr>
            <w:tcW w:w="1090" w:type="pct"/>
            <w:gridSpan w:val="7"/>
            <w:shd w:val="clear" w:color="auto" w:fill="auto"/>
            <w:vAlign w:val="center"/>
          </w:tcPr>
          <w:p w14:paraId="1CD47FE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非正常</w:t>
            </w:r>
            <w:r>
              <w:rPr>
                <w:rFonts w:ascii="Times New Roman" w:hAnsi="Times New Roman" w:cs="Times New Roman"/>
                <w:color w:val="000000" w:themeColor="text1"/>
                <w:sz w:val="21"/>
                <w:szCs w:val="21"/>
                <w14:textFill>
                  <w14:solidFill>
                    <w14:schemeClr w14:val="tx1"/>
                  </w14:solidFill>
                </w14:textFill>
              </w:rPr>
              <w:t>占标率≤100%□</w:t>
            </w:r>
          </w:p>
        </w:tc>
        <w:tc>
          <w:tcPr>
            <w:tcW w:w="1075" w:type="pct"/>
            <w:gridSpan w:val="4"/>
            <w:shd w:val="clear" w:color="auto" w:fill="auto"/>
            <w:vAlign w:val="center"/>
          </w:tcPr>
          <w:p w14:paraId="1F3BCD7C">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非正常</w:t>
            </w:r>
            <w:r>
              <w:rPr>
                <w:rFonts w:ascii="Times New Roman" w:hAnsi="Times New Roman" w:cs="Times New Roman"/>
                <w:color w:val="000000" w:themeColor="text1"/>
                <w:sz w:val="21"/>
                <w:szCs w:val="21"/>
                <w14:textFill>
                  <w14:solidFill>
                    <w14:schemeClr w14:val="tx1"/>
                  </w14:solidFill>
                </w14:textFill>
              </w:rPr>
              <w:t>占标率＞100%□</w:t>
            </w:r>
          </w:p>
        </w:tc>
      </w:tr>
      <w:tr w14:paraId="230C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3DD6512C">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61F4EAA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保证率日平均浓度和年平均浓度叠加值</w:t>
            </w:r>
          </w:p>
        </w:tc>
        <w:tc>
          <w:tcPr>
            <w:tcW w:w="1890" w:type="pct"/>
            <w:gridSpan w:val="7"/>
            <w:shd w:val="clear" w:color="auto" w:fill="auto"/>
            <w:vAlign w:val="center"/>
          </w:tcPr>
          <w:p w14:paraId="0BDB41E5">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叠加</w:t>
            </w:r>
            <w:r>
              <w:rPr>
                <w:rFonts w:ascii="Times New Roman" w:hAnsi="Times New Roman" w:cs="Times New Roman"/>
                <w:color w:val="000000" w:themeColor="text1"/>
                <w:sz w:val="21"/>
                <w:szCs w:val="21"/>
                <w14:textFill>
                  <w14:solidFill>
                    <w14:schemeClr w14:val="tx1"/>
                  </w14:solidFill>
                </w14:textFill>
              </w:rPr>
              <w:t>达标□</w:t>
            </w:r>
          </w:p>
        </w:tc>
        <w:tc>
          <w:tcPr>
            <w:tcW w:w="1653" w:type="pct"/>
            <w:gridSpan w:val="9"/>
            <w:shd w:val="clear" w:color="auto" w:fill="auto"/>
            <w:vAlign w:val="center"/>
          </w:tcPr>
          <w:p w14:paraId="757BA24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vertAlign w:val="subscript"/>
                <w14:textFill>
                  <w14:solidFill>
                    <w14:schemeClr w14:val="tx1"/>
                  </w14:solidFill>
                </w14:textFill>
              </w:rPr>
              <w:t>叠加</w:t>
            </w:r>
            <w:r>
              <w:rPr>
                <w:rFonts w:ascii="Times New Roman" w:hAnsi="Times New Roman" w:cs="Times New Roman"/>
                <w:color w:val="000000" w:themeColor="text1"/>
                <w:sz w:val="21"/>
                <w:szCs w:val="21"/>
                <w14:textFill>
                  <w14:solidFill>
                    <w14:schemeClr w14:val="tx1"/>
                  </w14:solidFill>
                </w14:textFill>
              </w:rPr>
              <w:t>不达标□</w:t>
            </w:r>
          </w:p>
        </w:tc>
      </w:tr>
      <w:tr w14:paraId="3FFF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420A0A69">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163E3D4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区域环境质量的整体变化情况</w:t>
            </w:r>
          </w:p>
        </w:tc>
        <w:tc>
          <w:tcPr>
            <w:tcW w:w="1890" w:type="pct"/>
            <w:gridSpan w:val="7"/>
            <w:shd w:val="clear" w:color="auto" w:fill="auto"/>
            <w:vAlign w:val="center"/>
          </w:tcPr>
          <w:p w14:paraId="6CC2A70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K≤-20%□</w:t>
            </w:r>
          </w:p>
        </w:tc>
        <w:tc>
          <w:tcPr>
            <w:tcW w:w="1653" w:type="pct"/>
            <w:gridSpan w:val="9"/>
            <w:shd w:val="clear" w:color="auto" w:fill="auto"/>
            <w:vAlign w:val="center"/>
          </w:tcPr>
          <w:p w14:paraId="028EEBF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K＞-20%□</w:t>
            </w:r>
          </w:p>
        </w:tc>
      </w:tr>
      <w:tr w14:paraId="7B59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shd w:val="clear" w:color="auto" w:fill="auto"/>
            <w:vAlign w:val="center"/>
          </w:tcPr>
          <w:p w14:paraId="45C222A2">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环境监测计划</w:t>
            </w:r>
          </w:p>
        </w:tc>
        <w:tc>
          <w:tcPr>
            <w:tcW w:w="961" w:type="pct"/>
            <w:shd w:val="clear" w:color="auto" w:fill="auto"/>
            <w:vAlign w:val="center"/>
          </w:tcPr>
          <w:p w14:paraId="43B77EA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污染源监测</w:t>
            </w:r>
          </w:p>
        </w:tc>
        <w:tc>
          <w:tcPr>
            <w:tcW w:w="1379" w:type="pct"/>
            <w:gridSpan w:val="5"/>
            <w:shd w:val="clear" w:color="auto" w:fill="auto"/>
            <w:vAlign w:val="center"/>
          </w:tcPr>
          <w:p w14:paraId="7183031E">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w:t>
            </w:r>
            <w:r>
              <w:rPr>
                <w:rFonts w:ascii="Times New Roman" w:hAnsi="Times New Roman" w:cs="Times New Roman"/>
                <w:color w:val="000000" w:themeColor="text1"/>
                <w:w w:val="90"/>
                <w:sz w:val="21"/>
                <w:szCs w:val="21"/>
                <w14:textFill>
                  <w14:solidFill>
                    <w14:schemeClr w14:val="tx1"/>
                  </w14:solidFill>
                </w14:textFill>
              </w:rPr>
              <w:t>PM</w:t>
            </w:r>
            <w:r>
              <w:rPr>
                <w:rFonts w:ascii="Times New Roman" w:hAnsi="Times New Roman" w:cs="Times New Roman"/>
                <w:color w:val="000000" w:themeColor="text1"/>
                <w:w w:val="90"/>
                <w:sz w:val="21"/>
                <w:szCs w:val="21"/>
                <w:vertAlign w:val="subscript"/>
                <w14:textFill>
                  <w14:solidFill>
                    <w14:schemeClr w14:val="tx1"/>
                  </w14:solidFill>
                </w14:textFill>
              </w:rPr>
              <w:t>10</w:t>
            </w:r>
            <w:r>
              <w:rPr>
                <w:rFonts w:ascii="Times New Roman" w:hAnsi="Times New Roman" w:cs="Times New Roman"/>
                <w:color w:val="000000" w:themeColor="text1"/>
                <w:sz w:val="21"/>
                <w:szCs w:val="21"/>
                <w14:textFill>
                  <w14:solidFill>
                    <w14:schemeClr w14:val="tx1"/>
                  </w14:solidFill>
                </w14:textFill>
              </w:rPr>
              <w:t>）</w:t>
            </w:r>
          </w:p>
        </w:tc>
        <w:tc>
          <w:tcPr>
            <w:tcW w:w="1090" w:type="pct"/>
            <w:gridSpan w:val="7"/>
            <w:shd w:val="clear" w:color="auto" w:fill="auto"/>
            <w:vAlign w:val="center"/>
          </w:tcPr>
          <w:p w14:paraId="4A1B7B0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有组织废气监测□</w:t>
            </w:r>
          </w:p>
          <w:p w14:paraId="1B4C83F5">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无组织废气监测</w:t>
            </w:r>
            <w:r>
              <w:rPr>
                <w:rFonts w:ascii="Times New Roman" w:hAnsi="Times New Roman" w:cs="Times New Roman"/>
                <w:color w:val="000000" w:themeColor="text1"/>
                <w:sz w:val="21"/>
                <w:szCs w:val="21"/>
                <w14:textFill>
                  <w14:solidFill>
                    <w14:schemeClr w14:val="tx1"/>
                  </w14:solidFill>
                </w14:textFill>
              </w:rPr>
              <w:sym w:font="Wingdings 2" w:char="F052"/>
            </w:r>
          </w:p>
        </w:tc>
        <w:tc>
          <w:tcPr>
            <w:tcW w:w="1075" w:type="pct"/>
            <w:gridSpan w:val="4"/>
            <w:shd w:val="clear" w:color="auto" w:fill="auto"/>
            <w:vAlign w:val="center"/>
          </w:tcPr>
          <w:p w14:paraId="616F0680">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无监测□</w:t>
            </w:r>
          </w:p>
        </w:tc>
      </w:tr>
      <w:tr w14:paraId="2F1A8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28473C20">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4FDA5896">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环境质量监测</w:t>
            </w:r>
          </w:p>
        </w:tc>
        <w:tc>
          <w:tcPr>
            <w:tcW w:w="1379" w:type="pct"/>
            <w:gridSpan w:val="5"/>
            <w:shd w:val="clear" w:color="auto" w:fill="auto"/>
            <w:vAlign w:val="center"/>
          </w:tcPr>
          <w:p w14:paraId="06855ED8">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监测因子：（）</w:t>
            </w:r>
          </w:p>
        </w:tc>
        <w:tc>
          <w:tcPr>
            <w:tcW w:w="1090" w:type="pct"/>
            <w:gridSpan w:val="7"/>
            <w:shd w:val="clear" w:color="auto" w:fill="auto"/>
            <w:vAlign w:val="center"/>
          </w:tcPr>
          <w:p w14:paraId="45942A9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监测点位数（）</w:t>
            </w:r>
          </w:p>
        </w:tc>
        <w:tc>
          <w:tcPr>
            <w:tcW w:w="1075" w:type="pct"/>
            <w:gridSpan w:val="4"/>
            <w:shd w:val="clear" w:color="auto" w:fill="auto"/>
            <w:vAlign w:val="center"/>
          </w:tcPr>
          <w:p w14:paraId="6033679B">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无监测□</w:t>
            </w:r>
          </w:p>
        </w:tc>
      </w:tr>
      <w:tr w14:paraId="390D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restart"/>
            <w:shd w:val="clear" w:color="auto" w:fill="auto"/>
            <w:vAlign w:val="center"/>
          </w:tcPr>
          <w:p w14:paraId="272D9F3C">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评价结论</w:t>
            </w:r>
          </w:p>
        </w:tc>
        <w:tc>
          <w:tcPr>
            <w:tcW w:w="961" w:type="pct"/>
            <w:shd w:val="clear" w:color="auto" w:fill="auto"/>
            <w:vAlign w:val="center"/>
          </w:tcPr>
          <w:p w14:paraId="1C429997">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环境影响</w:t>
            </w:r>
          </w:p>
        </w:tc>
        <w:tc>
          <w:tcPr>
            <w:tcW w:w="3543" w:type="pct"/>
            <w:gridSpan w:val="16"/>
            <w:shd w:val="clear" w:color="auto" w:fill="auto"/>
            <w:vAlign w:val="center"/>
          </w:tcPr>
          <w:p w14:paraId="420AF2B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可以接受</w:t>
            </w:r>
            <w:r>
              <w:rPr>
                <w:rFonts w:ascii="Times New Roman" w:hAnsi="Times New Roman" w:cs="Times New Roman"/>
                <w:color w:val="000000" w:themeColor="text1"/>
                <w:sz w:val="21"/>
                <w:szCs w:val="21"/>
                <w14:textFill>
                  <w14:solidFill>
                    <w14:schemeClr w14:val="tx1"/>
                  </w14:solidFill>
                </w14:textFill>
              </w:rPr>
              <w:sym w:font="Wingdings 2" w:char="F052"/>
            </w:r>
            <w:r>
              <w:rPr>
                <w:rFonts w:ascii="Times New Roman" w:hAnsi="Times New Roman" w:cs="Times New Roman"/>
                <w:color w:val="000000" w:themeColor="text1"/>
                <w:sz w:val="21"/>
                <w:szCs w:val="21"/>
                <w14:textFill>
                  <w14:solidFill>
                    <w14:schemeClr w14:val="tx1"/>
                  </w14:solidFill>
                </w14:textFill>
              </w:rPr>
              <w:t>不可以接受□</w:t>
            </w:r>
          </w:p>
        </w:tc>
      </w:tr>
      <w:tr w14:paraId="0B85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567635F2">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10005B9C">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大气环境防护距离</w:t>
            </w:r>
          </w:p>
        </w:tc>
        <w:tc>
          <w:tcPr>
            <w:tcW w:w="3543" w:type="pct"/>
            <w:gridSpan w:val="16"/>
            <w:shd w:val="clear" w:color="auto" w:fill="auto"/>
            <w:vAlign w:val="center"/>
          </w:tcPr>
          <w:p w14:paraId="78C72937">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距（）厂界最远（0）m</w:t>
            </w:r>
          </w:p>
        </w:tc>
      </w:tr>
      <w:tr w14:paraId="6B9F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Merge w:val="continue"/>
            <w:shd w:val="clear" w:color="auto" w:fill="auto"/>
            <w:vAlign w:val="center"/>
          </w:tcPr>
          <w:p w14:paraId="0AC3B4EF">
            <w:pPr>
              <w:jc w:val="center"/>
              <w:rPr>
                <w:rFonts w:ascii="Times New Roman" w:hAnsi="Times New Roman" w:cs="Times New Roman"/>
                <w:color w:val="000000" w:themeColor="text1"/>
                <w:sz w:val="21"/>
                <w:szCs w:val="21"/>
                <w14:textFill>
                  <w14:solidFill>
                    <w14:schemeClr w14:val="tx1"/>
                  </w14:solidFill>
                </w14:textFill>
              </w:rPr>
            </w:pPr>
          </w:p>
        </w:tc>
        <w:tc>
          <w:tcPr>
            <w:tcW w:w="961" w:type="pct"/>
            <w:shd w:val="clear" w:color="auto" w:fill="auto"/>
            <w:vAlign w:val="center"/>
          </w:tcPr>
          <w:p w14:paraId="1100DBA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污染源年排放量</w:t>
            </w:r>
          </w:p>
        </w:tc>
        <w:tc>
          <w:tcPr>
            <w:tcW w:w="970" w:type="pct"/>
            <w:gridSpan w:val="2"/>
            <w:shd w:val="clear" w:color="auto" w:fill="auto"/>
            <w:vAlign w:val="center"/>
          </w:tcPr>
          <w:p w14:paraId="68F6D980">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SO</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：（）t/a</w:t>
            </w:r>
          </w:p>
        </w:tc>
        <w:tc>
          <w:tcPr>
            <w:tcW w:w="920" w:type="pct"/>
            <w:gridSpan w:val="5"/>
            <w:shd w:val="clear" w:color="auto" w:fill="auto"/>
            <w:vAlign w:val="center"/>
          </w:tcPr>
          <w:p w14:paraId="6102E2CF">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NO</w:t>
            </w:r>
            <w:r>
              <w:rPr>
                <w:rFonts w:ascii="Times New Roman" w:hAnsi="Times New Roman" w:cs="Times New Roman"/>
                <w:color w:val="000000" w:themeColor="text1"/>
                <w:sz w:val="21"/>
                <w:szCs w:val="21"/>
                <w:vertAlign w:val="subscript"/>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：（）t/a</w:t>
            </w:r>
          </w:p>
        </w:tc>
        <w:tc>
          <w:tcPr>
            <w:tcW w:w="798" w:type="pct"/>
            <w:gridSpan w:val="6"/>
            <w:shd w:val="clear" w:color="auto" w:fill="auto"/>
            <w:vAlign w:val="center"/>
          </w:tcPr>
          <w:p w14:paraId="46C3FAD6">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颗粒物：（）t/a</w:t>
            </w:r>
          </w:p>
        </w:tc>
        <w:tc>
          <w:tcPr>
            <w:tcW w:w="856" w:type="pct"/>
            <w:gridSpan w:val="3"/>
            <w:shd w:val="clear" w:color="auto" w:fill="auto"/>
            <w:vAlign w:val="center"/>
          </w:tcPr>
          <w:p w14:paraId="677AC33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VOCs：（）t/a</w:t>
            </w:r>
          </w:p>
        </w:tc>
      </w:tr>
      <w:tr w14:paraId="74D9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8"/>
            <w:shd w:val="clear" w:color="auto" w:fill="auto"/>
            <w:vAlign w:val="center"/>
          </w:tcPr>
          <w:p w14:paraId="5CF66DA9">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注：</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为勾选项，填</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为内容填写项</w:t>
            </w:r>
          </w:p>
        </w:tc>
      </w:tr>
    </w:tbl>
    <w:p w14:paraId="640F2104">
      <w:pPr>
        <w:pStyle w:val="3"/>
        <w:spacing w:before="156" w:after="156"/>
        <w:rPr>
          <w:rFonts w:ascii="Times New Roman" w:hAnsi="Times New Roman" w:cs="Times New Roman"/>
          <w:color w:val="000000" w:themeColor="text1"/>
          <w14:textFill>
            <w14:solidFill>
              <w14:schemeClr w14:val="tx1"/>
            </w14:solidFill>
          </w14:textFill>
        </w:rPr>
      </w:pPr>
      <w:bookmarkStart w:id="477" w:name="_Toc187675426"/>
      <w:r>
        <w:rPr>
          <w:rFonts w:ascii="Times New Roman" w:hAnsi="Times New Roman" w:cs="Times New Roman"/>
          <w:color w:val="000000" w:themeColor="text1"/>
          <w14:textFill>
            <w14:solidFill>
              <w14:schemeClr w14:val="tx1"/>
            </w14:solidFill>
          </w14:textFill>
        </w:rPr>
        <w:t>5.3声环境影响预测与评价</w:t>
      </w:r>
      <w:bookmarkEnd w:id="474"/>
      <w:bookmarkEnd w:id="475"/>
      <w:bookmarkEnd w:id="477"/>
    </w:p>
    <w:p w14:paraId="33727E14">
      <w:pPr>
        <w:pStyle w:val="4"/>
        <w:spacing w:before="156" w:after="156"/>
        <w:rPr>
          <w:rFonts w:ascii="Times New Roman" w:hAnsi="Times New Roman" w:cs="Times New Roman"/>
          <w:color w:val="000000" w:themeColor="text1"/>
          <w:sz w:val="30"/>
          <w:szCs w:val="30"/>
          <w14:textFill>
            <w14:solidFill>
              <w14:schemeClr w14:val="tx1"/>
            </w14:solidFill>
          </w14:textFill>
        </w:rPr>
      </w:pPr>
      <w:bookmarkStart w:id="478" w:name="_Toc97464660"/>
      <w:bookmarkStart w:id="479" w:name="_Toc98413555"/>
      <w:bookmarkStart w:id="480" w:name="_Toc34989594"/>
      <w:bookmarkStart w:id="481" w:name="_Toc57826755"/>
      <w:bookmarkStart w:id="482" w:name="_Toc98414237"/>
      <w:r>
        <w:rPr>
          <w:rFonts w:ascii="Times New Roman" w:hAnsi="Times New Roman" w:cs="Times New Roman"/>
          <w:color w:val="000000" w:themeColor="text1"/>
          <w:sz w:val="30"/>
          <w:szCs w:val="30"/>
          <w14:textFill>
            <w14:solidFill>
              <w14:schemeClr w14:val="tx1"/>
            </w14:solidFill>
          </w14:textFill>
        </w:rPr>
        <w:t>5.3.1施工期声环境影响预测与评价</w:t>
      </w:r>
      <w:bookmarkEnd w:id="478"/>
      <w:bookmarkEnd w:id="479"/>
      <w:bookmarkEnd w:id="480"/>
      <w:bookmarkEnd w:id="481"/>
      <w:bookmarkEnd w:id="482"/>
    </w:p>
    <w:p w14:paraId="4A5BA71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bookmarkStart w:id="483" w:name="_Toc491045004"/>
      <w:r>
        <w:rPr>
          <w:rFonts w:ascii="Times New Roman" w:hAnsi="Times New Roman" w:cs="Times New Roman"/>
          <w:snapToGrid w:val="0"/>
          <w:color w:val="000000" w:themeColor="text1"/>
          <w:lang w:val="zh-CN"/>
          <w14:textFill>
            <w14:solidFill>
              <w14:schemeClr w14:val="tx1"/>
            </w14:solidFill>
          </w14:textFill>
        </w:rPr>
        <w:t>（1）公路施工噪声源强</w:t>
      </w:r>
    </w:p>
    <w:p w14:paraId="392732A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公路建设施工阶段的噪声主要来自于施工过程中施工机械和运输车辆产生的噪声，具有噪声大、无规律的特点，它对外界环境的影响是暂时的，随施工结束而消失。《环境影响评价技术导则 公路建设项目》（HJ1358-2024）附录D表D.1工程机械噪声源强（最大值）和表D.2沥青混凝土搅拌机噪声源强（最大值），见</w:t>
      </w:r>
      <w:bookmarkStart w:id="484" w:name="_Hlk172217522"/>
      <w:r>
        <w:rPr>
          <w:rFonts w:ascii="Times New Roman" w:hAnsi="Times New Roman" w:cs="Times New Roman"/>
          <w:snapToGrid w:val="0"/>
          <w:color w:val="000000" w:themeColor="text1"/>
          <w:lang w:val="zh-CN"/>
          <w14:textFill>
            <w14:solidFill>
              <w14:schemeClr w14:val="tx1"/>
            </w14:solidFill>
          </w14:textFill>
        </w:rPr>
        <w:t>表5.3-1、表5.3-2</w:t>
      </w:r>
      <w:bookmarkEnd w:id="484"/>
      <w:r>
        <w:rPr>
          <w:rFonts w:ascii="Times New Roman" w:hAnsi="Times New Roman" w:cs="Times New Roman"/>
          <w:snapToGrid w:val="0"/>
          <w:color w:val="000000" w:themeColor="text1"/>
          <w:lang w:val="zh-CN"/>
          <w14:textFill>
            <w14:solidFill>
              <w14:schemeClr w14:val="tx1"/>
            </w14:solidFill>
          </w14:textFill>
        </w:rPr>
        <w:t>。</w:t>
      </w:r>
    </w:p>
    <w:p w14:paraId="2FCEAA60">
      <w:pPr>
        <w:pStyle w:val="22"/>
        <w:adjustRightInd w:val="0"/>
        <w:snapToGrid w:val="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表5.3-1  </w:t>
      </w:r>
      <w:r>
        <w:rPr>
          <w:rFonts w:ascii="Times New Roman" w:hAnsi="Times New Roman" w:cs="Times New Roman"/>
          <w:bCs/>
          <w:color w:val="000000" w:themeColor="text1"/>
          <w:sz w:val="24"/>
          <w:szCs w:val="24"/>
          <w14:textFill>
            <w14:solidFill>
              <w14:schemeClr w14:val="tx1"/>
            </w14:solidFill>
          </w14:textFill>
        </w:rPr>
        <w:t xml:space="preserve">公路施工机械设备声级最大值及范围  </w:t>
      </w:r>
      <w:r>
        <w:rPr>
          <w:rFonts w:ascii="Times New Roman" w:hAnsi="Times New Roman" w:cs="Times New Roman"/>
          <w:color w:val="000000" w:themeColor="text1"/>
          <w:sz w:val="24"/>
          <w:szCs w:val="24"/>
          <w14:textFill>
            <w14:solidFill>
              <w14:schemeClr w14:val="tx1"/>
            </w14:solidFill>
          </w14:textFill>
        </w:rPr>
        <w:t>单位：dB（A）</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4254"/>
        <w:gridCol w:w="2838"/>
      </w:tblGrid>
      <w:tr w14:paraId="7EBE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266AF4D3">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2494" w:type="pct"/>
            <w:vAlign w:val="center"/>
          </w:tcPr>
          <w:p w14:paraId="703F1539">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机械设备</w:t>
            </w:r>
          </w:p>
        </w:tc>
        <w:tc>
          <w:tcPr>
            <w:tcW w:w="1664" w:type="pct"/>
            <w:vAlign w:val="center"/>
          </w:tcPr>
          <w:p w14:paraId="3F1E0BFE">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距离声源5m</w:t>
            </w:r>
          </w:p>
        </w:tc>
      </w:tr>
      <w:tr w14:paraId="0260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799DB643">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w:t>
            </w:r>
          </w:p>
        </w:tc>
        <w:tc>
          <w:tcPr>
            <w:tcW w:w="2494" w:type="pct"/>
            <w:vAlign w:val="center"/>
          </w:tcPr>
          <w:p w14:paraId="326612AA">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液压挖掘机</w:t>
            </w:r>
          </w:p>
        </w:tc>
        <w:tc>
          <w:tcPr>
            <w:tcW w:w="1664" w:type="pct"/>
            <w:vAlign w:val="center"/>
          </w:tcPr>
          <w:p w14:paraId="10E6D402">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w:t>
            </w:r>
          </w:p>
        </w:tc>
      </w:tr>
      <w:tr w14:paraId="5522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3BA48D00">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p>
        </w:tc>
        <w:tc>
          <w:tcPr>
            <w:tcW w:w="2494" w:type="pct"/>
            <w:vAlign w:val="center"/>
          </w:tcPr>
          <w:p w14:paraId="32C1FDA3">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电动挖掘机</w:t>
            </w:r>
          </w:p>
        </w:tc>
        <w:tc>
          <w:tcPr>
            <w:tcW w:w="1664" w:type="pct"/>
            <w:vAlign w:val="center"/>
          </w:tcPr>
          <w:p w14:paraId="572C2F61">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86</w:t>
            </w:r>
          </w:p>
        </w:tc>
      </w:tr>
      <w:tr w14:paraId="307A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26F8E4DA">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w:t>
            </w:r>
          </w:p>
        </w:tc>
        <w:tc>
          <w:tcPr>
            <w:tcW w:w="2494" w:type="pct"/>
            <w:vAlign w:val="center"/>
          </w:tcPr>
          <w:p w14:paraId="35704A0D">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轮式装载机</w:t>
            </w:r>
          </w:p>
        </w:tc>
        <w:tc>
          <w:tcPr>
            <w:tcW w:w="1664" w:type="pct"/>
            <w:vAlign w:val="center"/>
          </w:tcPr>
          <w:p w14:paraId="2FD599CF">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95</w:t>
            </w:r>
          </w:p>
        </w:tc>
      </w:tr>
      <w:tr w14:paraId="7199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61BA5839">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w:t>
            </w:r>
          </w:p>
        </w:tc>
        <w:tc>
          <w:tcPr>
            <w:tcW w:w="2494" w:type="pct"/>
            <w:vAlign w:val="center"/>
          </w:tcPr>
          <w:p w14:paraId="44D75C3F">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推土机</w:t>
            </w:r>
          </w:p>
        </w:tc>
        <w:tc>
          <w:tcPr>
            <w:tcW w:w="1664" w:type="pct"/>
            <w:vAlign w:val="center"/>
          </w:tcPr>
          <w:p w14:paraId="14FAB90D">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88</w:t>
            </w:r>
          </w:p>
        </w:tc>
      </w:tr>
      <w:tr w14:paraId="1875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38E22986">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5</w:t>
            </w:r>
          </w:p>
        </w:tc>
        <w:tc>
          <w:tcPr>
            <w:tcW w:w="2494" w:type="pct"/>
            <w:vAlign w:val="center"/>
          </w:tcPr>
          <w:p w14:paraId="575FD385">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移动式发电机</w:t>
            </w:r>
          </w:p>
        </w:tc>
        <w:tc>
          <w:tcPr>
            <w:tcW w:w="1664" w:type="pct"/>
            <w:vAlign w:val="center"/>
          </w:tcPr>
          <w:p w14:paraId="124266FE">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102</w:t>
            </w:r>
          </w:p>
        </w:tc>
      </w:tr>
      <w:tr w14:paraId="7026A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7AEB4532">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p>
        </w:tc>
        <w:tc>
          <w:tcPr>
            <w:tcW w:w="2494" w:type="pct"/>
            <w:vAlign w:val="center"/>
          </w:tcPr>
          <w:p w14:paraId="2ECA8148">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各类压路机</w:t>
            </w:r>
          </w:p>
        </w:tc>
        <w:tc>
          <w:tcPr>
            <w:tcW w:w="1664" w:type="pct"/>
            <w:vAlign w:val="center"/>
          </w:tcPr>
          <w:p w14:paraId="29CE7336">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w:t>
            </w:r>
          </w:p>
        </w:tc>
      </w:tr>
      <w:tr w14:paraId="095C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14D8FC36">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p>
        </w:tc>
        <w:tc>
          <w:tcPr>
            <w:tcW w:w="2494" w:type="pct"/>
            <w:vAlign w:val="center"/>
          </w:tcPr>
          <w:p w14:paraId="63505358">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木工电锯</w:t>
            </w:r>
          </w:p>
        </w:tc>
        <w:tc>
          <w:tcPr>
            <w:tcW w:w="1664" w:type="pct"/>
            <w:vAlign w:val="center"/>
          </w:tcPr>
          <w:p w14:paraId="1B9A4BDC">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99</w:t>
            </w:r>
          </w:p>
        </w:tc>
      </w:tr>
      <w:tr w14:paraId="7AD9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4EAA04EE">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w:t>
            </w:r>
          </w:p>
        </w:tc>
        <w:tc>
          <w:tcPr>
            <w:tcW w:w="2494" w:type="pct"/>
            <w:vAlign w:val="center"/>
          </w:tcPr>
          <w:p w14:paraId="6B8C00D7">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电锤</w:t>
            </w:r>
          </w:p>
        </w:tc>
        <w:tc>
          <w:tcPr>
            <w:tcW w:w="1664" w:type="pct"/>
            <w:vAlign w:val="center"/>
          </w:tcPr>
          <w:p w14:paraId="750924E6">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105</w:t>
            </w:r>
          </w:p>
        </w:tc>
      </w:tr>
      <w:tr w14:paraId="030E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vAlign w:val="center"/>
          </w:tcPr>
          <w:p w14:paraId="0557F44C">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w:t>
            </w:r>
          </w:p>
        </w:tc>
        <w:tc>
          <w:tcPr>
            <w:tcW w:w="2494" w:type="pct"/>
            <w:vAlign w:val="center"/>
          </w:tcPr>
          <w:p w14:paraId="1A43C893">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振动夯锤</w:t>
            </w:r>
          </w:p>
        </w:tc>
        <w:tc>
          <w:tcPr>
            <w:tcW w:w="1664" w:type="pct"/>
            <w:vAlign w:val="center"/>
          </w:tcPr>
          <w:p w14:paraId="35727563">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100</w:t>
            </w:r>
          </w:p>
        </w:tc>
      </w:tr>
      <w:tr w14:paraId="0CE9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50737787">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10</w:t>
            </w:r>
          </w:p>
        </w:tc>
        <w:tc>
          <w:tcPr>
            <w:tcW w:w="2494" w:type="pct"/>
          </w:tcPr>
          <w:p w14:paraId="78BD5414">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打桩机</w:t>
            </w:r>
          </w:p>
        </w:tc>
        <w:tc>
          <w:tcPr>
            <w:tcW w:w="1664" w:type="pct"/>
          </w:tcPr>
          <w:p w14:paraId="124F728A">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110</w:t>
            </w:r>
          </w:p>
        </w:tc>
      </w:tr>
      <w:tr w14:paraId="2571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7EB3C2AB">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w:t>
            </w:r>
          </w:p>
        </w:tc>
        <w:tc>
          <w:tcPr>
            <w:tcW w:w="2494" w:type="pct"/>
          </w:tcPr>
          <w:p w14:paraId="51402902">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静力压桩机</w:t>
            </w:r>
          </w:p>
        </w:tc>
        <w:tc>
          <w:tcPr>
            <w:tcW w:w="1664" w:type="pct"/>
          </w:tcPr>
          <w:p w14:paraId="25721A8E">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75</w:t>
            </w:r>
          </w:p>
        </w:tc>
      </w:tr>
      <w:tr w14:paraId="05E1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0C1B68DC">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w:t>
            </w:r>
          </w:p>
        </w:tc>
        <w:tc>
          <w:tcPr>
            <w:tcW w:w="2494" w:type="pct"/>
          </w:tcPr>
          <w:p w14:paraId="129265FD">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风镐</w:t>
            </w:r>
          </w:p>
        </w:tc>
        <w:tc>
          <w:tcPr>
            <w:tcW w:w="1664" w:type="pct"/>
          </w:tcPr>
          <w:p w14:paraId="155F58E1">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92</w:t>
            </w:r>
          </w:p>
        </w:tc>
      </w:tr>
      <w:tr w14:paraId="265E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33E7184C">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w:t>
            </w:r>
          </w:p>
        </w:tc>
        <w:tc>
          <w:tcPr>
            <w:tcW w:w="2494" w:type="pct"/>
          </w:tcPr>
          <w:p w14:paraId="439BF7EC">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混凝土输送泵</w:t>
            </w:r>
          </w:p>
        </w:tc>
        <w:tc>
          <w:tcPr>
            <w:tcW w:w="1664" w:type="pct"/>
          </w:tcPr>
          <w:p w14:paraId="5182EA2E">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95</w:t>
            </w:r>
          </w:p>
        </w:tc>
      </w:tr>
      <w:tr w14:paraId="03E7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1E9A358A">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w:t>
            </w:r>
          </w:p>
        </w:tc>
        <w:tc>
          <w:tcPr>
            <w:tcW w:w="2494" w:type="pct"/>
          </w:tcPr>
          <w:p w14:paraId="1D04B9C4">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商砼搅拌车</w:t>
            </w:r>
          </w:p>
        </w:tc>
        <w:tc>
          <w:tcPr>
            <w:tcW w:w="1664" w:type="pct"/>
          </w:tcPr>
          <w:p w14:paraId="59574461">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90</w:t>
            </w:r>
          </w:p>
        </w:tc>
      </w:tr>
      <w:tr w14:paraId="207D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57FF174D">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p>
        </w:tc>
        <w:tc>
          <w:tcPr>
            <w:tcW w:w="2494" w:type="pct"/>
          </w:tcPr>
          <w:p w14:paraId="702DC913">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混凝土振捣器</w:t>
            </w:r>
          </w:p>
        </w:tc>
        <w:tc>
          <w:tcPr>
            <w:tcW w:w="1664" w:type="pct"/>
          </w:tcPr>
          <w:p w14:paraId="2787D185">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88</w:t>
            </w:r>
          </w:p>
        </w:tc>
      </w:tr>
      <w:tr w14:paraId="121F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0D6E4151">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w:t>
            </w:r>
          </w:p>
        </w:tc>
        <w:tc>
          <w:tcPr>
            <w:tcW w:w="2494" w:type="pct"/>
          </w:tcPr>
          <w:p w14:paraId="59CC71F4">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云石机、角磨机</w:t>
            </w:r>
          </w:p>
        </w:tc>
        <w:tc>
          <w:tcPr>
            <w:tcW w:w="1664" w:type="pct"/>
          </w:tcPr>
          <w:p w14:paraId="133C79F5">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96</w:t>
            </w:r>
          </w:p>
        </w:tc>
      </w:tr>
      <w:tr w14:paraId="59DD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 w:type="pct"/>
          </w:tcPr>
          <w:p w14:paraId="575CD1D7">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w:t>
            </w:r>
          </w:p>
        </w:tc>
        <w:tc>
          <w:tcPr>
            <w:tcW w:w="2494" w:type="pct"/>
          </w:tcPr>
          <w:p w14:paraId="1EEAFFB2">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空压机</w:t>
            </w:r>
          </w:p>
        </w:tc>
        <w:tc>
          <w:tcPr>
            <w:tcW w:w="1664" w:type="pct"/>
          </w:tcPr>
          <w:p w14:paraId="38601A4B">
            <w:pPr>
              <w:widowControl w:val="0"/>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92</w:t>
            </w:r>
          </w:p>
        </w:tc>
      </w:tr>
    </w:tbl>
    <w:p w14:paraId="2262685B">
      <w:pPr>
        <w:spacing w:line="360" w:lineRule="auto"/>
        <w:jc w:val="center"/>
        <w:rPr>
          <w:rFonts w:ascii="黑体" w:hAnsi="黑体" w:eastAsia="黑体" w:cs="Times New Roman"/>
          <w:snapToGrid w:val="0"/>
          <w:color w:val="000000" w:themeColor="text1"/>
          <w:lang w:val="zh-CN"/>
          <w14:textFill>
            <w14:solidFill>
              <w14:schemeClr w14:val="tx1"/>
            </w14:solidFill>
          </w14:textFill>
        </w:rPr>
      </w:pPr>
      <w:r>
        <w:rPr>
          <w:rFonts w:ascii="黑体" w:hAnsi="黑体" w:eastAsia="黑体" w:cs="Times New Roman"/>
          <w:snapToGrid w:val="0"/>
          <w:color w:val="000000" w:themeColor="text1"/>
          <w:lang w:val="zh-CN"/>
          <w14:textFill>
            <w14:solidFill>
              <w14:schemeClr w14:val="tx1"/>
            </w14:solidFill>
          </w14:textFill>
        </w:rPr>
        <w:t>表5.3-2  沥青混凝土搅拌机噪声源强</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312"/>
        <w:gridCol w:w="2620"/>
        <w:gridCol w:w="1835"/>
      </w:tblGrid>
      <w:tr w14:paraId="40B8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344A39F6">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序号</w:t>
            </w:r>
          </w:p>
        </w:tc>
        <w:tc>
          <w:tcPr>
            <w:tcW w:w="1942" w:type="pct"/>
            <w:vAlign w:val="center"/>
          </w:tcPr>
          <w:p w14:paraId="1E9E501C">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搅拌机型号</w:t>
            </w:r>
          </w:p>
        </w:tc>
        <w:tc>
          <w:tcPr>
            <w:tcW w:w="1536" w:type="pct"/>
            <w:vAlign w:val="center"/>
          </w:tcPr>
          <w:p w14:paraId="3A740F6C">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测点距施工机械距离（m）</w:t>
            </w:r>
          </w:p>
        </w:tc>
        <w:tc>
          <w:tcPr>
            <w:tcW w:w="1076" w:type="pct"/>
            <w:vAlign w:val="center"/>
          </w:tcPr>
          <w:p w14:paraId="1180867E">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最大声级</w:t>
            </w:r>
          </w:p>
          <w:p w14:paraId="0AB4449A">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Lmax[dB（A）]</w:t>
            </w:r>
          </w:p>
        </w:tc>
      </w:tr>
      <w:tr w14:paraId="4780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vAlign w:val="center"/>
          </w:tcPr>
          <w:p w14:paraId="00B70C29">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1</w:t>
            </w:r>
          </w:p>
        </w:tc>
        <w:tc>
          <w:tcPr>
            <w:tcW w:w="1942" w:type="pct"/>
            <w:vAlign w:val="center"/>
          </w:tcPr>
          <w:p w14:paraId="095A2F81">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LB30型（西筑）</w:t>
            </w:r>
          </w:p>
        </w:tc>
        <w:tc>
          <w:tcPr>
            <w:tcW w:w="1536" w:type="pct"/>
            <w:vAlign w:val="center"/>
          </w:tcPr>
          <w:p w14:paraId="63DD1A97">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2</w:t>
            </w:r>
          </w:p>
        </w:tc>
        <w:tc>
          <w:tcPr>
            <w:tcW w:w="1076" w:type="pct"/>
            <w:vAlign w:val="center"/>
          </w:tcPr>
          <w:p w14:paraId="3451F713">
            <w:pPr>
              <w:widowControl w:val="0"/>
              <w:jc w:val="center"/>
              <w:rPr>
                <w:rFonts w:ascii="Times New Roman" w:hAnsi="Times New Roman" w:cs="Times New Roman"/>
                <w:snapToGrid w:val="0"/>
                <w:color w:val="000000" w:themeColor="text1"/>
                <w:sz w:val="21"/>
                <w:szCs w:val="18"/>
                <w:lang w:val="zh-CN"/>
                <w14:textFill>
                  <w14:solidFill>
                    <w14:schemeClr w14:val="tx1"/>
                  </w14:solidFill>
                </w14:textFill>
              </w:rPr>
            </w:pPr>
            <w:r>
              <w:rPr>
                <w:rFonts w:ascii="Times New Roman" w:hAnsi="Times New Roman" w:cs="Times New Roman"/>
                <w:snapToGrid w:val="0"/>
                <w:color w:val="000000" w:themeColor="text1"/>
                <w:sz w:val="21"/>
                <w:szCs w:val="18"/>
                <w:lang w:val="zh-CN"/>
                <w14:textFill>
                  <w14:solidFill>
                    <w14:schemeClr w14:val="tx1"/>
                  </w14:solidFill>
                </w14:textFill>
              </w:rPr>
              <w:t>90</w:t>
            </w:r>
          </w:p>
        </w:tc>
      </w:tr>
    </w:tbl>
    <w:p w14:paraId="21CBA88E">
      <w:pPr>
        <w:spacing w:line="360" w:lineRule="auto"/>
        <w:ind w:firstLine="480" w:firstLineChars="200"/>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（2）影响预测模式</w:t>
      </w:r>
    </w:p>
    <w:p w14:paraId="1D0E1A38">
      <w:pPr>
        <w:spacing w:line="360" w:lineRule="auto"/>
        <w:ind w:firstLine="480" w:firstLineChars="200"/>
        <w:rPr>
          <w:rFonts w:ascii="Times New Roman" w:hAnsi="Times New Roman" w:cs="Times New Roman"/>
          <w:snapToGrid w:val="0"/>
          <w:color w:val="00B050"/>
        </w:rPr>
      </w:pPr>
      <w:r>
        <w:rPr>
          <w:rFonts w:ascii="Times New Roman" w:hAnsi="Times New Roman" w:cs="Times New Roman"/>
          <w:color w:val="000000" w:themeColor="text1"/>
          <w14:textFill>
            <w14:solidFill>
              <w14:schemeClr w14:val="tx1"/>
            </w14:solidFill>
          </w14:textFill>
        </w:rPr>
        <w:t>根据《环境影响评价技术导则 公路建设项目》（HJ1358-2024），</w:t>
      </w:r>
      <w:r>
        <w:rPr>
          <w:rFonts w:ascii="Times New Roman" w:hAnsi="Times New Roman" w:cs="Times New Roman"/>
          <w:snapToGrid w:val="0"/>
          <w:color w:val="000000" w:themeColor="text1"/>
          <w14:textFill>
            <w14:solidFill>
              <w14:schemeClr w14:val="tx1"/>
            </w14:solidFill>
          </w14:textFill>
        </w:rPr>
        <w:t>施工机械均按点声源计，其对保护目标的影响按公式（1）计算：</w:t>
      </w:r>
    </w:p>
    <w:p w14:paraId="41108686">
      <w:pPr>
        <w:spacing w:line="360" w:lineRule="auto"/>
        <w:ind w:firstLine="480" w:firstLineChars="200"/>
        <w:jc w:val="right"/>
        <w:rPr>
          <w:rFonts w:ascii="Times New Roman" w:hAnsi="Times New Roman" w:cs="Times New Roman"/>
          <w:snapToGrid w:val="0"/>
          <w:color w:val="00B050"/>
        </w:rPr>
      </w:pPr>
      <w:r>
        <w:rPr>
          <w:rFonts w:ascii="Times New Roman" w:hAnsi="Times New Roman" w:cs="Times New Roman"/>
          <w:color w:val="00B050"/>
        </w:rPr>
        <w:drawing>
          <wp:inline distT="0" distB="0" distL="0" distR="0">
            <wp:extent cx="1371600" cy="5181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2"/>
                    <a:stretch>
                      <a:fillRect/>
                    </a:stretch>
                  </pic:blipFill>
                  <pic:spPr>
                    <a:xfrm>
                      <a:off x="0" y="0"/>
                      <a:ext cx="1390709" cy="525699"/>
                    </a:xfrm>
                    <a:prstGeom prst="rect">
                      <a:avLst/>
                    </a:prstGeom>
                  </pic:spPr>
                </pic:pic>
              </a:graphicData>
            </a:graphic>
          </wp:inline>
        </w:drawing>
      </w:r>
      <w:r>
        <w:rPr>
          <w:rFonts w:ascii="Times New Roman" w:hAnsi="Times New Roman" w:cs="Times New Roman"/>
          <w:snapToGrid w:val="0"/>
          <w:color w:val="00B050"/>
        </w:rPr>
        <w:t xml:space="preserve">                      （1）</w:t>
      </w:r>
    </w:p>
    <w:p w14:paraId="320594A7">
      <w:pPr>
        <w:spacing w:line="360" w:lineRule="auto"/>
        <w:ind w:firstLine="480"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式中：</w:t>
      </w:r>
      <w:r>
        <w:rPr>
          <w:rFonts w:ascii="Times New Roman" w:hAnsi="Times New Roman" w:cs="Times New Roman"/>
          <w:snapToGrid w:val="0"/>
          <w:color w:val="000000" w:themeColor="text1"/>
          <w14:textFill>
            <w14:solidFill>
              <w14:schemeClr w14:val="tx1"/>
            </w14:solidFill>
          </w14:textFill>
        </w:rPr>
        <w:tab/>
      </w:r>
      <w:r>
        <w:rPr>
          <w:rFonts w:ascii="Times New Roman" w:hAnsi="Times New Roman" w:cs="Times New Roman"/>
          <w:i/>
          <w:iCs/>
          <w:snapToGrid w:val="0"/>
          <w:color w:val="000000" w:themeColor="text1"/>
          <w14:textFill>
            <w14:solidFill>
              <w14:schemeClr w14:val="tx1"/>
            </w14:solidFill>
          </w14:textFill>
        </w:rPr>
        <w:t>L</w:t>
      </w:r>
      <w:r>
        <w:rPr>
          <w:rFonts w:ascii="Times New Roman" w:hAnsi="Times New Roman" w:cs="Times New Roman"/>
          <w:snapToGrid w:val="0"/>
          <w:color w:val="000000" w:themeColor="text1"/>
          <w:vertAlign w:val="subscript"/>
          <w14:textFill>
            <w14:solidFill>
              <w14:schemeClr w14:val="tx1"/>
            </w14:solidFill>
          </w14:textFill>
        </w:rPr>
        <w:t>i</w:t>
      </w:r>
      <w:r>
        <w:rPr>
          <w:rFonts w:ascii="Times New Roman" w:hAnsi="Times New Roman" w:cs="Times New Roman"/>
          <w:snapToGrid w:val="0"/>
          <w:color w:val="000000" w:themeColor="text1"/>
          <w14:textFill>
            <w14:solidFill>
              <w14:schemeClr w14:val="tx1"/>
            </w14:solidFill>
          </w14:textFill>
        </w:rPr>
        <w:t>——预测点处的声压级，dB(A)；</w:t>
      </w:r>
    </w:p>
    <w:p w14:paraId="1B249992">
      <w:pPr>
        <w:spacing w:line="360" w:lineRule="auto"/>
        <w:ind w:left="780" w:firstLine="480"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i/>
          <w:iCs/>
          <w:snapToGrid w:val="0"/>
          <w:color w:val="000000" w:themeColor="text1"/>
          <w14:textFill>
            <w14:solidFill>
              <w14:schemeClr w14:val="tx1"/>
            </w14:solidFill>
          </w14:textFill>
        </w:rPr>
        <w:t>L</w:t>
      </w:r>
      <w:r>
        <w:rPr>
          <w:rFonts w:ascii="Times New Roman" w:hAnsi="Times New Roman" w:cs="Times New Roman"/>
          <w:snapToGrid w:val="0"/>
          <w:color w:val="000000" w:themeColor="text1"/>
          <w:vertAlign w:val="subscript"/>
          <w14:textFill>
            <w14:solidFill>
              <w14:schemeClr w14:val="tx1"/>
            </w14:solidFill>
          </w14:textFill>
        </w:rPr>
        <w:t>0</w:t>
      </w:r>
      <w:r>
        <w:rPr>
          <w:rFonts w:ascii="Times New Roman" w:hAnsi="Times New Roman" w:cs="Times New Roman"/>
          <w:snapToGrid w:val="0"/>
          <w:color w:val="000000" w:themeColor="text1"/>
          <w14:textFill>
            <w14:solidFill>
              <w14:schemeClr w14:val="tx1"/>
            </w14:solidFill>
          </w14:textFill>
        </w:rPr>
        <w:t>——参照点处的声压级，dB(A)，参照</w:t>
      </w:r>
      <w:r>
        <w:rPr>
          <w:rFonts w:ascii="Times New Roman" w:hAnsi="Times New Roman" w:cs="Times New Roman"/>
          <w:color w:val="000000" w:themeColor="text1"/>
          <w14:textFill>
            <w14:solidFill>
              <w14:schemeClr w14:val="tx1"/>
            </w14:solidFill>
          </w14:textFill>
        </w:rPr>
        <w:t>表5.3-1</w:t>
      </w:r>
      <w:r>
        <w:rPr>
          <w:rFonts w:ascii="Times New Roman" w:hAnsi="Times New Roman" w:cs="Times New Roman"/>
          <w:snapToGrid w:val="0"/>
          <w:color w:val="000000" w:themeColor="text1"/>
          <w14:textFill>
            <w14:solidFill>
              <w14:schemeClr w14:val="tx1"/>
            </w14:solidFill>
          </w14:textFill>
        </w:rPr>
        <w:t>确定；</w:t>
      </w:r>
    </w:p>
    <w:p w14:paraId="662433C7">
      <w:pPr>
        <w:spacing w:line="360" w:lineRule="auto"/>
        <w:ind w:left="780" w:firstLine="480"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i/>
          <w:iCs/>
          <w:snapToGrid w:val="0"/>
          <w:color w:val="000000" w:themeColor="text1"/>
          <w14:textFill>
            <w14:solidFill>
              <w14:schemeClr w14:val="tx1"/>
            </w14:solidFill>
          </w14:textFill>
        </w:rPr>
        <w:t>r</w:t>
      </w:r>
      <w:r>
        <w:rPr>
          <w:rFonts w:ascii="Times New Roman" w:hAnsi="Times New Roman" w:cs="Times New Roman"/>
          <w:snapToGrid w:val="0"/>
          <w:color w:val="000000" w:themeColor="text1"/>
          <w:vertAlign w:val="subscript"/>
          <w14:textFill>
            <w14:solidFill>
              <w14:schemeClr w14:val="tx1"/>
            </w14:solidFill>
          </w14:textFill>
        </w:rPr>
        <w:t>i</w:t>
      </w:r>
      <w:r>
        <w:rPr>
          <w:rFonts w:ascii="Times New Roman" w:hAnsi="Times New Roman" w:cs="Times New Roman"/>
          <w:snapToGrid w:val="0"/>
          <w:color w:val="000000" w:themeColor="text1"/>
          <w14:textFill>
            <w14:solidFill>
              <w14:schemeClr w14:val="tx1"/>
            </w14:solidFill>
          </w14:textFill>
        </w:rPr>
        <w:t>——预测点距声源的距离，m；</w:t>
      </w:r>
    </w:p>
    <w:p w14:paraId="15E34CE9">
      <w:pPr>
        <w:spacing w:line="360" w:lineRule="auto"/>
        <w:ind w:left="780" w:firstLine="480"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i/>
          <w:iCs/>
          <w:snapToGrid w:val="0"/>
          <w:color w:val="000000" w:themeColor="text1"/>
          <w14:textFill>
            <w14:solidFill>
              <w14:schemeClr w14:val="tx1"/>
            </w14:solidFill>
          </w14:textFill>
        </w:rPr>
        <w:t>r</w:t>
      </w:r>
      <w:r>
        <w:rPr>
          <w:rFonts w:ascii="Times New Roman" w:hAnsi="Times New Roman" w:cs="Times New Roman"/>
          <w:snapToGrid w:val="0"/>
          <w:color w:val="000000" w:themeColor="text1"/>
          <w:vertAlign w:val="subscript"/>
          <w14:textFill>
            <w14:solidFill>
              <w14:schemeClr w14:val="tx1"/>
            </w14:solidFill>
          </w14:textFill>
        </w:rPr>
        <w:t>0</w:t>
      </w:r>
      <w:r>
        <w:rPr>
          <w:rFonts w:ascii="Times New Roman" w:hAnsi="Times New Roman" w:cs="Times New Roman"/>
          <w:snapToGrid w:val="0"/>
          <w:color w:val="000000" w:themeColor="text1"/>
          <w14:textFill>
            <w14:solidFill>
              <w14:schemeClr w14:val="tx1"/>
            </w14:solidFill>
          </w14:textFill>
        </w:rPr>
        <w:t>——参照点距声源的距离，m。</w:t>
      </w:r>
    </w:p>
    <w:p w14:paraId="4C0A4489">
      <w:pPr>
        <w:spacing w:line="360" w:lineRule="auto"/>
        <w:ind w:firstLine="480"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对于多台施工机械对同一保护目标的影响，应进行声级叠加，按公式（2）计算：</w:t>
      </w:r>
    </w:p>
    <w:p w14:paraId="40F416F5">
      <w:pPr>
        <w:spacing w:line="360" w:lineRule="auto"/>
        <w:ind w:firstLine="480" w:firstLineChars="200"/>
        <w:jc w:val="right"/>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1293495" cy="241300"/>
            <wp:effectExtent l="0" t="0" r="1905"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3"/>
                    <a:stretch>
                      <a:fillRect/>
                    </a:stretch>
                  </pic:blipFill>
                  <pic:spPr>
                    <a:xfrm>
                      <a:off x="0" y="0"/>
                      <a:ext cx="1396088" cy="260844"/>
                    </a:xfrm>
                    <a:prstGeom prst="rect">
                      <a:avLst/>
                    </a:prstGeom>
                  </pic:spPr>
                </pic:pic>
              </a:graphicData>
            </a:graphic>
          </wp:inline>
        </w:drawing>
      </w:r>
      <w:r>
        <w:rPr>
          <w:rFonts w:ascii="Times New Roman" w:hAnsi="Times New Roman" w:cs="Times New Roman"/>
          <w:snapToGrid w:val="0"/>
          <w:color w:val="000000" w:themeColor="text1"/>
          <w14:textFill>
            <w14:solidFill>
              <w14:schemeClr w14:val="tx1"/>
            </w14:solidFill>
          </w14:textFill>
        </w:rPr>
        <w:t xml:space="preserve">                  （2）</w:t>
      </w:r>
    </w:p>
    <w:p w14:paraId="6F219103">
      <w:pPr>
        <w:spacing w:line="360" w:lineRule="auto"/>
        <w:ind w:firstLine="480"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式中：</w:t>
      </w:r>
      <w:r>
        <w:rPr>
          <w:rFonts w:ascii="Times New Roman" w:hAnsi="Times New Roman" w:cs="Times New Roman"/>
          <w:snapToGrid w:val="0"/>
          <w:color w:val="000000" w:themeColor="text1"/>
          <w14:textFill>
            <w14:solidFill>
              <w14:schemeClr w14:val="tx1"/>
            </w14:solidFill>
          </w14:textFill>
        </w:rPr>
        <w:tab/>
      </w:r>
      <w:r>
        <w:rPr>
          <w:rFonts w:ascii="Times New Roman" w:hAnsi="Times New Roman" w:cs="Times New Roman"/>
          <w:i/>
          <w:iCs/>
          <w:snapToGrid w:val="0"/>
          <w:color w:val="000000" w:themeColor="text1"/>
          <w14:textFill>
            <w14:solidFill>
              <w14:schemeClr w14:val="tx1"/>
            </w14:solidFill>
          </w14:textFill>
        </w:rPr>
        <w:t>L</w:t>
      </w:r>
      <w:r>
        <w:rPr>
          <w:rFonts w:ascii="Times New Roman" w:hAnsi="Times New Roman" w:cs="Times New Roman"/>
          <w:snapToGrid w:val="0"/>
          <w:color w:val="000000" w:themeColor="text1"/>
          <w14:textFill>
            <w14:solidFill>
              <w14:schemeClr w14:val="tx1"/>
            </w14:solidFill>
          </w14:textFill>
        </w:rPr>
        <w:t>——多台施工机械在保护目标处叠加的声压级，dB(A)；</w:t>
      </w:r>
    </w:p>
    <w:p w14:paraId="75C52263">
      <w:pPr>
        <w:spacing w:line="360" w:lineRule="auto"/>
        <w:ind w:left="780" w:firstLine="480" w:firstLineChars="200"/>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i/>
          <w:iCs/>
          <w:snapToGrid w:val="0"/>
          <w:color w:val="000000" w:themeColor="text1"/>
          <w14:textFill>
            <w14:solidFill>
              <w14:schemeClr w14:val="tx1"/>
            </w14:solidFill>
          </w14:textFill>
        </w:rPr>
        <w:t>L</w:t>
      </w:r>
      <w:r>
        <w:rPr>
          <w:rFonts w:ascii="Times New Roman" w:hAnsi="Times New Roman" w:cs="Times New Roman"/>
          <w:snapToGrid w:val="0"/>
          <w:color w:val="000000" w:themeColor="text1"/>
          <w14:textFill>
            <w14:solidFill>
              <w14:schemeClr w14:val="tx1"/>
            </w14:solidFill>
          </w14:textFill>
        </w:rPr>
        <w:t>i——第</w:t>
      </w:r>
      <w:r>
        <w:rPr>
          <w:rFonts w:ascii="Times New Roman" w:hAnsi="Times New Roman" w:cs="Times New Roman"/>
          <w:i/>
          <w:iCs/>
          <w:snapToGrid w:val="0"/>
          <w:color w:val="000000" w:themeColor="text1"/>
          <w14:textFill>
            <w14:solidFill>
              <w14:schemeClr w14:val="tx1"/>
            </w14:solidFill>
          </w14:textFill>
        </w:rPr>
        <w:t>i</w:t>
      </w:r>
      <w:r>
        <w:rPr>
          <w:rFonts w:ascii="Times New Roman" w:hAnsi="Times New Roman" w:cs="Times New Roman"/>
          <w:snapToGrid w:val="0"/>
          <w:color w:val="000000" w:themeColor="text1"/>
          <w14:textFill>
            <w14:solidFill>
              <w14:schemeClr w14:val="tx1"/>
            </w14:solidFill>
          </w14:textFill>
        </w:rPr>
        <w:t>台施工机械在保护目标处的声压级，dB(A)。</w:t>
      </w:r>
    </w:p>
    <w:p w14:paraId="26C52B60">
      <w:pPr>
        <w:spacing w:line="360" w:lineRule="auto"/>
        <w:ind w:firstLine="480" w:firstLineChars="200"/>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（3）预测结果</w:t>
      </w:r>
    </w:p>
    <w:p w14:paraId="751DBBA4">
      <w:pPr>
        <w:spacing w:line="360" w:lineRule="auto"/>
        <w:ind w:firstLine="480" w:firstLineChars="200"/>
        <w:rPr>
          <w:rFonts w:ascii="Times New Roman" w:hAnsi="Times New Roman" w:eastAsia="隶书" w:cs="Times New Roman"/>
          <w:color w:val="000000" w:themeColor="text1"/>
          <w:sz w:val="30"/>
          <w:szCs w:val="30"/>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本工程在各典型施工阶段中多台施工机械组合的情况下，噪声预测值详见表5.3-3。</w:t>
      </w:r>
    </w:p>
    <w:p w14:paraId="49D07CC7">
      <w:pPr>
        <w:ind w:firstLine="643" w:firstLineChars="200"/>
        <w:rPr>
          <w:rFonts w:ascii="Times New Roman" w:hAnsi="Times New Roman" w:cs="Times New Roman"/>
          <w:b/>
          <w:bCs/>
          <w:color w:val="000000" w:themeColor="text1"/>
          <w:sz w:val="32"/>
          <w14:textFill>
            <w14:solidFill>
              <w14:schemeClr w14:val="tx1"/>
            </w14:solidFill>
          </w14:textFill>
        </w:rPr>
        <w:sectPr>
          <w:pgSz w:w="11906" w:h="16838"/>
          <w:pgMar w:top="1440" w:right="1797" w:bottom="1440" w:left="1797" w:header="794" w:footer="850" w:gutter="0"/>
          <w:cols w:space="720" w:num="1"/>
          <w:docGrid w:type="lines" w:linePitch="312" w:charSpace="0"/>
        </w:sectPr>
      </w:pPr>
    </w:p>
    <w:p w14:paraId="784C2180">
      <w:pPr>
        <w:spacing w:line="360" w:lineRule="auto"/>
        <w:jc w:val="center"/>
        <w:rPr>
          <w:rFonts w:ascii="黑体" w:hAnsi="黑体" w:eastAsia="黑体" w:cs="Times New Roman"/>
          <w:color w:val="000000" w:themeColor="text1"/>
          <w:sz w:val="30"/>
          <w:szCs w:val="30"/>
          <w14:textFill>
            <w14:solidFill>
              <w14:schemeClr w14:val="tx1"/>
            </w14:solidFill>
          </w14:textFill>
        </w:rPr>
      </w:pPr>
      <w:r>
        <w:rPr>
          <w:rFonts w:ascii="黑体" w:hAnsi="黑体" w:eastAsia="黑体" w:cs="Times New Roman"/>
          <w:bCs/>
          <w:color w:val="000000" w:themeColor="text1"/>
          <w14:textFill>
            <w14:solidFill>
              <w14:schemeClr w14:val="tx1"/>
            </w14:solidFill>
          </w14:textFill>
        </w:rPr>
        <w:t>表5.3</w:t>
      </w:r>
      <w:r>
        <w:rPr>
          <w:rFonts w:ascii="黑体" w:hAnsi="黑体" w:eastAsia="黑体" w:cs="Times New Roman"/>
          <w:bCs/>
          <w:color w:val="000000" w:themeColor="text1"/>
          <w14:textFill>
            <w14:solidFill>
              <w14:schemeClr w14:val="tx1"/>
            </w14:solidFill>
          </w14:textFill>
        </w:rPr>
        <w:noBreakHyphen/>
      </w:r>
      <w:r>
        <w:rPr>
          <w:rFonts w:ascii="黑体" w:hAnsi="黑体" w:eastAsia="黑体" w:cs="Times New Roman"/>
          <w:bCs/>
          <w:color w:val="000000" w:themeColor="text1"/>
          <w14:textFill>
            <w14:solidFill>
              <w14:schemeClr w14:val="tx1"/>
            </w14:solidFill>
          </w14:textFill>
        </w:rPr>
        <w:t>3  各施工阶段多台施工机械组合噪声预测值  单位：dB(A)</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127"/>
        <w:gridCol w:w="2326"/>
        <w:gridCol w:w="503"/>
        <w:gridCol w:w="557"/>
        <w:gridCol w:w="558"/>
        <w:gridCol w:w="558"/>
        <w:gridCol w:w="558"/>
        <w:gridCol w:w="654"/>
        <w:gridCol w:w="654"/>
        <w:gridCol w:w="654"/>
        <w:gridCol w:w="654"/>
        <w:gridCol w:w="654"/>
        <w:gridCol w:w="504"/>
        <w:gridCol w:w="504"/>
        <w:gridCol w:w="504"/>
        <w:gridCol w:w="504"/>
        <w:gridCol w:w="763"/>
        <w:gridCol w:w="763"/>
      </w:tblGrid>
      <w:tr w14:paraId="1475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0" w:type="auto"/>
            <w:gridSpan w:val="2"/>
            <w:vMerge w:val="restart"/>
            <w:shd w:val="clear" w:color="auto" w:fill="auto"/>
            <w:noWrap/>
            <w:vAlign w:val="center"/>
          </w:tcPr>
          <w:p w14:paraId="1BAE272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施工阶</w:t>
            </w:r>
          </w:p>
        </w:tc>
        <w:tc>
          <w:tcPr>
            <w:tcW w:w="0" w:type="auto"/>
            <w:vMerge w:val="restart"/>
            <w:shd w:val="clear" w:color="auto" w:fill="auto"/>
            <w:noWrap/>
            <w:vAlign w:val="center"/>
          </w:tcPr>
          <w:p w14:paraId="0320121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机械类型</w:t>
            </w:r>
          </w:p>
        </w:tc>
        <w:tc>
          <w:tcPr>
            <w:tcW w:w="0" w:type="auto"/>
            <w:gridSpan w:val="14"/>
            <w:shd w:val="clear" w:color="auto" w:fill="auto"/>
            <w:noWrap/>
            <w:vAlign w:val="center"/>
          </w:tcPr>
          <w:p w14:paraId="7AFD83BD">
            <w:pPr>
              <w:spacing w:line="240" w:lineRule="exact"/>
              <w:jc w:val="center"/>
              <w:rPr>
                <w:rFonts w:ascii="Times New Roman" w:hAnsi="Times New Roman" w:cs="Times New Roman"/>
                <w:color w:val="000000" w:themeColor="text1"/>
                <w:sz w:val="20"/>
                <w:szCs w:val="21"/>
                <w:highlight w:val="red"/>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与设备距离</w:t>
            </w:r>
          </w:p>
        </w:tc>
        <w:tc>
          <w:tcPr>
            <w:tcW w:w="0" w:type="auto"/>
            <w:gridSpan w:val="2"/>
            <w:shd w:val="clear" w:color="auto" w:fill="auto"/>
            <w:noWrap/>
            <w:vAlign w:val="center"/>
          </w:tcPr>
          <w:p w14:paraId="6AB3F2C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达标距离（m）</w:t>
            </w:r>
          </w:p>
        </w:tc>
      </w:tr>
      <w:tr w14:paraId="1567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0" w:type="auto"/>
            <w:gridSpan w:val="2"/>
            <w:vMerge w:val="continue"/>
            <w:vAlign w:val="center"/>
          </w:tcPr>
          <w:p w14:paraId="00634D21">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7C9290D3">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vAlign w:val="center"/>
          </w:tcPr>
          <w:p w14:paraId="1DCAE47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5m</w:t>
            </w:r>
          </w:p>
        </w:tc>
        <w:tc>
          <w:tcPr>
            <w:tcW w:w="0" w:type="auto"/>
            <w:shd w:val="clear" w:color="auto" w:fill="auto"/>
            <w:vAlign w:val="center"/>
          </w:tcPr>
          <w:p w14:paraId="0BAA999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10m</w:t>
            </w:r>
          </w:p>
        </w:tc>
        <w:tc>
          <w:tcPr>
            <w:tcW w:w="0" w:type="auto"/>
            <w:shd w:val="clear" w:color="auto" w:fill="auto"/>
            <w:vAlign w:val="center"/>
          </w:tcPr>
          <w:p w14:paraId="2AD32E3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20m</w:t>
            </w:r>
          </w:p>
        </w:tc>
        <w:tc>
          <w:tcPr>
            <w:tcW w:w="0" w:type="auto"/>
            <w:shd w:val="clear" w:color="auto" w:fill="auto"/>
            <w:vAlign w:val="center"/>
          </w:tcPr>
          <w:p w14:paraId="029FDCB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40m</w:t>
            </w:r>
          </w:p>
        </w:tc>
        <w:tc>
          <w:tcPr>
            <w:tcW w:w="0" w:type="auto"/>
            <w:shd w:val="clear" w:color="auto" w:fill="auto"/>
            <w:vAlign w:val="center"/>
          </w:tcPr>
          <w:p w14:paraId="49E2A32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50m</w:t>
            </w:r>
          </w:p>
        </w:tc>
        <w:tc>
          <w:tcPr>
            <w:tcW w:w="0" w:type="auto"/>
            <w:shd w:val="clear" w:color="auto" w:fill="auto"/>
            <w:vAlign w:val="center"/>
          </w:tcPr>
          <w:p w14:paraId="16991C9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100m</w:t>
            </w:r>
          </w:p>
        </w:tc>
        <w:tc>
          <w:tcPr>
            <w:tcW w:w="0" w:type="auto"/>
            <w:shd w:val="clear" w:color="auto" w:fill="auto"/>
            <w:vAlign w:val="center"/>
          </w:tcPr>
          <w:p w14:paraId="0AEB3B3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150m</w:t>
            </w:r>
          </w:p>
        </w:tc>
        <w:tc>
          <w:tcPr>
            <w:tcW w:w="0" w:type="auto"/>
            <w:shd w:val="clear" w:color="auto" w:fill="auto"/>
            <w:vAlign w:val="center"/>
          </w:tcPr>
          <w:p w14:paraId="7D4B0C0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200m</w:t>
            </w:r>
          </w:p>
        </w:tc>
        <w:tc>
          <w:tcPr>
            <w:tcW w:w="0" w:type="auto"/>
            <w:shd w:val="clear" w:color="auto" w:fill="auto"/>
            <w:vAlign w:val="center"/>
          </w:tcPr>
          <w:p w14:paraId="4318ABE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300m</w:t>
            </w:r>
          </w:p>
        </w:tc>
        <w:tc>
          <w:tcPr>
            <w:tcW w:w="0" w:type="auto"/>
            <w:shd w:val="clear" w:color="auto" w:fill="auto"/>
            <w:vAlign w:val="center"/>
          </w:tcPr>
          <w:p w14:paraId="24887F0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400m</w:t>
            </w:r>
          </w:p>
        </w:tc>
        <w:tc>
          <w:tcPr>
            <w:tcW w:w="0" w:type="auto"/>
            <w:shd w:val="clear" w:color="auto" w:fill="auto"/>
            <w:noWrap/>
            <w:vAlign w:val="center"/>
          </w:tcPr>
          <w:p w14:paraId="237E513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500</w:t>
            </w:r>
          </w:p>
        </w:tc>
        <w:tc>
          <w:tcPr>
            <w:tcW w:w="0" w:type="auto"/>
            <w:shd w:val="clear" w:color="auto" w:fill="auto"/>
            <w:noWrap/>
            <w:vAlign w:val="center"/>
          </w:tcPr>
          <w:p w14:paraId="3FFF6A4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600</w:t>
            </w:r>
          </w:p>
        </w:tc>
        <w:tc>
          <w:tcPr>
            <w:tcW w:w="0" w:type="auto"/>
            <w:shd w:val="clear" w:color="auto" w:fill="auto"/>
            <w:noWrap/>
            <w:vAlign w:val="center"/>
          </w:tcPr>
          <w:p w14:paraId="449BF1F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700</w:t>
            </w:r>
          </w:p>
        </w:tc>
        <w:tc>
          <w:tcPr>
            <w:tcW w:w="0" w:type="auto"/>
            <w:shd w:val="clear" w:color="auto" w:fill="auto"/>
            <w:noWrap/>
            <w:vAlign w:val="center"/>
          </w:tcPr>
          <w:p w14:paraId="2D9E6CF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800</w:t>
            </w:r>
          </w:p>
        </w:tc>
        <w:tc>
          <w:tcPr>
            <w:tcW w:w="0" w:type="auto"/>
            <w:shd w:val="clear" w:color="auto" w:fill="auto"/>
            <w:noWrap/>
            <w:vAlign w:val="center"/>
          </w:tcPr>
          <w:p w14:paraId="31C7309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昼间</w:t>
            </w:r>
          </w:p>
        </w:tc>
        <w:tc>
          <w:tcPr>
            <w:tcW w:w="0" w:type="auto"/>
            <w:shd w:val="clear" w:color="auto" w:fill="auto"/>
            <w:noWrap/>
            <w:vAlign w:val="center"/>
          </w:tcPr>
          <w:p w14:paraId="419F400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夜间</w:t>
            </w:r>
          </w:p>
        </w:tc>
      </w:tr>
      <w:tr w14:paraId="3D18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restart"/>
            <w:shd w:val="clear" w:color="auto" w:fill="auto"/>
            <w:noWrap/>
            <w:vAlign w:val="center"/>
          </w:tcPr>
          <w:p w14:paraId="3AE4F9B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hint="eastAsia"/>
                <w:color w:val="000000" w:themeColor="text1"/>
                <w:sz w:val="20"/>
                <w:szCs w:val="21"/>
                <w14:textFill>
                  <w14:solidFill>
                    <w14:schemeClr w14:val="tx1"/>
                  </w14:solidFill>
                </w14:textFill>
              </w:rPr>
              <w:t>①</w:t>
            </w:r>
            <w:r>
              <w:rPr>
                <w:rFonts w:ascii="Times New Roman" w:hAnsi="Times New Roman" w:cs="Times New Roman"/>
                <w:color w:val="000000" w:themeColor="text1"/>
                <w:sz w:val="20"/>
                <w:szCs w:val="21"/>
                <w14:textFill>
                  <w14:solidFill>
                    <w14:schemeClr w14:val="tx1"/>
                  </w14:solidFill>
                </w14:textFill>
              </w:rPr>
              <w:t>基础施工</w:t>
            </w:r>
          </w:p>
        </w:tc>
        <w:tc>
          <w:tcPr>
            <w:tcW w:w="0" w:type="auto"/>
            <w:vMerge w:val="restart"/>
            <w:shd w:val="clear" w:color="auto" w:fill="auto"/>
            <w:noWrap/>
            <w:vAlign w:val="center"/>
          </w:tcPr>
          <w:p w14:paraId="7D4C332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a.路基施工</w:t>
            </w:r>
          </w:p>
        </w:tc>
        <w:tc>
          <w:tcPr>
            <w:tcW w:w="0" w:type="auto"/>
            <w:shd w:val="clear" w:color="auto" w:fill="auto"/>
            <w:noWrap/>
            <w:vAlign w:val="center"/>
          </w:tcPr>
          <w:p w14:paraId="6F54157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液压挖掘机</w:t>
            </w:r>
          </w:p>
        </w:tc>
        <w:tc>
          <w:tcPr>
            <w:tcW w:w="0" w:type="auto"/>
            <w:shd w:val="clear" w:color="auto" w:fill="auto"/>
            <w:noWrap/>
            <w:vAlign w:val="center"/>
          </w:tcPr>
          <w:p w14:paraId="07C7970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w:t>
            </w:r>
          </w:p>
        </w:tc>
        <w:tc>
          <w:tcPr>
            <w:tcW w:w="0" w:type="auto"/>
            <w:shd w:val="clear" w:color="auto" w:fill="auto"/>
            <w:noWrap/>
            <w:vAlign w:val="center"/>
          </w:tcPr>
          <w:p w14:paraId="0EF893B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84</w:t>
            </w:r>
          </w:p>
        </w:tc>
        <w:tc>
          <w:tcPr>
            <w:tcW w:w="0" w:type="auto"/>
            <w:shd w:val="clear" w:color="auto" w:fill="auto"/>
            <w:noWrap/>
            <w:vAlign w:val="center"/>
          </w:tcPr>
          <w:p w14:paraId="7147E6F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6E73710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5DC3424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26D17A1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4D45092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6C7D571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1F81F39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576B3F4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4867429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3C724C6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07E927E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47</w:t>
            </w:r>
          </w:p>
        </w:tc>
        <w:tc>
          <w:tcPr>
            <w:tcW w:w="0" w:type="auto"/>
            <w:shd w:val="clear" w:color="auto" w:fill="auto"/>
            <w:noWrap/>
            <w:vAlign w:val="center"/>
          </w:tcPr>
          <w:p w14:paraId="16AD0D7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46</w:t>
            </w:r>
          </w:p>
        </w:tc>
        <w:tc>
          <w:tcPr>
            <w:tcW w:w="0" w:type="auto"/>
            <w:shd w:val="clear" w:color="auto" w:fill="auto"/>
            <w:noWrap/>
            <w:vAlign w:val="center"/>
          </w:tcPr>
          <w:p w14:paraId="07EA05F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37F4958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300</w:t>
            </w:r>
          </w:p>
        </w:tc>
      </w:tr>
      <w:tr w14:paraId="3750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60AF3A87">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3D654561">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7123692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轮式装载机</w:t>
            </w:r>
          </w:p>
        </w:tc>
        <w:tc>
          <w:tcPr>
            <w:tcW w:w="0" w:type="auto"/>
            <w:shd w:val="clear" w:color="auto" w:fill="auto"/>
            <w:noWrap/>
            <w:vAlign w:val="center"/>
          </w:tcPr>
          <w:p w14:paraId="768547D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95</w:t>
            </w:r>
          </w:p>
        </w:tc>
        <w:tc>
          <w:tcPr>
            <w:tcW w:w="0" w:type="auto"/>
            <w:shd w:val="clear" w:color="auto" w:fill="auto"/>
            <w:noWrap/>
            <w:vAlign w:val="center"/>
          </w:tcPr>
          <w:p w14:paraId="7221108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89</w:t>
            </w:r>
          </w:p>
        </w:tc>
        <w:tc>
          <w:tcPr>
            <w:tcW w:w="0" w:type="auto"/>
            <w:shd w:val="clear" w:color="auto" w:fill="auto"/>
            <w:noWrap/>
            <w:vAlign w:val="center"/>
          </w:tcPr>
          <w:p w14:paraId="7984627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83</w:t>
            </w:r>
          </w:p>
        </w:tc>
        <w:tc>
          <w:tcPr>
            <w:tcW w:w="0" w:type="auto"/>
            <w:shd w:val="clear" w:color="auto" w:fill="auto"/>
            <w:noWrap/>
            <w:vAlign w:val="center"/>
          </w:tcPr>
          <w:p w14:paraId="66C22B1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77</w:t>
            </w:r>
          </w:p>
        </w:tc>
        <w:tc>
          <w:tcPr>
            <w:tcW w:w="0" w:type="auto"/>
            <w:shd w:val="clear" w:color="auto" w:fill="auto"/>
            <w:noWrap/>
            <w:vAlign w:val="center"/>
          </w:tcPr>
          <w:p w14:paraId="41FC3D0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75</w:t>
            </w:r>
          </w:p>
        </w:tc>
        <w:tc>
          <w:tcPr>
            <w:tcW w:w="0" w:type="auto"/>
            <w:shd w:val="clear" w:color="auto" w:fill="auto"/>
            <w:noWrap/>
            <w:vAlign w:val="center"/>
          </w:tcPr>
          <w:p w14:paraId="04BDA19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69</w:t>
            </w:r>
          </w:p>
        </w:tc>
        <w:tc>
          <w:tcPr>
            <w:tcW w:w="0" w:type="auto"/>
            <w:shd w:val="clear" w:color="auto" w:fill="auto"/>
            <w:noWrap/>
            <w:vAlign w:val="center"/>
          </w:tcPr>
          <w:p w14:paraId="79EDD1B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65</w:t>
            </w:r>
          </w:p>
        </w:tc>
        <w:tc>
          <w:tcPr>
            <w:tcW w:w="0" w:type="auto"/>
            <w:shd w:val="clear" w:color="auto" w:fill="auto"/>
            <w:noWrap/>
            <w:vAlign w:val="center"/>
          </w:tcPr>
          <w:p w14:paraId="3394010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63</w:t>
            </w:r>
          </w:p>
        </w:tc>
        <w:tc>
          <w:tcPr>
            <w:tcW w:w="0" w:type="auto"/>
            <w:shd w:val="clear" w:color="auto" w:fill="auto"/>
            <w:noWrap/>
            <w:vAlign w:val="center"/>
          </w:tcPr>
          <w:p w14:paraId="4FF71F7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59</w:t>
            </w:r>
          </w:p>
        </w:tc>
        <w:tc>
          <w:tcPr>
            <w:tcW w:w="0" w:type="auto"/>
            <w:shd w:val="clear" w:color="auto" w:fill="auto"/>
            <w:noWrap/>
            <w:vAlign w:val="center"/>
          </w:tcPr>
          <w:p w14:paraId="567ED02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57</w:t>
            </w:r>
          </w:p>
        </w:tc>
        <w:tc>
          <w:tcPr>
            <w:tcW w:w="0" w:type="auto"/>
            <w:shd w:val="clear" w:color="auto" w:fill="auto"/>
            <w:noWrap/>
            <w:vAlign w:val="center"/>
          </w:tcPr>
          <w:p w14:paraId="5A0348C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55</w:t>
            </w:r>
          </w:p>
        </w:tc>
        <w:tc>
          <w:tcPr>
            <w:tcW w:w="0" w:type="auto"/>
            <w:shd w:val="clear" w:color="auto" w:fill="auto"/>
            <w:noWrap/>
            <w:vAlign w:val="center"/>
          </w:tcPr>
          <w:p w14:paraId="4B0C868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53</w:t>
            </w:r>
          </w:p>
        </w:tc>
        <w:tc>
          <w:tcPr>
            <w:tcW w:w="0" w:type="auto"/>
            <w:shd w:val="clear" w:color="auto" w:fill="auto"/>
            <w:noWrap/>
            <w:vAlign w:val="center"/>
          </w:tcPr>
          <w:p w14:paraId="3A921A1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1200133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51</w:t>
            </w:r>
          </w:p>
        </w:tc>
        <w:tc>
          <w:tcPr>
            <w:tcW w:w="0" w:type="auto"/>
            <w:shd w:val="clear" w:color="auto" w:fill="auto"/>
            <w:noWrap/>
            <w:vAlign w:val="center"/>
          </w:tcPr>
          <w:p w14:paraId="27EEE30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100</w:t>
            </w:r>
          </w:p>
        </w:tc>
        <w:tc>
          <w:tcPr>
            <w:tcW w:w="0" w:type="auto"/>
            <w:shd w:val="clear" w:color="auto" w:fill="auto"/>
            <w:noWrap/>
            <w:vAlign w:val="center"/>
          </w:tcPr>
          <w:p w14:paraId="1289460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500</w:t>
            </w:r>
          </w:p>
        </w:tc>
      </w:tr>
      <w:tr w14:paraId="5E7F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29FF8F54">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4C2A641A">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114F2A7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推土机</w:t>
            </w:r>
          </w:p>
        </w:tc>
        <w:tc>
          <w:tcPr>
            <w:tcW w:w="0" w:type="auto"/>
            <w:shd w:val="clear" w:color="auto" w:fill="auto"/>
            <w:noWrap/>
            <w:vAlign w:val="center"/>
          </w:tcPr>
          <w:p w14:paraId="251BE13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88</w:t>
            </w:r>
          </w:p>
        </w:tc>
        <w:tc>
          <w:tcPr>
            <w:tcW w:w="0" w:type="auto"/>
            <w:shd w:val="clear" w:color="auto" w:fill="auto"/>
            <w:noWrap/>
            <w:vAlign w:val="center"/>
          </w:tcPr>
          <w:p w14:paraId="399C666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82</w:t>
            </w:r>
          </w:p>
        </w:tc>
        <w:tc>
          <w:tcPr>
            <w:tcW w:w="0" w:type="auto"/>
            <w:shd w:val="clear" w:color="auto" w:fill="auto"/>
            <w:noWrap/>
            <w:vAlign w:val="center"/>
          </w:tcPr>
          <w:p w14:paraId="401172A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76</w:t>
            </w:r>
          </w:p>
        </w:tc>
        <w:tc>
          <w:tcPr>
            <w:tcW w:w="0" w:type="auto"/>
            <w:shd w:val="clear" w:color="auto" w:fill="auto"/>
            <w:noWrap/>
            <w:vAlign w:val="center"/>
          </w:tcPr>
          <w:p w14:paraId="7869615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7DC72DA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68</w:t>
            </w:r>
          </w:p>
        </w:tc>
        <w:tc>
          <w:tcPr>
            <w:tcW w:w="0" w:type="auto"/>
            <w:shd w:val="clear" w:color="auto" w:fill="auto"/>
            <w:noWrap/>
            <w:vAlign w:val="center"/>
          </w:tcPr>
          <w:p w14:paraId="5D302A2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62</w:t>
            </w:r>
          </w:p>
        </w:tc>
        <w:tc>
          <w:tcPr>
            <w:tcW w:w="0" w:type="auto"/>
            <w:shd w:val="clear" w:color="auto" w:fill="auto"/>
            <w:noWrap/>
            <w:vAlign w:val="center"/>
          </w:tcPr>
          <w:p w14:paraId="1BCEE29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6AD7269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5AF1A05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02A0155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525ED91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1BBAE2D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46</w:t>
            </w:r>
          </w:p>
        </w:tc>
        <w:tc>
          <w:tcPr>
            <w:tcW w:w="0" w:type="auto"/>
            <w:shd w:val="clear" w:color="auto" w:fill="auto"/>
            <w:noWrap/>
            <w:vAlign w:val="center"/>
          </w:tcPr>
          <w:p w14:paraId="6B9DCF7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45</w:t>
            </w:r>
          </w:p>
        </w:tc>
        <w:tc>
          <w:tcPr>
            <w:tcW w:w="0" w:type="auto"/>
            <w:shd w:val="clear" w:color="auto" w:fill="auto"/>
            <w:noWrap/>
            <w:vAlign w:val="center"/>
          </w:tcPr>
          <w:p w14:paraId="202BDA6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44</w:t>
            </w:r>
          </w:p>
        </w:tc>
        <w:tc>
          <w:tcPr>
            <w:tcW w:w="0" w:type="auto"/>
            <w:shd w:val="clear" w:color="auto" w:fill="auto"/>
            <w:noWrap/>
            <w:vAlign w:val="center"/>
          </w:tcPr>
          <w:p w14:paraId="4D66454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40</w:t>
            </w:r>
          </w:p>
        </w:tc>
        <w:tc>
          <w:tcPr>
            <w:tcW w:w="0" w:type="auto"/>
            <w:shd w:val="clear" w:color="auto" w:fill="auto"/>
            <w:noWrap/>
            <w:vAlign w:val="center"/>
          </w:tcPr>
          <w:p w14:paraId="677DC1C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250</w:t>
            </w:r>
          </w:p>
        </w:tc>
      </w:tr>
      <w:tr w14:paraId="677B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523DA1E6">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2178C3E8">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31005C7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各类压路机</w:t>
            </w:r>
          </w:p>
        </w:tc>
        <w:tc>
          <w:tcPr>
            <w:tcW w:w="0" w:type="auto"/>
            <w:shd w:val="clear" w:color="auto" w:fill="auto"/>
            <w:noWrap/>
            <w:vAlign w:val="center"/>
          </w:tcPr>
          <w:p w14:paraId="75E8427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w:t>
            </w:r>
          </w:p>
        </w:tc>
        <w:tc>
          <w:tcPr>
            <w:tcW w:w="0" w:type="auto"/>
            <w:shd w:val="clear" w:color="auto" w:fill="auto"/>
            <w:noWrap/>
            <w:vAlign w:val="center"/>
          </w:tcPr>
          <w:p w14:paraId="6A4B4F2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84</w:t>
            </w:r>
          </w:p>
        </w:tc>
        <w:tc>
          <w:tcPr>
            <w:tcW w:w="0" w:type="auto"/>
            <w:shd w:val="clear" w:color="auto" w:fill="auto"/>
            <w:noWrap/>
            <w:vAlign w:val="center"/>
          </w:tcPr>
          <w:p w14:paraId="6629AA7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677E9D9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7F712A7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3377B57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12791E4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4B8A416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11FD246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376A5E8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06B95C7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101C87D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3193F15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47</w:t>
            </w:r>
          </w:p>
        </w:tc>
        <w:tc>
          <w:tcPr>
            <w:tcW w:w="0" w:type="auto"/>
            <w:shd w:val="clear" w:color="auto" w:fill="auto"/>
            <w:noWrap/>
            <w:vAlign w:val="center"/>
          </w:tcPr>
          <w:p w14:paraId="139E4CD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46</w:t>
            </w:r>
          </w:p>
        </w:tc>
        <w:tc>
          <w:tcPr>
            <w:tcW w:w="0" w:type="auto"/>
            <w:shd w:val="clear" w:color="auto" w:fill="auto"/>
            <w:noWrap/>
            <w:vAlign w:val="center"/>
          </w:tcPr>
          <w:p w14:paraId="3AF7348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38A6865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300</w:t>
            </w:r>
          </w:p>
        </w:tc>
      </w:tr>
      <w:tr w14:paraId="2E84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0EBC5D80">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6B5BA1FB">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35621A0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多台设备营运噪声预测值</w:t>
            </w:r>
          </w:p>
        </w:tc>
        <w:tc>
          <w:tcPr>
            <w:tcW w:w="0" w:type="auto"/>
            <w:shd w:val="clear" w:color="auto" w:fill="auto"/>
            <w:noWrap/>
            <w:vAlign w:val="center"/>
          </w:tcPr>
          <w:p w14:paraId="0F8CBA7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98</w:t>
            </w:r>
          </w:p>
        </w:tc>
        <w:tc>
          <w:tcPr>
            <w:tcW w:w="0" w:type="auto"/>
            <w:shd w:val="clear" w:color="auto" w:fill="auto"/>
            <w:noWrap/>
            <w:vAlign w:val="center"/>
          </w:tcPr>
          <w:p w14:paraId="24D909E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92</w:t>
            </w:r>
          </w:p>
        </w:tc>
        <w:tc>
          <w:tcPr>
            <w:tcW w:w="0" w:type="auto"/>
            <w:shd w:val="clear" w:color="auto" w:fill="auto"/>
            <w:noWrap/>
            <w:vAlign w:val="center"/>
          </w:tcPr>
          <w:p w14:paraId="355D5A4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86</w:t>
            </w:r>
          </w:p>
        </w:tc>
        <w:tc>
          <w:tcPr>
            <w:tcW w:w="0" w:type="auto"/>
            <w:shd w:val="clear" w:color="auto" w:fill="auto"/>
            <w:noWrap/>
            <w:vAlign w:val="center"/>
          </w:tcPr>
          <w:p w14:paraId="595E1A1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80</w:t>
            </w:r>
          </w:p>
        </w:tc>
        <w:tc>
          <w:tcPr>
            <w:tcW w:w="0" w:type="auto"/>
            <w:shd w:val="clear" w:color="auto" w:fill="auto"/>
            <w:noWrap/>
            <w:vAlign w:val="center"/>
          </w:tcPr>
          <w:p w14:paraId="0A1B76D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5AABD0F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0C7C043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68</w:t>
            </w:r>
          </w:p>
        </w:tc>
        <w:tc>
          <w:tcPr>
            <w:tcW w:w="0" w:type="auto"/>
            <w:shd w:val="clear" w:color="auto" w:fill="auto"/>
            <w:noWrap/>
            <w:vAlign w:val="center"/>
          </w:tcPr>
          <w:p w14:paraId="0CBAC18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66</w:t>
            </w:r>
          </w:p>
        </w:tc>
        <w:tc>
          <w:tcPr>
            <w:tcW w:w="0" w:type="auto"/>
            <w:shd w:val="clear" w:color="auto" w:fill="auto"/>
            <w:noWrap/>
            <w:vAlign w:val="center"/>
          </w:tcPr>
          <w:p w14:paraId="739FCC3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62</w:t>
            </w:r>
          </w:p>
        </w:tc>
        <w:tc>
          <w:tcPr>
            <w:tcW w:w="0" w:type="auto"/>
            <w:shd w:val="clear" w:color="auto" w:fill="auto"/>
            <w:noWrap/>
            <w:vAlign w:val="center"/>
          </w:tcPr>
          <w:p w14:paraId="546AF25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25E0A83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36A2E67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226FD61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55</w:t>
            </w:r>
          </w:p>
        </w:tc>
        <w:tc>
          <w:tcPr>
            <w:tcW w:w="0" w:type="auto"/>
            <w:shd w:val="clear" w:color="auto" w:fill="auto"/>
            <w:noWrap/>
            <w:vAlign w:val="center"/>
          </w:tcPr>
          <w:p w14:paraId="37761EE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498C743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140</w:t>
            </w:r>
          </w:p>
        </w:tc>
        <w:tc>
          <w:tcPr>
            <w:tcW w:w="0" w:type="auto"/>
            <w:shd w:val="clear" w:color="auto" w:fill="auto"/>
            <w:noWrap/>
            <w:vAlign w:val="center"/>
          </w:tcPr>
          <w:p w14:paraId="2C54065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700</w:t>
            </w:r>
          </w:p>
        </w:tc>
      </w:tr>
      <w:tr w14:paraId="670DE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2B7E9D39">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restart"/>
            <w:shd w:val="clear" w:color="auto" w:fill="auto"/>
            <w:noWrap/>
            <w:vAlign w:val="center"/>
          </w:tcPr>
          <w:p w14:paraId="33624AC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b.桥梁施工</w:t>
            </w:r>
          </w:p>
        </w:tc>
        <w:tc>
          <w:tcPr>
            <w:tcW w:w="0" w:type="auto"/>
            <w:shd w:val="clear" w:color="auto" w:fill="auto"/>
            <w:noWrap/>
            <w:vAlign w:val="center"/>
          </w:tcPr>
          <w:p w14:paraId="5CDBA18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静力压桩机</w:t>
            </w:r>
          </w:p>
        </w:tc>
        <w:tc>
          <w:tcPr>
            <w:tcW w:w="0" w:type="auto"/>
            <w:shd w:val="clear" w:color="auto" w:fill="auto"/>
            <w:noWrap/>
            <w:vAlign w:val="center"/>
          </w:tcPr>
          <w:p w14:paraId="70D0FE8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73</w:t>
            </w:r>
          </w:p>
        </w:tc>
        <w:tc>
          <w:tcPr>
            <w:tcW w:w="0" w:type="auto"/>
            <w:shd w:val="clear" w:color="auto" w:fill="auto"/>
            <w:noWrap/>
            <w:vAlign w:val="center"/>
          </w:tcPr>
          <w:p w14:paraId="1CC1614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67</w:t>
            </w:r>
          </w:p>
        </w:tc>
        <w:tc>
          <w:tcPr>
            <w:tcW w:w="0" w:type="auto"/>
            <w:shd w:val="clear" w:color="auto" w:fill="auto"/>
            <w:noWrap/>
            <w:vAlign w:val="center"/>
          </w:tcPr>
          <w:p w14:paraId="41BCB6C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61</w:t>
            </w:r>
          </w:p>
        </w:tc>
        <w:tc>
          <w:tcPr>
            <w:tcW w:w="0" w:type="auto"/>
            <w:shd w:val="clear" w:color="auto" w:fill="auto"/>
            <w:noWrap/>
            <w:vAlign w:val="center"/>
          </w:tcPr>
          <w:p w14:paraId="7FBCEB0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55</w:t>
            </w:r>
          </w:p>
        </w:tc>
        <w:tc>
          <w:tcPr>
            <w:tcW w:w="0" w:type="auto"/>
            <w:shd w:val="clear" w:color="auto" w:fill="auto"/>
            <w:noWrap/>
            <w:vAlign w:val="center"/>
          </w:tcPr>
          <w:p w14:paraId="0D91334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53</w:t>
            </w:r>
          </w:p>
        </w:tc>
        <w:tc>
          <w:tcPr>
            <w:tcW w:w="0" w:type="auto"/>
            <w:shd w:val="clear" w:color="auto" w:fill="auto"/>
            <w:noWrap/>
            <w:vAlign w:val="center"/>
          </w:tcPr>
          <w:p w14:paraId="1667F1A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47</w:t>
            </w:r>
          </w:p>
        </w:tc>
        <w:tc>
          <w:tcPr>
            <w:tcW w:w="0" w:type="auto"/>
            <w:shd w:val="clear" w:color="auto" w:fill="auto"/>
            <w:noWrap/>
            <w:vAlign w:val="center"/>
          </w:tcPr>
          <w:p w14:paraId="2CAE272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43</w:t>
            </w:r>
          </w:p>
        </w:tc>
        <w:tc>
          <w:tcPr>
            <w:tcW w:w="0" w:type="auto"/>
            <w:shd w:val="clear" w:color="auto" w:fill="auto"/>
            <w:noWrap/>
            <w:vAlign w:val="center"/>
          </w:tcPr>
          <w:p w14:paraId="3020BF5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41</w:t>
            </w:r>
          </w:p>
        </w:tc>
        <w:tc>
          <w:tcPr>
            <w:tcW w:w="0" w:type="auto"/>
            <w:shd w:val="clear" w:color="auto" w:fill="auto"/>
            <w:noWrap/>
            <w:vAlign w:val="center"/>
          </w:tcPr>
          <w:p w14:paraId="73591A9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37</w:t>
            </w:r>
          </w:p>
        </w:tc>
        <w:tc>
          <w:tcPr>
            <w:tcW w:w="0" w:type="auto"/>
            <w:shd w:val="clear" w:color="auto" w:fill="auto"/>
            <w:noWrap/>
            <w:vAlign w:val="center"/>
          </w:tcPr>
          <w:p w14:paraId="3C5EC0B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35</w:t>
            </w:r>
          </w:p>
        </w:tc>
        <w:tc>
          <w:tcPr>
            <w:tcW w:w="0" w:type="auto"/>
            <w:shd w:val="clear" w:color="auto" w:fill="auto"/>
            <w:noWrap/>
            <w:vAlign w:val="center"/>
          </w:tcPr>
          <w:p w14:paraId="1A150C6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33</w:t>
            </w:r>
          </w:p>
        </w:tc>
        <w:tc>
          <w:tcPr>
            <w:tcW w:w="0" w:type="auto"/>
            <w:shd w:val="clear" w:color="auto" w:fill="auto"/>
            <w:noWrap/>
            <w:vAlign w:val="center"/>
          </w:tcPr>
          <w:p w14:paraId="348A451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31</w:t>
            </w:r>
          </w:p>
        </w:tc>
        <w:tc>
          <w:tcPr>
            <w:tcW w:w="0" w:type="auto"/>
            <w:shd w:val="clear" w:color="auto" w:fill="auto"/>
            <w:noWrap/>
            <w:vAlign w:val="center"/>
          </w:tcPr>
          <w:p w14:paraId="3788F2C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30</w:t>
            </w:r>
          </w:p>
        </w:tc>
        <w:tc>
          <w:tcPr>
            <w:tcW w:w="0" w:type="auto"/>
            <w:shd w:val="clear" w:color="auto" w:fill="auto"/>
            <w:noWrap/>
            <w:vAlign w:val="center"/>
          </w:tcPr>
          <w:p w14:paraId="1BD7507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29</w:t>
            </w:r>
          </w:p>
        </w:tc>
        <w:tc>
          <w:tcPr>
            <w:tcW w:w="0" w:type="auto"/>
            <w:shd w:val="clear" w:color="auto" w:fill="auto"/>
            <w:noWrap/>
            <w:vAlign w:val="center"/>
          </w:tcPr>
          <w:p w14:paraId="2E37466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10</w:t>
            </w:r>
          </w:p>
        </w:tc>
        <w:tc>
          <w:tcPr>
            <w:tcW w:w="0" w:type="auto"/>
            <w:shd w:val="clear" w:color="auto" w:fill="auto"/>
            <w:noWrap/>
            <w:vAlign w:val="center"/>
          </w:tcPr>
          <w:p w14:paraId="19943DA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40</w:t>
            </w:r>
          </w:p>
        </w:tc>
      </w:tr>
      <w:tr w14:paraId="4AC0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1AB8D527">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3FD5E6CD">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0C0411B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混凝土输送泵</w:t>
            </w:r>
          </w:p>
        </w:tc>
        <w:tc>
          <w:tcPr>
            <w:tcW w:w="0" w:type="auto"/>
            <w:shd w:val="clear" w:color="auto" w:fill="auto"/>
            <w:noWrap/>
            <w:vAlign w:val="center"/>
          </w:tcPr>
          <w:p w14:paraId="1327E7F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95</w:t>
            </w:r>
          </w:p>
        </w:tc>
        <w:tc>
          <w:tcPr>
            <w:tcW w:w="0" w:type="auto"/>
            <w:shd w:val="clear" w:color="auto" w:fill="auto"/>
            <w:noWrap/>
            <w:vAlign w:val="center"/>
          </w:tcPr>
          <w:p w14:paraId="7CFA530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89</w:t>
            </w:r>
          </w:p>
        </w:tc>
        <w:tc>
          <w:tcPr>
            <w:tcW w:w="0" w:type="auto"/>
            <w:shd w:val="clear" w:color="auto" w:fill="auto"/>
            <w:noWrap/>
            <w:vAlign w:val="center"/>
          </w:tcPr>
          <w:p w14:paraId="2A4F45A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83</w:t>
            </w:r>
          </w:p>
        </w:tc>
        <w:tc>
          <w:tcPr>
            <w:tcW w:w="0" w:type="auto"/>
            <w:shd w:val="clear" w:color="auto" w:fill="auto"/>
            <w:noWrap/>
            <w:vAlign w:val="center"/>
          </w:tcPr>
          <w:p w14:paraId="3E2ED32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77</w:t>
            </w:r>
          </w:p>
        </w:tc>
        <w:tc>
          <w:tcPr>
            <w:tcW w:w="0" w:type="auto"/>
            <w:shd w:val="clear" w:color="auto" w:fill="auto"/>
            <w:noWrap/>
            <w:vAlign w:val="center"/>
          </w:tcPr>
          <w:p w14:paraId="2566882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75</w:t>
            </w:r>
          </w:p>
        </w:tc>
        <w:tc>
          <w:tcPr>
            <w:tcW w:w="0" w:type="auto"/>
            <w:shd w:val="clear" w:color="auto" w:fill="auto"/>
            <w:noWrap/>
            <w:vAlign w:val="center"/>
          </w:tcPr>
          <w:p w14:paraId="69833BD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69</w:t>
            </w:r>
          </w:p>
        </w:tc>
        <w:tc>
          <w:tcPr>
            <w:tcW w:w="0" w:type="auto"/>
            <w:shd w:val="clear" w:color="auto" w:fill="auto"/>
            <w:noWrap/>
            <w:vAlign w:val="center"/>
          </w:tcPr>
          <w:p w14:paraId="6A9B1C2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65</w:t>
            </w:r>
          </w:p>
        </w:tc>
        <w:tc>
          <w:tcPr>
            <w:tcW w:w="0" w:type="auto"/>
            <w:shd w:val="clear" w:color="auto" w:fill="auto"/>
            <w:noWrap/>
            <w:vAlign w:val="center"/>
          </w:tcPr>
          <w:p w14:paraId="5B94638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63</w:t>
            </w:r>
          </w:p>
        </w:tc>
        <w:tc>
          <w:tcPr>
            <w:tcW w:w="0" w:type="auto"/>
            <w:shd w:val="clear" w:color="auto" w:fill="auto"/>
            <w:noWrap/>
            <w:vAlign w:val="center"/>
          </w:tcPr>
          <w:p w14:paraId="66BB1DF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59</w:t>
            </w:r>
          </w:p>
        </w:tc>
        <w:tc>
          <w:tcPr>
            <w:tcW w:w="0" w:type="auto"/>
            <w:shd w:val="clear" w:color="auto" w:fill="auto"/>
            <w:noWrap/>
            <w:vAlign w:val="center"/>
          </w:tcPr>
          <w:p w14:paraId="33786F9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57</w:t>
            </w:r>
          </w:p>
        </w:tc>
        <w:tc>
          <w:tcPr>
            <w:tcW w:w="0" w:type="auto"/>
            <w:shd w:val="clear" w:color="auto" w:fill="auto"/>
            <w:noWrap/>
            <w:vAlign w:val="center"/>
          </w:tcPr>
          <w:p w14:paraId="2E5E6AF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55</w:t>
            </w:r>
          </w:p>
        </w:tc>
        <w:tc>
          <w:tcPr>
            <w:tcW w:w="0" w:type="auto"/>
            <w:shd w:val="clear" w:color="auto" w:fill="auto"/>
            <w:noWrap/>
            <w:vAlign w:val="center"/>
          </w:tcPr>
          <w:p w14:paraId="773A87E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53</w:t>
            </w:r>
          </w:p>
        </w:tc>
        <w:tc>
          <w:tcPr>
            <w:tcW w:w="0" w:type="auto"/>
            <w:shd w:val="clear" w:color="auto" w:fill="auto"/>
            <w:noWrap/>
            <w:vAlign w:val="center"/>
          </w:tcPr>
          <w:p w14:paraId="1B7BB02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7320E9A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51</w:t>
            </w:r>
          </w:p>
        </w:tc>
        <w:tc>
          <w:tcPr>
            <w:tcW w:w="0" w:type="auto"/>
            <w:shd w:val="clear" w:color="auto" w:fill="auto"/>
            <w:noWrap/>
            <w:vAlign w:val="center"/>
          </w:tcPr>
          <w:p w14:paraId="50B1B68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100</w:t>
            </w:r>
          </w:p>
        </w:tc>
        <w:tc>
          <w:tcPr>
            <w:tcW w:w="0" w:type="auto"/>
            <w:shd w:val="clear" w:color="auto" w:fill="auto"/>
            <w:noWrap/>
            <w:vAlign w:val="center"/>
          </w:tcPr>
          <w:p w14:paraId="4CB4AF9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500</w:t>
            </w:r>
          </w:p>
        </w:tc>
      </w:tr>
      <w:tr w14:paraId="6B02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432FA462">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15C21B6C">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52A2AD3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商砼搅拌车</w:t>
            </w:r>
          </w:p>
        </w:tc>
        <w:tc>
          <w:tcPr>
            <w:tcW w:w="0" w:type="auto"/>
            <w:shd w:val="clear" w:color="auto" w:fill="auto"/>
            <w:noWrap/>
            <w:vAlign w:val="center"/>
          </w:tcPr>
          <w:p w14:paraId="45DBEC8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w:t>
            </w:r>
          </w:p>
        </w:tc>
        <w:tc>
          <w:tcPr>
            <w:tcW w:w="0" w:type="auto"/>
            <w:shd w:val="clear" w:color="auto" w:fill="auto"/>
            <w:noWrap/>
            <w:vAlign w:val="center"/>
          </w:tcPr>
          <w:p w14:paraId="210EA15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84</w:t>
            </w:r>
          </w:p>
        </w:tc>
        <w:tc>
          <w:tcPr>
            <w:tcW w:w="0" w:type="auto"/>
            <w:shd w:val="clear" w:color="auto" w:fill="auto"/>
            <w:noWrap/>
            <w:vAlign w:val="center"/>
          </w:tcPr>
          <w:p w14:paraId="495017F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20B5242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6038741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70CB39C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3F7363F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48CE3C0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2AE13E0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1E15141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29B1959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1CC5BC9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68E1DAA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47</w:t>
            </w:r>
          </w:p>
        </w:tc>
        <w:tc>
          <w:tcPr>
            <w:tcW w:w="0" w:type="auto"/>
            <w:shd w:val="clear" w:color="auto" w:fill="auto"/>
            <w:noWrap/>
            <w:vAlign w:val="center"/>
          </w:tcPr>
          <w:p w14:paraId="3B8E300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46</w:t>
            </w:r>
          </w:p>
        </w:tc>
        <w:tc>
          <w:tcPr>
            <w:tcW w:w="0" w:type="auto"/>
            <w:shd w:val="clear" w:color="auto" w:fill="auto"/>
            <w:noWrap/>
            <w:vAlign w:val="center"/>
          </w:tcPr>
          <w:p w14:paraId="58D563F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0D6807D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280</w:t>
            </w:r>
          </w:p>
        </w:tc>
      </w:tr>
      <w:tr w14:paraId="4E56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5D8F3037">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59398891">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0F3913A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混凝土振捣器</w:t>
            </w:r>
          </w:p>
        </w:tc>
        <w:tc>
          <w:tcPr>
            <w:tcW w:w="0" w:type="auto"/>
            <w:shd w:val="clear" w:color="auto" w:fill="auto"/>
            <w:noWrap/>
            <w:vAlign w:val="center"/>
          </w:tcPr>
          <w:p w14:paraId="1BB45DA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88</w:t>
            </w:r>
          </w:p>
        </w:tc>
        <w:tc>
          <w:tcPr>
            <w:tcW w:w="0" w:type="auto"/>
            <w:shd w:val="clear" w:color="auto" w:fill="auto"/>
            <w:noWrap/>
            <w:vAlign w:val="center"/>
          </w:tcPr>
          <w:p w14:paraId="717A14B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82</w:t>
            </w:r>
          </w:p>
        </w:tc>
        <w:tc>
          <w:tcPr>
            <w:tcW w:w="0" w:type="auto"/>
            <w:shd w:val="clear" w:color="auto" w:fill="auto"/>
            <w:noWrap/>
            <w:vAlign w:val="center"/>
          </w:tcPr>
          <w:p w14:paraId="737A18D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76</w:t>
            </w:r>
          </w:p>
        </w:tc>
        <w:tc>
          <w:tcPr>
            <w:tcW w:w="0" w:type="auto"/>
            <w:shd w:val="clear" w:color="auto" w:fill="auto"/>
            <w:noWrap/>
            <w:vAlign w:val="center"/>
          </w:tcPr>
          <w:p w14:paraId="2E17878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57B84D3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68</w:t>
            </w:r>
          </w:p>
        </w:tc>
        <w:tc>
          <w:tcPr>
            <w:tcW w:w="0" w:type="auto"/>
            <w:shd w:val="clear" w:color="auto" w:fill="auto"/>
            <w:noWrap/>
            <w:vAlign w:val="center"/>
          </w:tcPr>
          <w:p w14:paraId="54782AA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62</w:t>
            </w:r>
          </w:p>
        </w:tc>
        <w:tc>
          <w:tcPr>
            <w:tcW w:w="0" w:type="auto"/>
            <w:shd w:val="clear" w:color="auto" w:fill="auto"/>
            <w:noWrap/>
            <w:vAlign w:val="center"/>
          </w:tcPr>
          <w:p w14:paraId="2108139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4DE37A8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2AE0EA4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11899AF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6709B28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7A1351A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46</w:t>
            </w:r>
          </w:p>
        </w:tc>
        <w:tc>
          <w:tcPr>
            <w:tcW w:w="0" w:type="auto"/>
            <w:shd w:val="clear" w:color="auto" w:fill="auto"/>
            <w:noWrap/>
            <w:vAlign w:val="center"/>
          </w:tcPr>
          <w:p w14:paraId="5230D86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45</w:t>
            </w:r>
          </w:p>
        </w:tc>
        <w:tc>
          <w:tcPr>
            <w:tcW w:w="0" w:type="auto"/>
            <w:shd w:val="clear" w:color="auto" w:fill="auto"/>
            <w:noWrap/>
            <w:vAlign w:val="center"/>
          </w:tcPr>
          <w:p w14:paraId="36EB963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44</w:t>
            </w:r>
          </w:p>
        </w:tc>
        <w:tc>
          <w:tcPr>
            <w:tcW w:w="0" w:type="auto"/>
            <w:shd w:val="clear" w:color="auto" w:fill="auto"/>
            <w:noWrap/>
            <w:vAlign w:val="center"/>
          </w:tcPr>
          <w:p w14:paraId="06EE231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40</w:t>
            </w:r>
          </w:p>
        </w:tc>
        <w:tc>
          <w:tcPr>
            <w:tcW w:w="0" w:type="auto"/>
            <w:shd w:val="clear" w:color="auto" w:fill="auto"/>
            <w:noWrap/>
            <w:vAlign w:val="center"/>
          </w:tcPr>
          <w:p w14:paraId="78C590F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210</w:t>
            </w:r>
          </w:p>
        </w:tc>
      </w:tr>
      <w:tr w14:paraId="66CF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7894926A">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76C1DAF3">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05F9929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空压机</w:t>
            </w:r>
          </w:p>
        </w:tc>
        <w:tc>
          <w:tcPr>
            <w:tcW w:w="0" w:type="auto"/>
            <w:shd w:val="clear" w:color="auto" w:fill="auto"/>
            <w:noWrap/>
            <w:vAlign w:val="center"/>
          </w:tcPr>
          <w:p w14:paraId="52797D8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92</w:t>
            </w:r>
          </w:p>
        </w:tc>
        <w:tc>
          <w:tcPr>
            <w:tcW w:w="0" w:type="auto"/>
            <w:shd w:val="clear" w:color="auto" w:fill="auto"/>
            <w:noWrap/>
            <w:vAlign w:val="center"/>
          </w:tcPr>
          <w:p w14:paraId="19D07EC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86</w:t>
            </w:r>
          </w:p>
        </w:tc>
        <w:tc>
          <w:tcPr>
            <w:tcW w:w="0" w:type="auto"/>
            <w:shd w:val="clear" w:color="auto" w:fill="auto"/>
            <w:noWrap/>
            <w:vAlign w:val="center"/>
          </w:tcPr>
          <w:p w14:paraId="6E9B712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80</w:t>
            </w:r>
          </w:p>
        </w:tc>
        <w:tc>
          <w:tcPr>
            <w:tcW w:w="0" w:type="auto"/>
            <w:shd w:val="clear" w:color="auto" w:fill="auto"/>
            <w:noWrap/>
            <w:vAlign w:val="center"/>
          </w:tcPr>
          <w:p w14:paraId="5C4FCF9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74</w:t>
            </w:r>
          </w:p>
        </w:tc>
        <w:tc>
          <w:tcPr>
            <w:tcW w:w="0" w:type="auto"/>
            <w:shd w:val="clear" w:color="auto" w:fill="auto"/>
            <w:noWrap/>
            <w:vAlign w:val="center"/>
          </w:tcPr>
          <w:p w14:paraId="7CDC7E9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31F16EC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66</w:t>
            </w:r>
          </w:p>
        </w:tc>
        <w:tc>
          <w:tcPr>
            <w:tcW w:w="0" w:type="auto"/>
            <w:shd w:val="clear" w:color="auto" w:fill="auto"/>
            <w:noWrap/>
            <w:vAlign w:val="center"/>
          </w:tcPr>
          <w:p w14:paraId="16338EF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62</w:t>
            </w:r>
          </w:p>
        </w:tc>
        <w:tc>
          <w:tcPr>
            <w:tcW w:w="0" w:type="auto"/>
            <w:shd w:val="clear" w:color="auto" w:fill="auto"/>
            <w:noWrap/>
            <w:vAlign w:val="center"/>
          </w:tcPr>
          <w:p w14:paraId="52FFE52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3E060F8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098FC25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6B1FFBF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45131E6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0983562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49</w:t>
            </w:r>
          </w:p>
        </w:tc>
        <w:tc>
          <w:tcPr>
            <w:tcW w:w="0" w:type="auto"/>
            <w:shd w:val="clear" w:color="auto" w:fill="auto"/>
            <w:noWrap/>
            <w:vAlign w:val="center"/>
          </w:tcPr>
          <w:p w14:paraId="0E8DCBA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70C9735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7B5AD5F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350</w:t>
            </w:r>
          </w:p>
        </w:tc>
      </w:tr>
      <w:tr w14:paraId="0867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vAlign w:val="center"/>
          </w:tcPr>
          <w:p w14:paraId="4AB6DCEE">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vMerge w:val="continue"/>
            <w:vAlign w:val="center"/>
          </w:tcPr>
          <w:p w14:paraId="64468581">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007C870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多台设备营运噪声预测值</w:t>
            </w:r>
          </w:p>
        </w:tc>
        <w:tc>
          <w:tcPr>
            <w:tcW w:w="0" w:type="auto"/>
            <w:shd w:val="clear" w:color="auto" w:fill="auto"/>
            <w:noWrap/>
            <w:vAlign w:val="center"/>
          </w:tcPr>
          <w:p w14:paraId="4455A16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98</w:t>
            </w:r>
          </w:p>
        </w:tc>
        <w:tc>
          <w:tcPr>
            <w:tcW w:w="0" w:type="auto"/>
            <w:shd w:val="clear" w:color="auto" w:fill="auto"/>
            <w:noWrap/>
            <w:vAlign w:val="center"/>
          </w:tcPr>
          <w:p w14:paraId="241D3E7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92</w:t>
            </w:r>
          </w:p>
        </w:tc>
        <w:tc>
          <w:tcPr>
            <w:tcW w:w="0" w:type="auto"/>
            <w:shd w:val="clear" w:color="auto" w:fill="auto"/>
            <w:noWrap/>
            <w:vAlign w:val="center"/>
          </w:tcPr>
          <w:p w14:paraId="10F3197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86</w:t>
            </w:r>
          </w:p>
        </w:tc>
        <w:tc>
          <w:tcPr>
            <w:tcW w:w="0" w:type="auto"/>
            <w:shd w:val="clear" w:color="auto" w:fill="auto"/>
            <w:noWrap/>
            <w:vAlign w:val="center"/>
          </w:tcPr>
          <w:p w14:paraId="59243B0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80</w:t>
            </w:r>
          </w:p>
        </w:tc>
        <w:tc>
          <w:tcPr>
            <w:tcW w:w="0" w:type="auto"/>
            <w:shd w:val="clear" w:color="auto" w:fill="auto"/>
            <w:noWrap/>
            <w:vAlign w:val="center"/>
          </w:tcPr>
          <w:p w14:paraId="5DF944B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3ECF3EF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2FB01D1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68</w:t>
            </w:r>
          </w:p>
        </w:tc>
        <w:tc>
          <w:tcPr>
            <w:tcW w:w="0" w:type="auto"/>
            <w:shd w:val="clear" w:color="auto" w:fill="auto"/>
            <w:noWrap/>
            <w:vAlign w:val="center"/>
          </w:tcPr>
          <w:p w14:paraId="1258E98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66</w:t>
            </w:r>
          </w:p>
        </w:tc>
        <w:tc>
          <w:tcPr>
            <w:tcW w:w="0" w:type="auto"/>
            <w:shd w:val="clear" w:color="auto" w:fill="auto"/>
            <w:noWrap/>
            <w:vAlign w:val="center"/>
          </w:tcPr>
          <w:p w14:paraId="7802ADC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62</w:t>
            </w:r>
          </w:p>
        </w:tc>
        <w:tc>
          <w:tcPr>
            <w:tcW w:w="0" w:type="auto"/>
            <w:shd w:val="clear" w:color="auto" w:fill="auto"/>
            <w:noWrap/>
            <w:vAlign w:val="center"/>
          </w:tcPr>
          <w:p w14:paraId="19D1F38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26775C8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4C25778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5466DFF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55</w:t>
            </w:r>
          </w:p>
        </w:tc>
        <w:tc>
          <w:tcPr>
            <w:tcW w:w="0" w:type="auto"/>
            <w:shd w:val="clear" w:color="auto" w:fill="auto"/>
            <w:noWrap/>
            <w:vAlign w:val="center"/>
          </w:tcPr>
          <w:p w14:paraId="09A9E3F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559C26A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130</w:t>
            </w:r>
          </w:p>
        </w:tc>
        <w:tc>
          <w:tcPr>
            <w:tcW w:w="0" w:type="auto"/>
            <w:shd w:val="clear" w:color="auto" w:fill="auto"/>
            <w:noWrap/>
            <w:vAlign w:val="center"/>
          </w:tcPr>
          <w:p w14:paraId="62844C1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700</w:t>
            </w:r>
          </w:p>
        </w:tc>
      </w:tr>
      <w:tr w14:paraId="3776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restart"/>
            <w:shd w:val="clear" w:color="auto" w:fill="auto"/>
            <w:noWrap/>
            <w:vAlign w:val="center"/>
          </w:tcPr>
          <w:p w14:paraId="087C6B0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hint="eastAsia"/>
                <w:color w:val="000000" w:themeColor="text1"/>
                <w:sz w:val="20"/>
                <w:szCs w:val="21"/>
                <w14:textFill>
                  <w14:solidFill>
                    <w14:schemeClr w14:val="tx1"/>
                  </w14:solidFill>
                </w14:textFill>
              </w:rPr>
              <w:t>②</w:t>
            </w:r>
            <w:r>
              <w:rPr>
                <w:rFonts w:ascii="Times New Roman" w:hAnsi="Times New Roman" w:cs="Times New Roman"/>
                <w:color w:val="000000" w:themeColor="text1"/>
                <w:sz w:val="20"/>
                <w:szCs w:val="21"/>
                <w14:textFill>
                  <w14:solidFill>
                    <w14:schemeClr w14:val="tx1"/>
                  </w14:solidFill>
                </w14:textFill>
              </w:rPr>
              <w:t>路面施工</w:t>
            </w:r>
          </w:p>
        </w:tc>
        <w:tc>
          <w:tcPr>
            <w:tcW w:w="0" w:type="auto"/>
            <w:shd w:val="clear" w:color="auto" w:fill="auto"/>
            <w:noWrap/>
            <w:vAlign w:val="center"/>
          </w:tcPr>
          <w:p w14:paraId="28220E8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沥青混凝土搅拌机</w:t>
            </w:r>
          </w:p>
        </w:tc>
        <w:tc>
          <w:tcPr>
            <w:tcW w:w="0" w:type="auto"/>
            <w:shd w:val="clear" w:color="auto" w:fill="auto"/>
            <w:noWrap/>
            <w:vAlign w:val="center"/>
          </w:tcPr>
          <w:p w14:paraId="3D954DD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w:t>
            </w:r>
          </w:p>
        </w:tc>
        <w:tc>
          <w:tcPr>
            <w:tcW w:w="0" w:type="auto"/>
            <w:shd w:val="clear" w:color="auto" w:fill="auto"/>
            <w:noWrap/>
            <w:vAlign w:val="center"/>
          </w:tcPr>
          <w:p w14:paraId="23D79B9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84</w:t>
            </w:r>
          </w:p>
        </w:tc>
        <w:tc>
          <w:tcPr>
            <w:tcW w:w="0" w:type="auto"/>
            <w:shd w:val="clear" w:color="auto" w:fill="auto"/>
            <w:noWrap/>
            <w:vAlign w:val="center"/>
          </w:tcPr>
          <w:p w14:paraId="217937C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425D255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0A6EF50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5DBA75F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554B701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4A17545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7C0BFD8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7309EF0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5F24727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1447B6E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1E4102A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47</w:t>
            </w:r>
          </w:p>
        </w:tc>
        <w:tc>
          <w:tcPr>
            <w:tcW w:w="0" w:type="auto"/>
            <w:shd w:val="clear" w:color="auto" w:fill="auto"/>
            <w:noWrap/>
            <w:vAlign w:val="center"/>
          </w:tcPr>
          <w:p w14:paraId="3F0EA93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46</w:t>
            </w:r>
          </w:p>
        </w:tc>
        <w:tc>
          <w:tcPr>
            <w:tcW w:w="0" w:type="auto"/>
            <w:shd w:val="clear" w:color="auto" w:fill="auto"/>
            <w:noWrap/>
            <w:vAlign w:val="center"/>
          </w:tcPr>
          <w:p w14:paraId="307F5F5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2178EF0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300</w:t>
            </w:r>
          </w:p>
        </w:tc>
      </w:tr>
      <w:tr w14:paraId="3E2D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continue"/>
            <w:vAlign w:val="center"/>
          </w:tcPr>
          <w:p w14:paraId="4566D0AA">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145FE89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各类压路机</w:t>
            </w:r>
          </w:p>
        </w:tc>
        <w:tc>
          <w:tcPr>
            <w:tcW w:w="0" w:type="auto"/>
            <w:shd w:val="clear" w:color="auto" w:fill="auto"/>
            <w:noWrap/>
            <w:vAlign w:val="center"/>
          </w:tcPr>
          <w:p w14:paraId="3E6BCD9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w:t>
            </w:r>
          </w:p>
        </w:tc>
        <w:tc>
          <w:tcPr>
            <w:tcW w:w="0" w:type="auto"/>
            <w:shd w:val="clear" w:color="auto" w:fill="auto"/>
            <w:noWrap/>
            <w:vAlign w:val="center"/>
          </w:tcPr>
          <w:p w14:paraId="48BAEBA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84</w:t>
            </w:r>
          </w:p>
        </w:tc>
        <w:tc>
          <w:tcPr>
            <w:tcW w:w="0" w:type="auto"/>
            <w:shd w:val="clear" w:color="auto" w:fill="auto"/>
            <w:noWrap/>
            <w:vAlign w:val="center"/>
          </w:tcPr>
          <w:p w14:paraId="45F0332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2AE80B5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2307886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7307DC8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0FA451C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2DE3242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7DEFB21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6F9094E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18ACDC0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3A80B88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48</w:t>
            </w:r>
          </w:p>
        </w:tc>
        <w:tc>
          <w:tcPr>
            <w:tcW w:w="0" w:type="auto"/>
            <w:shd w:val="clear" w:color="auto" w:fill="auto"/>
            <w:noWrap/>
            <w:vAlign w:val="center"/>
          </w:tcPr>
          <w:p w14:paraId="7732F1C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47</w:t>
            </w:r>
          </w:p>
        </w:tc>
        <w:tc>
          <w:tcPr>
            <w:tcW w:w="0" w:type="auto"/>
            <w:shd w:val="clear" w:color="auto" w:fill="auto"/>
            <w:noWrap/>
            <w:vAlign w:val="center"/>
          </w:tcPr>
          <w:p w14:paraId="7872FD2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46</w:t>
            </w:r>
          </w:p>
        </w:tc>
        <w:tc>
          <w:tcPr>
            <w:tcW w:w="0" w:type="auto"/>
            <w:shd w:val="clear" w:color="auto" w:fill="auto"/>
            <w:noWrap/>
            <w:vAlign w:val="center"/>
          </w:tcPr>
          <w:p w14:paraId="6E664CC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w:t>
            </w:r>
          </w:p>
        </w:tc>
        <w:tc>
          <w:tcPr>
            <w:tcW w:w="0" w:type="auto"/>
            <w:shd w:val="clear" w:color="auto" w:fill="auto"/>
            <w:noWrap/>
            <w:vAlign w:val="center"/>
          </w:tcPr>
          <w:p w14:paraId="659C747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300</w:t>
            </w:r>
          </w:p>
        </w:tc>
      </w:tr>
      <w:tr w14:paraId="26C2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continue"/>
            <w:vAlign w:val="center"/>
          </w:tcPr>
          <w:p w14:paraId="7D0008B6">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055B163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振动夯锤</w:t>
            </w:r>
          </w:p>
        </w:tc>
        <w:tc>
          <w:tcPr>
            <w:tcW w:w="0" w:type="auto"/>
            <w:shd w:val="clear" w:color="auto" w:fill="auto"/>
            <w:noWrap/>
            <w:vAlign w:val="center"/>
          </w:tcPr>
          <w:p w14:paraId="126F3B2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100</w:t>
            </w:r>
          </w:p>
        </w:tc>
        <w:tc>
          <w:tcPr>
            <w:tcW w:w="0" w:type="auto"/>
            <w:shd w:val="clear" w:color="auto" w:fill="auto"/>
            <w:noWrap/>
            <w:vAlign w:val="center"/>
          </w:tcPr>
          <w:p w14:paraId="503E245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94</w:t>
            </w:r>
          </w:p>
        </w:tc>
        <w:tc>
          <w:tcPr>
            <w:tcW w:w="0" w:type="auto"/>
            <w:shd w:val="clear" w:color="auto" w:fill="auto"/>
            <w:noWrap/>
            <w:vAlign w:val="center"/>
          </w:tcPr>
          <w:p w14:paraId="7B04BBC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88</w:t>
            </w:r>
          </w:p>
        </w:tc>
        <w:tc>
          <w:tcPr>
            <w:tcW w:w="0" w:type="auto"/>
            <w:shd w:val="clear" w:color="auto" w:fill="auto"/>
            <w:noWrap/>
            <w:vAlign w:val="center"/>
          </w:tcPr>
          <w:p w14:paraId="7FA5890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82</w:t>
            </w:r>
          </w:p>
        </w:tc>
        <w:tc>
          <w:tcPr>
            <w:tcW w:w="0" w:type="auto"/>
            <w:shd w:val="clear" w:color="auto" w:fill="auto"/>
            <w:noWrap/>
            <w:vAlign w:val="center"/>
          </w:tcPr>
          <w:p w14:paraId="0C86BE9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80</w:t>
            </w:r>
          </w:p>
        </w:tc>
        <w:tc>
          <w:tcPr>
            <w:tcW w:w="0" w:type="auto"/>
            <w:shd w:val="clear" w:color="auto" w:fill="auto"/>
            <w:noWrap/>
            <w:vAlign w:val="center"/>
          </w:tcPr>
          <w:p w14:paraId="28497F3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74</w:t>
            </w:r>
          </w:p>
        </w:tc>
        <w:tc>
          <w:tcPr>
            <w:tcW w:w="0" w:type="auto"/>
            <w:shd w:val="clear" w:color="auto" w:fill="auto"/>
            <w:noWrap/>
            <w:vAlign w:val="center"/>
          </w:tcPr>
          <w:p w14:paraId="26A33AB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5F0FC25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68</w:t>
            </w:r>
          </w:p>
        </w:tc>
        <w:tc>
          <w:tcPr>
            <w:tcW w:w="0" w:type="auto"/>
            <w:shd w:val="clear" w:color="auto" w:fill="auto"/>
            <w:noWrap/>
            <w:vAlign w:val="center"/>
          </w:tcPr>
          <w:p w14:paraId="7A9E565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2764562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62</w:t>
            </w:r>
          </w:p>
        </w:tc>
        <w:tc>
          <w:tcPr>
            <w:tcW w:w="0" w:type="auto"/>
            <w:shd w:val="clear" w:color="auto" w:fill="auto"/>
            <w:noWrap/>
            <w:vAlign w:val="center"/>
          </w:tcPr>
          <w:p w14:paraId="4F49CF5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5DA406C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78A5201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57</w:t>
            </w:r>
          </w:p>
        </w:tc>
        <w:tc>
          <w:tcPr>
            <w:tcW w:w="0" w:type="auto"/>
            <w:shd w:val="clear" w:color="auto" w:fill="auto"/>
            <w:noWrap/>
            <w:vAlign w:val="center"/>
          </w:tcPr>
          <w:p w14:paraId="71CDE33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0293417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150</w:t>
            </w:r>
          </w:p>
        </w:tc>
        <w:tc>
          <w:tcPr>
            <w:tcW w:w="0" w:type="auto"/>
            <w:shd w:val="clear" w:color="auto" w:fill="auto"/>
            <w:noWrap/>
            <w:vAlign w:val="center"/>
          </w:tcPr>
          <w:p w14:paraId="6642ABB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900</w:t>
            </w:r>
          </w:p>
        </w:tc>
      </w:tr>
      <w:tr w14:paraId="2D14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continue"/>
            <w:vAlign w:val="center"/>
          </w:tcPr>
          <w:p w14:paraId="16A579FE">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6545CE5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混凝土输送泵</w:t>
            </w:r>
          </w:p>
        </w:tc>
        <w:tc>
          <w:tcPr>
            <w:tcW w:w="0" w:type="auto"/>
            <w:shd w:val="clear" w:color="auto" w:fill="auto"/>
            <w:noWrap/>
            <w:vAlign w:val="center"/>
          </w:tcPr>
          <w:p w14:paraId="42094A2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95</w:t>
            </w:r>
          </w:p>
        </w:tc>
        <w:tc>
          <w:tcPr>
            <w:tcW w:w="0" w:type="auto"/>
            <w:shd w:val="clear" w:color="auto" w:fill="auto"/>
            <w:noWrap/>
            <w:vAlign w:val="center"/>
          </w:tcPr>
          <w:p w14:paraId="796F7C2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89</w:t>
            </w:r>
          </w:p>
        </w:tc>
        <w:tc>
          <w:tcPr>
            <w:tcW w:w="0" w:type="auto"/>
            <w:shd w:val="clear" w:color="auto" w:fill="auto"/>
            <w:noWrap/>
            <w:vAlign w:val="center"/>
          </w:tcPr>
          <w:p w14:paraId="44FA11B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83</w:t>
            </w:r>
          </w:p>
        </w:tc>
        <w:tc>
          <w:tcPr>
            <w:tcW w:w="0" w:type="auto"/>
            <w:shd w:val="clear" w:color="auto" w:fill="auto"/>
            <w:noWrap/>
            <w:vAlign w:val="center"/>
          </w:tcPr>
          <w:p w14:paraId="4887ADB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77</w:t>
            </w:r>
          </w:p>
        </w:tc>
        <w:tc>
          <w:tcPr>
            <w:tcW w:w="0" w:type="auto"/>
            <w:shd w:val="clear" w:color="auto" w:fill="auto"/>
            <w:noWrap/>
            <w:vAlign w:val="center"/>
          </w:tcPr>
          <w:p w14:paraId="182043D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75</w:t>
            </w:r>
          </w:p>
        </w:tc>
        <w:tc>
          <w:tcPr>
            <w:tcW w:w="0" w:type="auto"/>
            <w:shd w:val="clear" w:color="auto" w:fill="auto"/>
            <w:noWrap/>
            <w:vAlign w:val="center"/>
          </w:tcPr>
          <w:p w14:paraId="28D63F7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69</w:t>
            </w:r>
          </w:p>
        </w:tc>
        <w:tc>
          <w:tcPr>
            <w:tcW w:w="0" w:type="auto"/>
            <w:shd w:val="clear" w:color="auto" w:fill="auto"/>
            <w:noWrap/>
            <w:vAlign w:val="center"/>
          </w:tcPr>
          <w:p w14:paraId="3E4E1F0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65</w:t>
            </w:r>
          </w:p>
        </w:tc>
        <w:tc>
          <w:tcPr>
            <w:tcW w:w="0" w:type="auto"/>
            <w:shd w:val="clear" w:color="auto" w:fill="auto"/>
            <w:noWrap/>
            <w:vAlign w:val="center"/>
          </w:tcPr>
          <w:p w14:paraId="56087AF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63</w:t>
            </w:r>
          </w:p>
        </w:tc>
        <w:tc>
          <w:tcPr>
            <w:tcW w:w="0" w:type="auto"/>
            <w:shd w:val="clear" w:color="auto" w:fill="auto"/>
            <w:noWrap/>
            <w:vAlign w:val="center"/>
          </w:tcPr>
          <w:p w14:paraId="1E61935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59</w:t>
            </w:r>
          </w:p>
        </w:tc>
        <w:tc>
          <w:tcPr>
            <w:tcW w:w="0" w:type="auto"/>
            <w:shd w:val="clear" w:color="auto" w:fill="auto"/>
            <w:noWrap/>
            <w:vAlign w:val="center"/>
          </w:tcPr>
          <w:p w14:paraId="205E735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57</w:t>
            </w:r>
          </w:p>
        </w:tc>
        <w:tc>
          <w:tcPr>
            <w:tcW w:w="0" w:type="auto"/>
            <w:shd w:val="clear" w:color="auto" w:fill="auto"/>
            <w:noWrap/>
            <w:vAlign w:val="center"/>
          </w:tcPr>
          <w:p w14:paraId="627C427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55</w:t>
            </w:r>
          </w:p>
        </w:tc>
        <w:tc>
          <w:tcPr>
            <w:tcW w:w="0" w:type="auto"/>
            <w:shd w:val="clear" w:color="auto" w:fill="auto"/>
            <w:noWrap/>
            <w:vAlign w:val="center"/>
          </w:tcPr>
          <w:p w14:paraId="540F02A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53</w:t>
            </w:r>
          </w:p>
        </w:tc>
        <w:tc>
          <w:tcPr>
            <w:tcW w:w="0" w:type="auto"/>
            <w:shd w:val="clear" w:color="auto" w:fill="auto"/>
            <w:noWrap/>
            <w:vAlign w:val="center"/>
          </w:tcPr>
          <w:p w14:paraId="5EE6CE8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578E4B3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51</w:t>
            </w:r>
          </w:p>
        </w:tc>
        <w:tc>
          <w:tcPr>
            <w:tcW w:w="0" w:type="auto"/>
            <w:shd w:val="clear" w:color="auto" w:fill="auto"/>
            <w:noWrap/>
            <w:vAlign w:val="center"/>
          </w:tcPr>
          <w:p w14:paraId="08E94B7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100</w:t>
            </w:r>
          </w:p>
        </w:tc>
        <w:tc>
          <w:tcPr>
            <w:tcW w:w="0" w:type="auto"/>
            <w:shd w:val="clear" w:color="auto" w:fill="auto"/>
            <w:noWrap/>
            <w:vAlign w:val="center"/>
          </w:tcPr>
          <w:p w14:paraId="7900C1B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500</w:t>
            </w:r>
          </w:p>
        </w:tc>
      </w:tr>
      <w:tr w14:paraId="1988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continue"/>
            <w:vAlign w:val="center"/>
          </w:tcPr>
          <w:p w14:paraId="7DEBE3E1">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5D9239A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多台设备营运噪声预测值</w:t>
            </w:r>
          </w:p>
        </w:tc>
        <w:tc>
          <w:tcPr>
            <w:tcW w:w="0" w:type="auto"/>
            <w:shd w:val="clear" w:color="auto" w:fill="auto"/>
            <w:noWrap/>
            <w:vAlign w:val="center"/>
          </w:tcPr>
          <w:p w14:paraId="4DBAB2E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102</w:t>
            </w:r>
          </w:p>
        </w:tc>
        <w:tc>
          <w:tcPr>
            <w:tcW w:w="0" w:type="auto"/>
            <w:shd w:val="clear" w:color="auto" w:fill="auto"/>
            <w:noWrap/>
            <w:vAlign w:val="center"/>
          </w:tcPr>
          <w:p w14:paraId="0E6D3B3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96</w:t>
            </w:r>
          </w:p>
        </w:tc>
        <w:tc>
          <w:tcPr>
            <w:tcW w:w="0" w:type="auto"/>
            <w:shd w:val="clear" w:color="auto" w:fill="auto"/>
            <w:noWrap/>
            <w:vAlign w:val="center"/>
          </w:tcPr>
          <w:p w14:paraId="0F850F1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w:t>
            </w:r>
          </w:p>
        </w:tc>
        <w:tc>
          <w:tcPr>
            <w:tcW w:w="0" w:type="auto"/>
            <w:shd w:val="clear" w:color="auto" w:fill="auto"/>
            <w:noWrap/>
            <w:vAlign w:val="center"/>
          </w:tcPr>
          <w:p w14:paraId="7EA0869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84</w:t>
            </w:r>
          </w:p>
        </w:tc>
        <w:tc>
          <w:tcPr>
            <w:tcW w:w="0" w:type="auto"/>
            <w:shd w:val="clear" w:color="auto" w:fill="auto"/>
            <w:noWrap/>
            <w:vAlign w:val="center"/>
          </w:tcPr>
          <w:p w14:paraId="6F597479">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82</w:t>
            </w:r>
          </w:p>
        </w:tc>
        <w:tc>
          <w:tcPr>
            <w:tcW w:w="0" w:type="auto"/>
            <w:shd w:val="clear" w:color="auto" w:fill="auto"/>
            <w:noWrap/>
            <w:vAlign w:val="center"/>
          </w:tcPr>
          <w:p w14:paraId="55D649C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76</w:t>
            </w:r>
          </w:p>
        </w:tc>
        <w:tc>
          <w:tcPr>
            <w:tcW w:w="0" w:type="auto"/>
            <w:shd w:val="clear" w:color="auto" w:fill="auto"/>
            <w:noWrap/>
            <w:vAlign w:val="center"/>
          </w:tcPr>
          <w:p w14:paraId="18D85E7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72</w:t>
            </w:r>
          </w:p>
        </w:tc>
        <w:tc>
          <w:tcPr>
            <w:tcW w:w="0" w:type="auto"/>
            <w:shd w:val="clear" w:color="auto" w:fill="auto"/>
            <w:noWrap/>
            <w:vAlign w:val="center"/>
          </w:tcPr>
          <w:p w14:paraId="3FABA2B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368D160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66</w:t>
            </w:r>
          </w:p>
        </w:tc>
        <w:tc>
          <w:tcPr>
            <w:tcW w:w="0" w:type="auto"/>
            <w:shd w:val="clear" w:color="auto" w:fill="auto"/>
            <w:noWrap/>
            <w:vAlign w:val="center"/>
          </w:tcPr>
          <w:p w14:paraId="5D92C71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62EC67D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62</w:t>
            </w:r>
          </w:p>
        </w:tc>
        <w:tc>
          <w:tcPr>
            <w:tcW w:w="0" w:type="auto"/>
            <w:shd w:val="clear" w:color="auto" w:fill="auto"/>
            <w:noWrap/>
            <w:vAlign w:val="center"/>
          </w:tcPr>
          <w:p w14:paraId="22587C9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37AFC23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59</w:t>
            </w:r>
          </w:p>
        </w:tc>
        <w:tc>
          <w:tcPr>
            <w:tcW w:w="0" w:type="auto"/>
            <w:shd w:val="clear" w:color="auto" w:fill="auto"/>
            <w:noWrap/>
            <w:vAlign w:val="center"/>
          </w:tcPr>
          <w:p w14:paraId="6CBB3F6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667D2B5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200</w:t>
            </w:r>
          </w:p>
        </w:tc>
        <w:tc>
          <w:tcPr>
            <w:tcW w:w="0" w:type="auto"/>
            <w:shd w:val="clear" w:color="auto" w:fill="auto"/>
            <w:noWrap/>
            <w:vAlign w:val="center"/>
          </w:tcPr>
          <w:p w14:paraId="6AF3797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1100</w:t>
            </w:r>
          </w:p>
        </w:tc>
      </w:tr>
      <w:tr w14:paraId="6315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restart"/>
            <w:shd w:val="clear" w:color="auto" w:fill="auto"/>
            <w:noWrap/>
            <w:vAlign w:val="center"/>
          </w:tcPr>
          <w:p w14:paraId="3494852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hint="eastAsia"/>
                <w:color w:val="000000" w:themeColor="text1"/>
                <w:sz w:val="20"/>
                <w:szCs w:val="21"/>
                <w14:textFill>
                  <w14:solidFill>
                    <w14:schemeClr w14:val="tx1"/>
                  </w14:solidFill>
                </w14:textFill>
              </w:rPr>
              <w:t>③</w:t>
            </w:r>
            <w:r>
              <w:rPr>
                <w:rFonts w:ascii="Times New Roman" w:hAnsi="Times New Roman" w:cs="Times New Roman"/>
                <w:color w:val="000000" w:themeColor="text1"/>
                <w:sz w:val="20"/>
                <w:szCs w:val="21"/>
                <w14:textFill>
                  <w14:solidFill>
                    <w14:schemeClr w14:val="tx1"/>
                  </w14:solidFill>
                </w14:textFill>
              </w:rPr>
              <w:t>交通工程施工</w:t>
            </w:r>
          </w:p>
        </w:tc>
        <w:tc>
          <w:tcPr>
            <w:tcW w:w="0" w:type="auto"/>
            <w:shd w:val="clear" w:color="auto" w:fill="auto"/>
            <w:noWrap/>
            <w:vAlign w:val="center"/>
          </w:tcPr>
          <w:p w14:paraId="40C4CA9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云石机、角磨机</w:t>
            </w:r>
          </w:p>
        </w:tc>
        <w:tc>
          <w:tcPr>
            <w:tcW w:w="0" w:type="auto"/>
            <w:shd w:val="clear" w:color="auto" w:fill="auto"/>
            <w:noWrap/>
            <w:vAlign w:val="center"/>
          </w:tcPr>
          <w:p w14:paraId="589CB6C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96</w:t>
            </w:r>
          </w:p>
        </w:tc>
        <w:tc>
          <w:tcPr>
            <w:tcW w:w="0" w:type="auto"/>
            <w:shd w:val="clear" w:color="auto" w:fill="auto"/>
            <w:noWrap/>
            <w:vAlign w:val="center"/>
          </w:tcPr>
          <w:p w14:paraId="0F1CEBC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90</w:t>
            </w:r>
          </w:p>
        </w:tc>
        <w:tc>
          <w:tcPr>
            <w:tcW w:w="0" w:type="auto"/>
            <w:shd w:val="clear" w:color="auto" w:fill="auto"/>
            <w:noWrap/>
            <w:vAlign w:val="center"/>
          </w:tcPr>
          <w:p w14:paraId="638DF1F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84</w:t>
            </w:r>
          </w:p>
        </w:tc>
        <w:tc>
          <w:tcPr>
            <w:tcW w:w="0" w:type="auto"/>
            <w:shd w:val="clear" w:color="auto" w:fill="auto"/>
            <w:noWrap/>
            <w:vAlign w:val="center"/>
          </w:tcPr>
          <w:p w14:paraId="5788147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78</w:t>
            </w:r>
          </w:p>
        </w:tc>
        <w:tc>
          <w:tcPr>
            <w:tcW w:w="0" w:type="auto"/>
            <w:shd w:val="clear" w:color="auto" w:fill="auto"/>
            <w:noWrap/>
            <w:vAlign w:val="center"/>
          </w:tcPr>
          <w:p w14:paraId="1A86694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76</w:t>
            </w:r>
          </w:p>
        </w:tc>
        <w:tc>
          <w:tcPr>
            <w:tcW w:w="0" w:type="auto"/>
            <w:shd w:val="clear" w:color="auto" w:fill="auto"/>
            <w:noWrap/>
            <w:vAlign w:val="center"/>
          </w:tcPr>
          <w:p w14:paraId="3182BF2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70</w:t>
            </w:r>
          </w:p>
        </w:tc>
        <w:tc>
          <w:tcPr>
            <w:tcW w:w="0" w:type="auto"/>
            <w:shd w:val="clear" w:color="auto" w:fill="auto"/>
            <w:noWrap/>
            <w:vAlign w:val="center"/>
          </w:tcPr>
          <w:p w14:paraId="7FEB677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66</w:t>
            </w:r>
          </w:p>
        </w:tc>
        <w:tc>
          <w:tcPr>
            <w:tcW w:w="0" w:type="auto"/>
            <w:shd w:val="clear" w:color="auto" w:fill="auto"/>
            <w:noWrap/>
            <w:vAlign w:val="center"/>
          </w:tcPr>
          <w:p w14:paraId="04ED6AE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64</w:t>
            </w:r>
          </w:p>
        </w:tc>
        <w:tc>
          <w:tcPr>
            <w:tcW w:w="0" w:type="auto"/>
            <w:shd w:val="clear" w:color="auto" w:fill="auto"/>
            <w:noWrap/>
            <w:vAlign w:val="center"/>
          </w:tcPr>
          <w:p w14:paraId="232B8AD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w:t>
            </w:r>
          </w:p>
        </w:tc>
        <w:tc>
          <w:tcPr>
            <w:tcW w:w="0" w:type="auto"/>
            <w:shd w:val="clear" w:color="auto" w:fill="auto"/>
            <w:noWrap/>
            <w:vAlign w:val="center"/>
          </w:tcPr>
          <w:p w14:paraId="58795EC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4335AC8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7D2834F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54</w:t>
            </w:r>
          </w:p>
        </w:tc>
        <w:tc>
          <w:tcPr>
            <w:tcW w:w="0" w:type="auto"/>
            <w:shd w:val="clear" w:color="auto" w:fill="auto"/>
            <w:noWrap/>
            <w:vAlign w:val="center"/>
          </w:tcPr>
          <w:p w14:paraId="0A83FE7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53</w:t>
            </w:r>
          </w:p>
        </w:tc>
        <w:tc>
          <w:tcPr>
            <w:tcW w:w="0" w:type="auto"/>
            <w:shd w:val="clear" w:color="auto" w:fill="auto"/>
            <w:noWrap/>
            <w:vAlign w:val="center"/>
          </w:tcPr>
          <w:p w14:paraId="04C5A08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52</w:t>
            </w:r>
          </w:p>
        </w:tc>
        <w:tc>
          <w:tcPr>
            <w:tcW w:w="0" w:type="auto"/>
            <w:shd w:val="clear" w:color="auto" w:fill="auto"/>
            <w:noWrap/>
            <w:vAlign w:val="center"/>
          </w:tcPr>
          <w:p w14:paraId="2CAD171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100</w:t>
            </w:r>
          </w:p>
        </w:tc>
        <w:tc>
          <w:tcPr>
            <w:tcW w:w="0" w:type="auto"/>
            <w:shd w:val="clear" w:color="auto" w:fill="auto"/>
            <w:noWrap/>
            <w:vAlign w:val="center"/>
          </w:tcPr>
          <w:p w14:paraId="075BAD5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600</w:t>
            </w:r>
          </w:p>
        </w:tc>
      </w:tr>
      <w:tr w14:paraId="7BDF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continue"/>
            <w:vAlign w:val="center"/>
          </w:tcPr>
          <w:p w14:paraId="5216A82A">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4A3E403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木工电锯</w:t>
            </w:r>
          </w:p>
        </w:tc>
        <w:tc>
          <w:tcPr>
            <w:tcW w:w="0" w:type="auto"/>
            <w:shd w:val="clear" w:color="auto" w:fill="auto"/>
            <w:noWrap/>
            <w:vAlign w:val="center"/>
          </w:tcPr>
          <w:p w14:paraId="5131E8C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99</w:t>
            </w:r>
          </w:p>
        </w:tc>
        <w:tc>
          <w:tcPr>
            <w:tcW w:w="0" w:type="auto"/>
            <w:shd w:val="clear" w:color="auto" w:fill="auto"/>
            <w:noWrap/>
            <w:vAlign w:val="center"/>
          </w:tcPr>
          <w:p w14:paraId="02BBE4A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93</w:t>
            </w:r>
          </w:p>
        </w:tc>
        <w:tc>
          <w:tcPr>
            <w:tcW w:w="0" w:type="auto"/>
            <w:shd w:val="clear" w:color="auto" w:fill="auto"/>
            <w:noWrap/>
            <w:vAlign w:val="center"/>
          </w:tcPr>
          <w:p w14:paraId="7D3E88CA">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87</w:t>
            </w:r>
          </w:p>
        </w:tc>
        <w:tc>
          <w:tcPr>
            <w:tcW w:w="0" w:type="auto"/>
            <w:shd w:val="clear" w:color="auto" w:fill="auto"/>
            <w:noWrap/>
            <w:vAlign w:val="center"/>
          </w:tcPr>
          <w:p w14:paraId="6312B63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81</w:t>
            </w:r>
          </w:p>
        </w:tc>
        <w:tc>
          <w:tcPr>
            <w:tcW w:w="0" w:type="auto"/>
            <w:shd w:val="clear" w:color="auto" w:fill="auto"/>
            <w:noWrap/>
            <w:vAlign w:val="center"/>
          </w:tcPr>
          <w:p w14:paraId="5FE4CD5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79</w:t>
            </w:r>
          </w:p>
        </w:tc>
        <w:tc>
          <w:tcPr>
            <w:tcW w:w="0" w:type="auto"/>
            <w:shd w:val="clear" w:color="auto" w:fill="auto"/>
            <w:noWrap/>
            <w:vAlign w:val="center"/>
          </w:tcPr>
          <w:p w14:paraId="67A77F3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73</w:t>
            </w:r>
          </w:p>
        </w:tc>
        <w:tc>
          <w:tcPr>
            <w:tcW w:w="0" w:type="auto"/>
            <w:shd w:val="clear" w:color="auto" w:fill="auto"/>
            <w:noWrap/>
            <w:vAlign w:val="center"/>
          </w:tcPr>
          <w:p w14:paraId="1FC93D2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69</w:t>
            </w:r>
          </w:p>
        </w:tc>
        <w:tc>
          <w:tcPr>
            <w:tcW w:w="0" w:type="auto"/>
            <w:shd w:val="clear" w:color="auto" w:fill="auto"/>
            <w:noWrap/>
            <w:vAlign w:val="center"/>
          </w:tcPr>
          <w:p w14:paraId="063C9E0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67</w:t>
            </w:r>
          </w:p>
        </w:tc>
        <w:tc>
          <w:tcPr>
            <w:tcW w:w="0" w:type="auto"/>
            <w:shd w:val="clear" w:color="auto" w:fill="auto"/>
            <w:noWrap/>
            <w:vAlign w:val="center"/>
          </w:tcPr>
          <w:p w14:paraId="5E87FCC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63</w:t>
            </w:r>
          </w:p>
        </w:tc>
        <w:tc>
          <w:tcPr>
            <w:tcW w:w="0" w:type="auto"/>
            <w:shd w:val="clear" w:color="auto" w:fill="auto"/>
            <w:noWrap/>
            <w:vAlign w:val="center"/>
          </w:tcPr>
          <w:p w14:paraId="21F8ACD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61</w:t>
            </w:r>
          </w:p>
        </w:tc>
        <w:tc>
          <w:tcPr>
            <w:tcW w:w="0" w:type="auto"/>
            <w:shd w:val="clear" w:color="auto" w:fill="auto"/>
            <w:noWrap/>
            <w:vAlign w:val="center"/>
          </w:tcPr>
          <w:p w14:paraId="5C0B927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59</w:t>
            </w:r>
          </w:p>
        </w:tc>
        <w:tc>
          <w:tcPr>
            <w:tcW w:w="0" w:type="auto"/>
            <w:shd w:val="clear" w:color="auto" w:fill="auto"/>
            <w:noWrap/>
            <w:vAlign w:val="center"/>
          </w:tcPr>
          <w:p w14:paraId="42FDC6D4">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57</w:t>
            </w:r>
          </w:p>
        </w:tc>
        <w:tc>
          <w:tcPr>
            <w:tcW w:w="0" w:type="auto"/>
            <w:shd w:val="clear" w:color="auto" w:fill="auto"/>
            <w:noWrap/>
            <w:vAlign w:val="center"/>
          </w:tcPr>
          <w:p w14:paraId="1CC17B53">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56</w:t>
            </w:r>
          </w:p>
        </w:tc>
        <w:tc>
          <w:tcPr>
            <w:tcW w:w="0" w:type="auto"/>
            <w:shd w:val="clear" w:color="auto" w:fill="auto"/>
            <w:noWrap/>
            <w:vAlign w:val="center"/>
          </w:tcPr>
          <w:p w14:paraId="45A4DD7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55</w:t>
            </w:r>
          </w:p>
        </w:tc>
        <w:tc>
          <w:tcPr>
            <w:tcW w:w="0" w:type="auto"/>
            <w:shd w:val="clear" w:color="auto" w:fill="auto"/>
            <w:noWrap/>
            <w:vAlign w:val="center"/>
          </w:tcPr>
          <w:p w14:paraId="60D2096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150</w:t>
            </w:r>
          </w:p>
        </w:tc>
        <w:tc>
          <w:tcPr>
            <w:tcW w:w="0" w:type="auto"/>
            <w:shd w:val="clear" w:color="auto" w:fill="auto"/>
            <w:noWrap/>
            <w:vAlign w:val="center"/>
          </w:tcPr>
          <w:p w14:paraId="74BFC46D">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800</w:t>
            </w:r>
          </w:p>
        </w:tc>
      </w:tr>
      <w:tr w14:paraId="677F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gridSpan w:val="2"/>
            <w:vMerge w:val="continue"/>
            <w:vAlign w:val="center"/>
          </w:tcPr>
          <w:p w14:paraId="4A5D07B8">
            <w:pPr>
              <w:spacing w:line="240" w:lineRule="exact"/>
              <w:jc w:val="center"/>
              <w:rPr>
                <w:rFonts w:ascii="Times New Roman" w:hAnsi="Times New Roman" w:cs="Times New Roman"/>
                <w:color w:val="000000" w:themeColor="text1"/>
                <w:sz w:val="20"/>
                <w:szCs w:val="21"/>
                <w14:textFill>
                  <w14:solidFill>
                    <w14:schemeClr w14:val="tx1"/>
                  </w14:solidFill>
                </w14:textFill>
              </w:rPr>
            </w:pPr>
          </w:p>
        </w:tc>
        <w:tc>
          <w:tcPr>
            <w:tcW w:w="0" w:type="auto"/>
            <w:shd w:val="clear" w:color="auto" w:fill="auto"/>
            <w:noWrap/>
            <w:vAlign w:val="center"/>
          </w:tcPr>
          <w:p w14:paraId="6DFDF56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cs="Times New Roman"/>
                <w:color w:val="000000" w:themeColor="text1"/>
                <w:sz w:val="20"/>
                <w:szCs w:val="21"/>
                <w14:textFill>
                  <w14:solidFill>
                    <w14:schemeClr w14:val="tx1"/>
                  </w14:solidFill>
                </w14:textFill>
              </w:rPr>
              <w:t>多台设备营运噪声预测值</w:t>
            </w:r>
          </w:p>
        </w:tc>
        <w:tc>
          <w:tcPr>
            <w:tcW w:w="0" w:type="auto"/>
            <w:shd w:val="clear" w:color="auto" w:fill="auto"/>
            <w:noWrap/>
            <w:vAlign w:val="center"/>
          </w:tcPr>
          <w:p w14:paraId="42BD8A2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101</w:t>
            </w:r>
          </w:p>
        </w:tc>
        <w:tc>
          <w:tcPr>
            <w:tcW w:w="0" w:type="auto"/>
            <w:shd w:val="clear" w:color="auto" w:fill="auto"/>
            <w:noWrap/>
            <w:vAlign w:val="center"/>
          </w:tcPr>
          <w:p w14:paraId="7C68CF8E">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95</w:t>
            </w:r>
          </w:p>
        </w:tc>
        <w:tc>
          <w:tcPr>
            <w:tcW w:w="0" w:type="auto"/>
            <w:shd w:val="clear" w:color="auto" w:fill="auto"/>
            <w:noWrap/>
            <w:vAlign w:val="center"/>
          </w:tcPr>
          <w:p w14:paraId="5BEF63E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89</w:t>
            </w:r>
          </w:p>
        </w:tc>
        <w:tc>
          <w:tcPr>
            <w:tcW w:w="0" w:type="auto"/>
            <w:shd w:val="clear" w:color="auto" w:fill="auto"/>
            <w:noWrap/>
            <w:vAlign w:val="center"/>
          </w:tcPr>
          <w:p w14:paraId="09D9B0A7">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83</w:t>
            </w:r>
          </w:p>
        </w:tc>
        <w:tc>
          <w:tcPr>
            <w:tcW w:w="0" w:type="auto"/>
            <w:shd w:val="clear" w:color="auto" w:fill="auto"/>
            <w:noWrap/>
            <w:vAlign w:val="center"/>
          </w:tcPr>
          <w:p w14:paraId="7F5AAE90">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81</w:t>
            </w:r>
          </w:p>
        </w:tc>
        <w:tc>
          <w:tcPr>
            <w:tcW w:w="0" w:type="auto"/>
            <w:shd w:val="clear" w:color="auto" w:fill="auto"/>
            <w:noWrap/>
            <w:vAlign w:val="center"/>
          </w:tcPr>
          <w:p w14:paraId="54E7B77B">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75</w:t>
            </w:r>
          </w:p>
        </w:tc>
        <w:tc>
          <w:tcPr>
            <w:tcW w:w="0" w:type="auto"/>
            <w:shd w:val="clear" w:color="auto" w:fill="auto"/>
            <w:noWrap/>
            <w:vAlign w:val="center"/>
          </w:tcPr>
          <w:p w14:paraId="5876DC8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71</w:t>
            </w:r>
          </w:p>
        </w:tc>
        <w:tc>
          <w:tcPr>
            <w:tcW w:w="0" w:type="auto"/>
            <w:shd w:val="clear" w:color="auto" w:fill="auto"/>
            <w:noWrap/>
            <w:vAlign w:val="center"/>
          </w:tcPr>
          <w:p w14:paraId="62F7D22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69</w:t>
            </w:r>
          </w:p>
        </w:tc>
        <w:tc>
          <w:tcPr>
            <w:tcW w:w="0" w:type="auto"/>
            <w:shd w:val="clear" w:color="auto" w:fill="auto"/>
            <w:noWrap/>
            <w:vAlign w:val="center"/>
          </w:tcPr>
          <w:p w14:paraId="58462691">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65</w:t>
            </w:r>
          </w:p>
        </w:tc>
        <w:tc>
          <w:tcPr>
            <w:tcW w:w="0" w:type="auto"/>
            <w:shd w:val="clear" w:color="auto" w:fill="auto"/>
            <w:noWrap/>
            <w:vAlign w:val="center"/>
          </w:tcPr>
          <w:p w14:paraId="164260F2">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63</w:t>
            </w:r>
          </w:p>
        </w:tc>
        <w:tc>
          <w:tcPr>
            <w:tcW w:w="0" w:type="auto"/>
            <w:shd w:val="clear" w:color="auto" w:fill="auto"/>
            <w:noWrap/>
            <w:vAlign w:val="center"/>
          </w:tcPr>
          <w:p w14:paraId="0B8DD658">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61</w:t>
            </w:r>
          </w:p>
        </w:tc>
        <w:tc>
          <w:tcPr>
            <w:tcW w:w="0" w:type="auto"/>
            <w:shd w:val="clear" w:color="auto" w:fill="auto"/>
            <w:noWrap/>
            <w:vAlign w:val="center"/>
          </w:tcPr>
          <w:p w14:paraId="5B64AACF">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59</w:t>
            </w:r>
          </w:p>
        </w:tc>
        <w:tc>
          <w:tcPr>
            <w:tcW w:w="0" w:type="auto"/>
            <w:shd w:val="clear" w:color="auto" w:fill="auto"/>
            <w:noWrap/>
            <w:vAlign w:val="center"/>
          </w:tcPr>
          <w:p w14:paraId="3FF9B3E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58</w:t>
            </w:r>
          </w:p>
        </w:tc>
        <w:tc>
          <w:tcPr>
            <w:tcW w:w="0" w:type="auto"/>
            <w:shd w:val="clear" w:color="auto" w:fill="auto"/>
            <w:noWrap/>
            <w:vAlign w:val="center"/>
          </w:tcPr>
          <w:p w14:paraId="69782DB6">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57</w:t>
            </w:r>
          </w:p>
        </w:tc>
        <w:tc>
          <w:tcPr>
            <w:tcW w:w="0" w:type="auto"/>
            <w:shd w:val="clear" w:color="auto" w:fill="auto"/>
            <w:noWrap/>
            <w:vAlign w:val="center"/>
          </w:tcPr>
          <w:p w14:paraId="427E9C2C">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200</w:t>
            </w:r>
          </w:p>
        </w:tc>
        <w:tc>
          <w:tcPr>
            <w:tcW w:w="0" w:type="auto"/>
            <w:shd w:val="clear" w:color="auto" w:fill="auto"/>
            <w:noWrap/>
            <w:vAlign w:val="center"/>
          </w:tcPr>
          <w:p w14:paraId="0E3A23E5">
            <w:pPr>
              <w:spacing w:line="240" w:lineRule="exact"/>
              <w:jc w:val="center"/>
              <w:rPr>
                <w:rFonts w:ascii="Times New Roman" w:hAnsi="Times New Roman" w:cs="Times New Roman"/>
                <w:color w:val="000000" w:themeColor="text1"/>
                <w:sz w:val="20"/>
                <w:szCs w:val="21"/>
                <w14:textFill>
                  <w14:solidFill>
                    <w14:schemeClr w14:val="tx1"/>
                  </w14:solidFill>
                </w14:textFill>
              </w:rPr>
            </w:pPr>
            <w:r>
              <w:rPr>
                <w:rFonts w:ascii="Times New Roman" w:hAnsi="Times New Roman" w:eastAsia="等线" w:cs="Times New Roman"/>
                <w:color w:val="000000" w:themeColor="text1"/>
                <w:sz w:val="20"/>
                <w:szCs w:val="21"/>
                <w14:textFill>
                  <w14:solidFill>
                    <w14:schemeClr w14:val="tx1"/>
                  </w14:solidFill>
                </w14:textFill>
              </w:rPr>
              <w:t>1000</w:t>
            </w:r>
          </w:p>
        </w:tc>
      </w:tr>
    </w:tbl>
    <w:p w14:paraId="0160B682">
      <w:pPr>
        <w:ind w:firstLine="643" w:firstLineChars="200"/>
        <w:rPr>
          <w:rFonts w:ascii="Times New Roman" w:hAnsi="Times New Roman" w:cs="Times New Roman"/>
          <w:b/>
          <w:bCs/>
          <w:color w:val="00B0F0"/>
          <w:sz w:val="32"/>
        </w:rPr>
        <w:sectPr>
          <w:pgSz w:w="16838" w:h="11906" w:orient="landscape"/>
          <w:pgMar w:top="1797" w:right="1440" w:bottom="1797" w:left="1440" w:header="794" w:footer="851" w:gutter="0"/>
          <w:cols w:space="720" w:num="1"/>
          <w:docGrid w:type="lines" w:linePitch="312" w:charSpace="0"/>
        </w:sectPr>
      </w:pPr>
    </w:p>
    <w:p w14:paraId="08AB092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（4）分析评价</w:t>
      </w:r>
    </w:p>
    <w:p w14:paraId="248AB1D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从表5.3-2预测结果可知：基础施工的路基施工阶段，单台机械施工，昼间距离施工现场100m以外、夜间距离施工现场500m以外噪声基本可以满足《建筑施工场界环境噪声排放标准》（GB12523-2011）标准要求；多台设备同时运行，昼间距离施工现场140m以外、夜间距离施工现场700m以外噪声基本可以满足《建筑施工场界环境噪声排放标准》（GB12523-2011）标准要求。</w:t>
      </w:r>
    </w:p>
    <w:p w14:paraId="77D5B0C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基础施工的桥梁施工阶段，单台机械施工，昼间距离施工现场130m以外、夜间距离施工现场700m以外噪声基本可以满足《建筑施工场界环境噪声排放标准》（GB12523-2011）标准要求；多台设备同时运行，昼间距离施工现场500m以外、夜间距离施工现场1900m以外噪声基本可以满足《建筑施工场界环境噪声排放标准》（GB12523-2011）标准要求。</w:t>
      </w:r>
    </w:p>
    <w:p w14:paraId="5BEB2E5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路面施工阶段，单台机械施工，昼间距离施工现场150m以外、夜间距离施工现场900m以外噪声基本可以满足《建筑施工场界环境噪声排放标准》（GB12523-2011）标准要求；多台设备同时运行，昼间距离施工现场200m以外、夜间距离施工现场1100m以外噪声基本可以满足《建筑施工场界环境噪声排放标准》（GB12523-2011）标准要求。</w:t>
      </w:r>
    </w:p>
    <w:p w14:paraId="685E73A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交通工程施工阶段，单台机械施工，昼间距离施工现场200m以外、夜间距离施工现场1100m以外噪声基本可以满足《建筑施工场界环境噪声排放标准》（GB12523-2011）标准要求；多台设备同时运行，昼间距离施工现场200m以外、夜间距离施工现场1000m以外噪声基本可以满足《建筑施工场界环境噪声排放标准》（GB12523-2011）标准要求。</w:t>
      </w:r>
    </w:p>
    <w:p w14:paraId="0A87037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由此可知，公路施工过程中产生的最大噪声是发生在路面施工阶段，昼间要在距离施工现场200m以外、夜间要在距离施工现场1100m以外，噪声才可以满足《建筑施工场界环境噪声排放标准》（GB12523-2011）标准要求，本项目全线周边无居民点，本项目产生的噪声影响较小。</w:t>
      </w:r>
    </w:p>
    <w:bookmarkEnd w:id="483"/>
    <w:p w14:paraId="789DB2FD">
      <w:pPr>
        <w:keepNext/>
        <w:keepLines/>
        <w:spacing w:before="156" w:beforeLines="50" w:after="156" w:line="360" w:lineRule="auto"/>
        <w:outlineLvl w:val="2"/>
        <w:rPr>
          <w:rFonts w:ascii="Times New Roman" w:hAnsi="Times New Roman" w:cs="Times New Roman"/>
          <w:b/>
          <w:bCs/>
          <w:sz w:val="30"/>
          <w:szCs w:val="30"/>
        </w:rPr>
      </w:pPr>
      <w:r>
        <w:rPr>
          <w:rFonts w:ascii="Times New Roman" w:hAnsi="Times New Roman" w:cs="Times New Roman"/>
          <w:b/>
          <w:bCs/>
          <w:sz w:val="30"/>
          <w:szCs w:val="30"/>
        </w:rPr>
        <w:t>5.3.2营运期噪声影响分析</w:t>
      </w:r>
    </w:p>
    <w:p w14:paraId="54E8994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营运期对声环境的影响主要来自于交通噪声。根据《环境影响评价技术导则 公路建设项目》（HJ1358-2024），对营运期在近期、中期、远期的噪声总体水平作出预测和评价，以便根据噪声影响的实际情况因地制宜的制定合理的降噪措施，并给今后在项目沿线的相关规划提供科学的依据。</w:t>
      </w:r>
    </w:p>
    <w:p w14:paraId="7A4D4548">
      <w:pPr>
        <w:pStyle w:val="5"/>
        <w:snapToGrid w:val="0"/>
        <w:spacing w:before="156" w:after="156" w:line="240" w:lineRule="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5.3.2.1工程交通量</w:t>
      </w:r>
    </w:p>
    <w:p w14:paraId="0167CB1A">
      <w:pPr>
        <w:spacing w:line="360" w:lineRule="auto"/>
        <w:ind w:firstLine="480" w:firstLineChars="200"/>
        <w:rPr>
          <w:rFonts w:ascii="Times New Roman" w:hAnsi="Times New Roman" w:cs="Times New Roman"/>
          <w:color w:val="00B050"/>
        </w:rPr>
      </w:pPr>
      <w:r>
        <w:rPr>
          <w:rFonts w:ascii="Times New Roman" w:hAnsi="Times New Roman" w:cs="Times New Roman"/>
          <w:color w:val="000000" w:themeColor="text1"/>
          <w14:textFill>
            <w14:solidFill>
              <w14:schemeClr w14:val="tx1"/>
            </w14:solidFill>
          </w14:textFill>
        </w:rPr>
        <w:t>拟建道路近期、中期、远期车型及昼夜车流量预测结果详见表5.3-4。</w:t>
      </w:r>
    </w:p>
    <w:p w14:paraId="05E76650">
      <w:pPr>
        <w:adjustRightInd w:val="0"/>
        <w:snapToGrid w:val="0"/>
        <w:jc w:val="center"/>
        <w:rPr>
          <w:rFonts w:ascii="Times New Roman" w:hAnsi="Times New Roman" w:eastAsia="黑体" w:cs="Times New Roman"/>
          <w:bCs/>
          <w:color w:val="000000" w:themeColor="text1"/>
          <w14:textFill>
            <w14:solidFill>
              <w14:schemeClr w14:val="tx1"/>
            </w14:solidFill>
          </w14:textFill>
        </w:rPr>
      </w:pPr>
      <w:r>
        <w:rPr>
          <w:rFonts w:ascii="Times New Roman" w:hAnsi="Times New Roman" w:eastAsia="黑体" w:cs="Times New Roman"/>
          <w:bCs/>
          <w:color w:val="000000" w:themeColor="text1"/>
          <w14:textFill>
            <w14:solidFill>
              <w14:schemeClr w14:val="tx1"/>
            </w14:solidFill>
          </w14:textFill>
        </w:rPr>
        <w:t>表5.3-4  各车型交通量预测结果   单位：辆/h</w:t>
      </w:r>
    </w:p>
    <w:tbl>
      <w:tblPr>
        <w:tblStyle w:val="8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052"/>
        <w:gridCol w:w="1711"/>
        <w:gridCol w:w="1462"/>
        <w:gridCol w:w="1462"/>
        <w:gridCol w:w="1458"/>
      </w:tblGrid>
      <w:tr w14:paraId="0D26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431" w:type="pct"/>
            <w:gridSpan w:val="3"/>
            <w:shd w:val="clear" w:color="auto" w:fill="auto"/>
            <w:vAlign w:val="center"/>
          </w:tcPr>
          <w:p w14:paraId="194CB19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时段</w:t>
            </w:r>
          </w:p>
        </w:tc>
        <w:tc>
          <w:tcPr>
            <w:tcW w:w="857" w:type="pct"/>
            <w:shd w:val="clear" w:color="auto" w:fill="auto"/>
            <w:vAlign w:val="center"/>
          </w:tcPr>
          <w:p w14:paraId="2E4547AD">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2026年</w:t>
            </w:r>
          </w:p>
        </w:tc>
        <w:tc>
          <w:tcPr>
            <w:tcW w:w="857" w:type="pct"/>
            <w:shd w:val="clear" w:color="auto" w:fill="auto"/>
            <w:vAlign w:val="center"/>
          </w:tcPr>
          <w:p w14:paraId="32DB884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2032年</w:t>
            </w:r>
          </w:p>
        </w:tc>
        <w:tc>
          <w:tcPr>
            <w:tcW w:w="855" w:type="pct"/>
            <w:shd w:val="clear" w:color="auto" w:fill="auto"/>
            <w:vAlign w:val="center"/>
          </w:tcPr>
          <w:p w14:paraId="2B08D6D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2040年</w:t>
            </w:r>
          </w:p>
        </w:tc>
      </w:tr>
      <w:tr w14:paraId="6178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restart"/>
            <w:shd w:val="clear" w:color="auto" w:fill="auto"/>
            <w:vAlign w:val="center"/>
          </w:tcPr>
          <w:p w14:paraId="10D3F11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车流量</w:t>
            </w:r>
          </w:p>
        </w:tc>
        <w:tc>
          <w:tcPr>
            <w:tcW w:w="617" w:type="pct"/>
            <w:vMerge w:val="restart"/>
            <w:shd w:val="clear" w:color="auto" w:fill="auto"/>
            <w:vAlign w:val="center"/>
          </w:tcPr>
          <w:p w14:paraId="2DD5C47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昼间</w:t>
            </w:r>
          </w:p>
        </w:tc>
        <w:tc>
          <w:tcPr>
            <w:tcW w:w="1003" w:type="pct"/>
            <w:shd w:val="clear" w:color="auto" w:fill="auto"/>
            <w:vAlign w:val="center"/>
          </w:tcPr>
          <w:p w14:paraId="7CDF0EC0">
            <w:pPr>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小</w:t>
            </w:r>
            <w:r>
              <w:rPr>
                <w:rFonts w:ascii="Times New Roman" w:hAnsi="Times New Roman" w:cs="Times New Roman"/>
                <w:color w:val="000000" w:themeColor="text1"/>
                <w:sz w:val="21"/>
                <w:szCs w:val="21"/>
                <w14:textFill>
                  <w14:solidFill>
                    <w14:schemeClr w14:val="tx1"/>
                  </w14:solidFill>
                </w14:textFill>
              </w:rPr>
              <w:t>车</w:t>
            </w:r>
          </w:p>
        </w:tc>
        <w:tc>
          <w:tcPr>
            <w:tcW w:w="857" w:type="pct"/>
            <w:tcBorders>
              <w:top w:val="nil"/>
              <w:left w:val="nil"/>
              <w:bottom w:val="single" w:color="auto" w:sz="8" w:space="0"/>
              <w:right w:val="single" w:color="auto" w:sz="8" w:space="0"/>
            </w:tcBorders>
            <w:shd w:val="clear" w:color="auto" w:fill="auto"/>
            <w:vAlign w:val="center"/>
          </w:tcPr>
          <w:p w14:paraId="1445CFD1">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91 </w:t>
            </w:r>
          </w:p>
        </w:tc>
        <w:tc>
          <w:tcPr>
            <w:tcW w:w="857" w:type="pct"/>
            <w:tcBorders>
              <w:top w:val="nil"/>
              <w:left w:val="nil"/>
              <w:bottom w:val="single" w:color="auto" w:sz="8" w:space="0"/>
              <w:right w:val="single" w:color="auto" w:sz="8" w:space="0"/>
            </w:tcBorders>
            <w:shd w:val="clear" w:color="auto" w:fill="auto"/>
            <w:vAlign w:val="center"/>
          </w:tcPr>
          <w:p w14:paraId="55424656">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138 </w:t>
            </w:r>
          </w:p>
        </w:tc>
        <w:tc>
          <w:tcPr>
            <w:tcW w:w="855" w:type="pct"/>
            <w:tcBorders>
              <w:top w:val="nil"/>
              <w:left w:val="nil"/>
              <w:bottom w:val="single" w:color="auto" w:sz="8" w:space="0"/>
              <w:right w:val="single" w:color="auto" w:sz="8" w:space="0"/>
            </w:tcBorders>
            <w:shd w:val="clear" w:color="auto" w:fill="auto"/>
            <w:vAlign w:val="center"/>
          </w:tcPr>
          <w:p w14:paraId="6A914108">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207 </w:t>
            </w:r>
          </w:p>
        </w:tc>
      </w:tr>
      <w:tr w14:paraId="5DF1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72E01353">
            <w:pPr>
              <w:jc w:val="center"/>
              <w:rPr>
                <w:rFonts w:ascii="Times New Roman" w:hAnsi="Times New Roman" w:cs="Times New Roman"/>
                <w:color w:val="000000" w:themeColor="text1"/>
                <w:sz w:val="21"/>
                <w:szCs w:val="21"/>
                <w14:textFill>
                  <w14:solidFill>
                    <w14:schemeClr w14:val="tx1"/>
                  </w14:solidFill>
                </w14:textFill>
              </w:rPr>
            </w:pPr>
          </w:p>
        </w:tc>
        <w:tc>
          <w:tcPr>
            <w:tcW w:w="617" w:type="pct"/>
            <w:vMerge w:val="continue"/>
            <w:shd w:val="clear" w:color="auto" w:fill="auto"/>
            <w:vAlign w:val="center"/>
          </w:tcPr>
          <w:p w14:paraId="1952466C">
            <w:pPr>
              <w:jc w:val="center"/>
              <w:rPr>
                <w:rFonts w:ascii="Times New Roman" w:hAnsi="Times New Roman" w:cs="Times New Roman"/>
                <w:color w:val="000000" w:themeColor="text1"/>
                <w:sz w:val="21"/>
                <w:szCs w:val="21"/>
                <w14:textFill>
                  <w14:solidFill>
                    <w14:schemeClr w14:val="tx1"/>
                  </w14:solidFill>
                </w14:textFill>
              </w:rPr>
            </w:pPr>
          </w:p>
        </w:tc>
        <w:tc>
          <w:tcPr>
            <w:tcW w:w="1003" w:type="pct"/>
            <w:shd w:val="clear" w:color="auto" w:fill="auto"/>
            <w:vAlign w:val="center"/>
          </w:tcPr>
          <w:p w14:paraId="04646D09">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中车</w:t>
            </w:r>
          </w:p>
        </w:tc>
        <w:tc>
          <w:tcPr>
            <w:tcW w:w="857" w:type="pct"/>
            <w:tcBorders>
              <w:top w:val="nil"/>
              <w:left w:val="nil"/>
              <w:bottom w:val="single" w:color="auto" w:sz="8" w:space="0"/>
              <w:right w:val="single" w:color="auto" w:sz="8" w:space="0"/>
            </w:tcBorders>
            <w:shd w:val="clear" w:color="auto" w:fill="auto"/>
            <w:vAlign w:val="center"/>
          </w:tcPr>
          <w:p w14:paraId="1BB7B6E8">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11 </w:t>
            </w:r>
          </w:p>
        </w:tc>
        <w:tc>
          <w:tcPr>
            <w:tcW w:w="857" w:type="pct"/>
            <w:tcBorders>
              <w:top w:val="nil"/>
              <w:left w:val="nil"/>
              <w:bottom w:val="single" w:color="auto" w:sz="8" w:space="0"/>
              <w:right w:val="single" w:color="auto" w:sz="8" w:space="0"/>
            </w:tcBorders>
            <w:shd w:val="clear" w:color="auto" w:fill="auto"/>
            <w:vAlign w:val="center"/>
          </w:tcPr>
          <w:p w14:paraId="71F0A471">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16 </w:t>
            </w:r>
          </w:p>
        </w:tc>
        <w:tc>
          <w:tcPr>
            <w:tcW w:w="855" w:type="pct"/>
            <w:tcBorders>
              <w:top w:val="nil"/>
              <w:left w:val="nil"/>
              <w:bottom w:val="single" w:color="auto" w:sz="8" w:space="0"/>
              <w:right w:val="single" w:color="auto" w:sz="8" w:space="0"/>
            </w:tcBorders>
            <w:shd w:val="clear" w:color="auto" w:fill="auto"/>
            <w:vAlign w:val="center"/>
          </w:tcPr>
          <w:p w14:paraId="37E16BCD">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24 </w:t>
            </w:r>
          </w:p>
        </w:tc>
      </w:tr>
      <w:tr w14:paraId="26C6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1238DFE0">
            <w:pPr>
              <w:jc w:val="center"/>
              <w:rPr>
                <w:rFonts w:ascii="Times New Roman" w:hAnsi="Times New Roman" w:cs="Times New Roman"/>
                <w:color w:val="000000" w:themeColor="text1"/>
                <w:sz w:val="21"/>
                <w:szCs w:val="21"/>
                <w14:textFill>
                  <w14:solidFill>
                    <w14:schemeClr w14:val="tx1"/>
                  </w14:solidFill>
                </w14:textFill>
              </w:rPr>
            </w:pPr>
          </w:p>
        </w:tc>
        <w:tc>
          <w:tcPr>
            <w:tcW w:w="617" w:type="pct"/>
            <w:vMerge w:val="continue"/>
            <w:shd w:val="clear" w:color="auto" w:fill="auto"/>
            <w:vAlign w:val="center"/>
          </w:tcPr>
          <w:p w14:paraId="2AF15830">
            <w:pPr>
              <w:jc w:val="center"/>
              <w:rPr>
                <w:rFonts w:ascii="Times New Roman" w:hAnsi="Times New Roman" w:cs="Times New Roman"/>
                <w:color w:val="000000" w:themeColor="text1"/>
                <w:sz w:val="21"/>
                <w:szCs w:val="21"/>
                <w14:textFill>
                  <w14:solidFill>
                    <w14:schemeClr w14:val="tx1"/>
                  </w14:solidFill>
                </w14:textFill>
              </w:rPr>
            </w:pPr>
          </w:p>
        </w:tc>
        <w:tc>
          <w:tcPr>
            <w:tcW w:w="1003" w:type="pct"/>
            <w:shd w:val="clear" w:color="auto" w:fill="auto"/>
            <w:vAlign w:val="center"/>
          </w:tcPr>
          <w:p w14:paraId="07D0EBAE">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大货车</w:t>
            </w:r>
          </w:p>
        </w:tc>
        <w:tc>
          <w:tcPr>
            <w:tcW w:w="857" w:type="pct"/>
            <w:tcBorders>
              <w:top w:val="nil"/>
              <w:left w:val="nil"/>
              <w:bottom w:val="single" w:color="auto" w:sz="8" w:space="0"/>
              <w:right w:val="single" w:color="auto" w:sz="8" w:space="0"/>
            </w:tcBorders>
            <w:shd w:val="clear" w:color="auto" w:fill="auto"/>
            <w:vAlign w:val="center"/>
          </w:tcPr>
          <w:p w14:paraId="74EE1533">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10 </w:t>
            </w:r>
          </w:p>
        </w:tc>
        <w:tc>
          <w:tcPr>
            <w:tcW w:w="857" w:type="pct"/>
            <w:tcBorders>
              <w:top w:val="nil"/>
              <w:left w:val="nil"/>
              <w:bottom w:val="single" w:color="auto" w:sz="8" w:space="0"/>
              <w:right w:val="single" w:color="auto" w:sz="8" w:space="0"/>
            </w:tcBorders>
            <w:shd w:val="clear" w:color="auto" w:fill="auto"/>
            <w:vAlign w:val="center"/>
          </w:tcPr>
          <w:p w14:paraId="6CB03F0F">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14 </w:t>
            </w:r>
          </w:p>
        </w:tc>
        <w:tc>
          <w:tcPr>
            <w:tcW w:w="855" w:type="pct"/>
            <w:tcBorders>
              <w:top w:val="nil"/>
              <w:left w:val="nil"/>
              <w:bottom w:val="single" w:color="auto" w:sz="8" w:space="0"/>
              <w:right w:val="single" w:color="auto" w:sz="8" w:space="0"/>
            </w:tcBorders>
            <w:shd w:val="clear" w:color="auto" w:fill="auto"/>
            <w:vAlign w:val="center"/>
          </w:tcPr>
          <w:p w14:paraId="40701444">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19 </w:t>
            </w:r>
          </w:p>
        </w:tc>
      </w:tr>
      <w:tr w14:paraId="5C3F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204181DC">
            <w:pPr>
              <w:jc w:val="center"/>
              <w:rPr>
                <w:rFonts w:ascii="Times New Roman" w:hAnsi="Times New Roman" w:cs="Times New Roman"/>
                <w:color w:val="000000" w:themeColor="text1"/>
                <w:sz w:val="21"/>
                <w:szCs w:val="21"/>
                <w14:textFill>
                  <w14:solidFill>
                    <w14:schemeClr w14:val="tx1"/>
                  </w14:solidFill>
                </w14:textFill>
              </w:rPr>
            </w:pPr>
          </w:p>
        </w:tc>
        <w:tc>
          <w:tcPr>
            <w:tcW w:w="617" w:type="pct"/>
            <w:vMerge w:val="continue"/>
            <w:shd w:val="clear" w:color="auto" w:fill="auto"/>
            <w:vAlign w:val="center"/>
          </w:tcPr>
          <w:p w14:paraId="0C1FA3D3">
            <w:pPr>
              <w:jc w:val="center"/>
              <w:rPr>
                <w:rFonts w:ascii="Times New Roman" w:hAnsi="Times New Roman" w:cs="Times New Roman"/>
                <w:color w:val="000000" w:themeColor="text1"/>
                <w:sz w:val="21"/>
                <w:szCs w:val="21"/>
                <w14:textFill>
                  <w14:solidFill>
                    <w14:schemeClr w14:val="tx1"/>
                  </w14:solidFill>
                </w14:textFill>
              </w:rPr>
            </w:pPr>
          </w:p>
        </w:tc>
        <w:tc>
          <w:tcPr>
            <w:tcW w:w="1003" w:type="pct"/>
            <w:shd w:val="clear" w:color="auto" w:fill="auto"/>
            <w:vAlign w:val="center"/>
          </w:tcPr>
          <w:p w14:paraId="34DC9365">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汽车列车</w:t>
            </w:r>
          </w:p>
        </w:tc>
        <w:tc>
          <w:tcPr>
            <w:tcW w:w="857" w:type="pct"/>
            <w:tcBorders>
              <w:top w:val="nil"/>
              <w:left w:val="nil"/>
              <w:bottom w:val="single" w:color="auto" w:sz="8" w:space="0"/>
              <w:right w:val="single" w:color="auto" w:sz="8" w:space="0"/>
            </w:tcBorders>
            <w:shd w:val="clear" w:color="auto" w:fill="auto"/>
            <w:vAlign w:val="center"/>
          </w:tcPr>
          <w:p w14:paraId="0D0F56F2">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32 </w:t>
            </w:r>
          </w:p>
        </w:tc>
        <w:tc>
          <w:tcPr>
            <w:tcW w:w="857" w:type="pct"/>
            <w:tcBorders>
              <w:top w:val="nil"/>
              <w:left w:val="nil"/>
              <w:bottom w:val="single" w:color="auto" w:sz="8" w:space="0"/>
              <w:right w:val="single" w:color="auto" w:sz="8" w:space="0"/>
            </w:tcBorders>
            <w:shd w:val="clear" w:color="auto" w:fill="auto"/>
            <w:vAlign w:val="center"/>
          </w:tcPr>
          <w:p w14:paraId="20873FCF">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44 </w:t>
            </w:r>
          </w:p>
        </w:tc>
        <w:tc>
          <w:tcPr>
            <w:tcW w:w="855" w:type="pct"/>
            <w:tcBorders>
              <w:top w:val="nil"/>
              <w:left w:val="nil"/>
              <w:bottom w:val="single" w:color="auto" w:sz="8" w:space="0"/>
              <w:right w:val="single" w:color="auto" w:sz="8" w:space="0"/>
            </w:tcBorders>
            <w:shd w:val="clear" w:color="auto" w:fill="auto"/>
            <w:vAlign w:val="center"/>
          </w:tcPr>
          <w:p w14:paraId="7FA79D05">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66 </w:t>
            </w:r>
          </w:p>
        </w:tc>
      </w:tr>
      <w:tr w14:paraId="4C9A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1662F2BE">
            <w:pPr>
              <w:jc w:val="center"/>
              <w:rPr>
                <w:rFonts w:ascii="Times New Roman" w:hAnsi="Times New Roman" w:cs="Times New Roman"/>
                <w:color w:val="000000" w:themeColor="text1"/>
                <w:sz w:val="21"/>
                <w:szCs w:val="21"/>
                <w14:textFill>
                  <w14:solidFill>
                    <w14:schemeClr w14:val="tx1"/>
                  </w14:solidFill>
                </w14:textFill>
              </w:rPr>
            </w:pPr>
          </w:p>
        </w:tc>
        <w:tc>
          <w:tcPr>
            <w:tcW w:w="1619" w:type="pct"/>
            <w:gridSpan w:val="2"/>
            <w:shd w:val="clear" w:color="auto" w:fill="auto"/>
            <w:vAlign w:val="center"/>
          </w:tcPr>
          <w:p w14:paraId="6D0711A0">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合计</w:t>
            </w:r>
          </w:p>
        </w:tc>
        <w:tc>
          <w:tcPr>
            <w:tcW w:w="857" w:type="pct"/>
            <w:shd w:val="clear" w:color="auto" w:fill="auto"/>
            <w:vAlign w:val="center"/>
          </w:tcPr>
          <w:p w14:paraId="433C2694">
            <w:pPr>
              <w:jc w:val="center"/>
              <w:rPr>
                <w:rFonts w:ascii="Times New Roman" w:hAnsi="Times New Roman" w:eastAsia="等线" w:cs="Times New Roman"/>
                <w:color w:val="000000" w:themeColor="text1"/>
                <w:sz w:val="21"/>
                <w:szCs w:val="21"/>
                <w14:textFill>
                  <w14:solidFill>
                    <w14:schemeClr w14:val="tx1"/>
                  </w14:solidFill>
                </w14:textFill>
              </w:rPr>
            </w:pPr>
            <w:r>
              <w:rPr>
                <w:rFonts w:hint="eastAsia" w:ascii="Times New Roman" w:hAnsi="Times New Roman" w:eastAsia="等线" w:cs="Times New Roman"/>
                <w:color w:val="000000" w:themeColor="text1"/>
                <w:sz w:val="21"/>
                <w:szCs w:val="21"/>
                <w14:textFill>
                  <w14:solidFill>
                    <w14:schemeClr w14:val="tx1"/>
                  </w14:solidFill>
                </w14:textFill>
              </w:rPr>
              <w:t>1</w:t>
            </w:r>
            <w:r>
              <w:rPr>
                <w:rFonts w:ascii="Times New Roman" w:hAnsi="Times New Roman" w:eastAsia="等线" w:cs="Times New Roman"/>
                <w:color w:val="000000" w:themeColor="text1"/>
                <w:sz w:val="21"/>
                <w:szCs w:val="21"/>
                <w14:textFill>
                  <w14:solidFill>
                    <w14:schemeClr w14:val="tx1"/>
                  </w14:solidFill>
                </w14:textFill>
              </w:rPr>
              <w:t>44</w:t>
            </w:r>
          </w:p>
        </w:tc>
        <w:tc>
          <w:tcPr>
            <w:tcW w:w="857" w:type="pct"/>
            <w:shd w:val="clear" w:color="auto" w:fill="auto"/>
            <w:vAlign w:val="center"/>
          </w:tcPr>
          <w:p w14:paraId="75A0D48D">
            <w:pPr>
              <w:jc w:val="center"/>
              <w:rPr>
                <w:rFonts w:ascii="Times New Roman" w:hAnsi="Times New Roman" w:eastAsia="等线" w:cs="Times New Roman"/>
                <w:color w:val="000000" w:themeColor="text1"/>
                <w:sz w:val="21"/>
                <w:szCs w:val="21"/>
                <w14:textFill>
                  <w14:solidFill>
                    <w14:schemeClr w14:val="tx1"/>
                  </w14:solidFill>
                </w14:textFill>
              </w:rPr>
            </w:pPr>
            <w:r>
              <w:rPr>
                <w:rFonts w:hint="eastAsia" w:ascii="Times New Roman" w:hAnsi="Times New Roman" w:eastAsia="等线" w:cs="Times New Roman"/>
                <w:color w:val="000000" w:themeColor="text1"/>
                <w:sz w:val="21"/>
                <w:szCs w:val="21"/>
                <w14:textFill>
                  <w14:solidFill>
                    <w14:schemeClr w14:val="tx1"/>
                  </w14:solidFill>
                </w14:textFill>
              </w:rPr>
              <w:t>2</w:t>
            </w:r>
            <w:r>
              <w:rPr>
                <w:rFonts w:ascii="Times New Roman" w:hAnsi="Times New Roman" w:eastAsia="等线" w:cs="Times New Roman"/>
                <w:color w:val="000000" w:themeColor="text1"/>
                <w:sz w:val="21"/>
                <w:szCs w:val="21"/>
                <w14:textFill>
                  <w14:solidFill>
                    <w14:schemeClr w14:val="tx1"/>
                  </w14:solidFill>
                </w14:textFill>
              </w:rPr>
              <w:t>12</w:t>
            </w:r>
          </w:p>
        </w:tc>
        <w:tc>
          <w:tcPr>
            <w:tcW w:w="855" w:type="pct"/>
            <w:shd w:val="clear" w:color="auto" w:fill="auto"/>
            <w:vAlign w:val="center"/>
          </w:tcPr>
          <w:p w14:paraId="36072ECB">
            <w:pPr>
              <w:jc w:val="center"/>
              <w:rPr>
                <w:rFonts w:ascii="Times New Roman" w:hAnsi="Times New Roman" w:eastAsia="等线" w:cs="Times New Roman"/>
                <w:color w:val="000000" w:themeColor="text1"/>
                <w:sz w:val="21"/>
                <w:szCs w:val="21"/>
                <w14:textFill>
                  <w14:solidFill>
                    <w14:schemeClr w14:val="tx1"/>
                  </w14:solidFill>
                </w14:textFill>
              </w:rPr>
            </w:pPr>
            <w:r>
              <w:rPr>
                <w:rFonts w:hint="eastAsia" w:ascii="Times New Roman" w:hAnsi="Times New Roman" w:eastAsia="等线" w:cs="Times New Roman"/>
                <w:color w:val="000000" w:themeColor="text1"/>
                <w:sz w:val="21"/>
                <w:szCs w:val="21"/>
                <w14:textFill>
                  <w14:solidFill>
                    <w14:schemeClr w14:val="tx1"/>
                  </w14:solidFill>
                </w14:textFill>
              </w:rPr>
              <w:t>3</w:t>
            </w:r>
            <w:r>
              <w:rPr>
                <w:rFonts w:ascii="Times New Roman" w:hAnsi="Times New Roman" w:eastAsia="等线" w:cs="Times New Roman"/>
                <w:color w:val="000000" w:themeColor="text1"/>
                <w:sz w:val="21"/>
                <w:szCs w:val="21"/>
                <w14:textFill>
                  <w14:solidFill>
                    <w14:schemeClr w14:val="tx1"/>
                  </w14:solidFill>
                </w14:textFill>
              </w:rPr>
              <w:t>16</w:t>
            </w:r>
          </w:p>
        </w:tc>
      </w:tr>
      <w:tr w14:paraId="11FF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6DC71CC9">
            <w:pPr>
              <w:jc w:val="center"/>
              <w:rPr>
                <w:rFonts w:ascii="Times New Roman" w:hAnsi="Times New Roman" w:cs="Times New Roman"/>
                <w:color w:val="000000" w:themeColor="text1"/>
                <w:sz w:val="21"/>
                <w:szCs w:val="21"/>
                <w14:textFill>
                  <w14:solidFill>
                    <w14:schemeClr w14:val="tx1"/>
                  </w14:solidFill>
                </w14:textFill>
              </w:rPr>
            </w:pPr>
          </w:p>
        </w:tc>
        <w:tc>
          <w:tcPr>
            <w:tcW w:w="617" w:type="pct"/>
            <w:vMerge w:val="restart"/>
            <w:shd w:val="clear" w:color="auto" w:fill="auto"/>
            <w:vAlign w:val="center"/>
          </w:tcPr>
          <w:p w14:paraId="0AA84814">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夜间</w:t>
            </w:r>
          </w:p>
        </w:tc>
        <w:tc>
          <w:tcPr>
            <w:tcW w:w="1003" w:type="pct"/>
            <w:shd w:val="clear" w:color="auto" w:fill="auto"/>
            <w:vAlign w:val="center"/>
          </w:tcPr>
          <w:p w14:paraId="74E1E0E2">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小车</w:t>
            </w:r>
          </w:p>
        </w:tc>
        <w:tc>
          <w:tcPr>
            <w:tcW w:w="857" w:type="pct"/>
            <w:tcBorders>
              <w:top w:val="nil"/>
              <w:left w:val="nil"/>
              <w:bottom w:val="single" w:color="auto" w:sz="8" w:space="0"/>
              <w:right w:val="single" w:color="auto" w:sz="8" w:space="0"/>
            </w:tcBorders>
            <w:shd w:val="clear" w:color="auto" w:fill="auto"/>
            <w:vAlign w:val="center"/>
          </w:tcPr>
          <w:p w14:paraId="187D3218">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55 </w:t>
            </w:r>
          </w:p>
        </w:tc>
        <w:tc>
          <w:tcPr>
            <w:tcW w:w="857" w:type="pct"/>
            <w:tcBorders>
              <w:top w:val="nil"/>
              <w:left w:val="nil"/>
              <w:bottom w:val="single" w:color="auto" w:sz="8" w:space="0"/>
              <w:right w:val="single" w:color="auto" w:sz="8" w:space="0"/>
            </w:tcBorders>
            <w:shd w:val="clear" w:color="auto" w:fill="auto"/>
            <w:vAlign w:val="center"/>
          </w:tcPr>
          <w:p w14:paraId="15F77D17">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83 </w:t>
            </w:r>
          </w:p>
        </w:tc>
        <w:tc>
          <w:tcPr>
            <w:tcW w:w="855" w:type="pct"/>
            <w:tcBorders>
              <w:top w:val="nil"/>
              <w:left w:val="nil"/>
              <w:bottom w:val="single" w:color="auto" w:sz="8" w:space="0"/>
              <w:right w:val="single" w:color="auto" w:sz="8" w:space="0"/>
            </w:tcBorders>
            <w:shd w:val="clear" w:color="auto" w:fill="auto"/>
            <w:vAlign w:val="center"/>
          </w:tcPr>
          <w:p w14:paraId="5286A1F0">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125 </w:t>
            </w:r>
          </w:p>
        </w:tc>
      </w:tr>
      <w:tr w14:paraId="030A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0AFC6D3C">
            <w:pPr>
              <w:jc w:val="center"/>
              <w:rPr>
                <w:rFonts w:ascii="Times New Roman" w:hAnsi="Times New Roman" w:cs="Times New Roman"/>
                <w:color w:val="000000" w:themeColor="text1"/>
                <w:sz w:val="21"/>
                <w:szCs w:val="21"/>
                <w14:textFill>
                  <w14:solidFill>
                    <w14:schemeClr w14:val="tx1"/>
                  </w14:solidFill>
                </w14:textFill>
              </w:rPr>
            </w:pPr>
          </w:p>
        </w:tc>
        <w:tc>
          <w:tcPr>
            <w:tcW w:w="617" w:type="pct"/>
            <w:vMerge w:val="continue"/>
            <w:shd w:val="clear" w:color="auto" w:fill="auto"/>
            <w:vAlign w:val="center"/>
          </w:tcPr>
          <w:p w14:paraId="10F75178">
            <w:pPr>
              <w:jc w:val="center"/>
              <w:rPr>
                <w:rFonts w:ascii="Times New Roman" w:hAnsi="Times New Roman" w:cs="Times New Roman"/>
                <w:color w:val="000000" w:themeColor="text1"/>
                <w:sz w:val="21"/>
                <w:szCs w:val="21"/>
                <w14:textFill>
                  <w14:solidFill>
                    <w14:schemeClr w14:val="tx1"/>
                  </w14:solidFill>
                </w14:textFill>
              </w:rPr>
            </w:pPr>
          </w:p>
        </w:tc>
        <w:tc>
          <w:tcPr>
            <w:tcW w:w="1003" w:type="pct"/>
            <w:shd w:val="clear" w:color="auto" w:fill="auto"/>
            <w:vAlign w:val="center"/>
          </w:tcPr>
          <w:p w14:paraId="7AFD24AF">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中车</w:t>
            </w:r>
          </w:p>
        </w:tc>
        <w:tc>
          <w:tcPr>
            <w:tcW w:w="857" w:type="pct"/>
            <w:tcBorders>
              <w:top w:val="nil"/>
              <w:left w:val="nil"/>
              <w:bottom w:val="single" w:color="auto" w:sz="8" w:space="0"/>
              <w:right w:val="single" w:color="auto" w:sz="8" w:space="0"/>
            </w:tcBorders>
            <w:shd w:val="clear" w:color="auto" w:fill="auto"/>
            <w:vAlign w:val="center"/>
          </w:tcPr>
          <w:p w14:paraId="5C754156">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7 </w:t>
            </w:r>
          </w:p>
        </w:tc>
        <w:tc>
          <w:tcPr>
            <w:tcW w:w="857" w:type="pct"/>
            <w:tcBorders>
              <w:top w:val="nil"/>
              <w:left w:val="nil"/>
              <w:bottom w:val="single" w:color="auto" w:sz="8" w:space="0"/>
              <w:right w:val="single" w:color="auto" w:sz="8" w:space="0"/>
            </w:tcBorders>
            <w:shd w:val="clear" w:color="auto" w:fill="auto"/>
            <w:vAlign w:val="center"/>
          </w:tcPr>
          <w:p w14:paraId="19587283">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10 </w:t>
            </w:r>
          </w:p>
        </w:tc>
        <w:tc>
          <w:tcPr>
            <w:tcW w:w="855" w:type="pct"/>
            <w:tcBorders>
              <w:top w:val="nil"/>
              <w:left w:val="nil"/>
              <w:bottom w:val="single" w:color="auto" w:sz="8" w:space="0"/>
              <w:right w:val="single" w:color="auto" w:sz="8" w:space="0"/>
            </w:tcBorders>
            <w:shd w:val="clear" w:color="auto" w:fill="auto"/>
            <w:vAlign w:val="center"/>
          </w:tcPr>
          <w:p w14:paraId="712DBF23">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15 </w:t>
            </w:r>
          </w:p>
        </w:tc>
      </w:tr>
      <w:tr w14:paraId="3743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49C48830">
            <w:pPr>
              <w:jc w:val="center"/>
              <w:rPr>
                <w:rFonts w:ascii="Times New Roman" w:hAnsi="Times New Roman" w:cs="Times New Roman"/>
                <w:color w:val="000000" w:themeColor="text1"/>
                <w:sz w:val="21"/>
                <w:szCs w:val="21"/>
                <w14:textFill>
                  <w14:solidFill>
                    <w14:schemeClr w14:val="tx1"/>
                  </w14:solidFill>
                </w14:textFill>
              </w:rPr>
            </w:pPr>
          </w:p>
        </w:tc>
        <w:tc>
          <w:tcPr>
            <w:tcW w:w="617" w:type="pct"/>
            <w:vMerge w:val="continue"/>
            <w:shd w:val="clear" w:color="auto" w:fill="auto"/>
            <w:vAlign w:val="center"/>
          </w:tcPr>
          <w:p w14:paraId="13A96F03">
            <w:pPr>
              <w:jc w:val="center"/>
              <w:rPr>
                <w:rFonts w:ascii="Times New Roman" w:hAnsi="Times New Roman" w:cs="Times New Roman"/>
                <w:color w:val="000000" w:themeColor="text1"/>
                <w:sz w:val="21"/>
                <w:szCs w:val="21"/>
                <w14:textFill>
                  <w14:solidFill>
                    <w14:schemeClr w14:val="tx1"/>
                  </w14:solidFill>
                </w14:textFill>
              </w:rPr>
            </w:pPr>
          </w:p>
        </w:tc>
        <w:tc>
          <w:tcPr>
            <w:tcW w:w="1003" w:type="pct"/>
            <w:shd w:val="clear" w:color="auto" w:fill="auto"/>
            <w:vAlign w:val="center"/>
          </w:tcPr>
          <w:p w14:paraId="66147AD6">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大货车</w:t>
            </w:r>
          </w:p>
        </w:tc>
        <w:tc>
          <w:tcPr>
            <w:tcW w:w="857" w:type="pct"/>
            <w:tcBorders>
              <w:top w:val="nil"/>
              <w:left w:val="nil"/>
              <w:bottom w:val="single" w:color="auto" w:sz="8" w:space="0"/>
              <w:right w:val="single" w:color="auto" w:sz="8" w:space="0"/>
            </w:tcBorders>
            <w:shd w:val="clear" w:color="auto" w:fill="auto"/>
            <w:vAlign w:val="center"/>
          </w:tcPr>
          <w:p w14:paraId="3AB95F26">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6 </w:t>
            </w:r>
          </w:p>
        </w:tc>
        <w:tc>
          <w:tcPr>
            <w:tcW w:w="857" w:type="pct"/>
            <w:tcBorders>
              <w:top w:val="nil"/>
              <w:left w:val="nil"/>
              <w:bottom w:val="single" w:color="auto" w:sz="8" w:space="0"/>
              <w:right w:val="single" w:color="auto" w:sz="8" w:space="0"/>
            </w:tcBorders>
            <w:shd w:val="clear" w:color="auto" w:fill="auto"/>
            <w:vAlign w:val="center"/>
          </w:tcPr>
          <w:p w14:paraId="748414DC">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8 </w:t>
            </w:r>
          </w:p>
        </w:tc>
        <w:tc>
          <w:tcPr>
            <w:tcW w:w="855" w:type="pct"/>
            <w:tcBorders>
              <w:top w:val="nil"/>
              <w:left w:val="nil"/>
              <w:bottom w:val="single" w:color="auto" w:sz="8" w:space="0"/>
              <w:right w:val="single" w:color="auto" w:sz="8" w:space="0"/>
            </w:tcBorders>
            <w:shd w:val="clear" w:color="auto" w:fill="auto"/>
            <w:vAlign w:val="center"/>
          </w:tcPr>
          <w:p w14:paraId="0A2136E2">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11 </w:t>
            </w:r>
          </w:p>
        </w:tc>
      </w:tr>
      <w:tr w14:paraId="4075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27F24D86">
            <w:pPr>
              <w:jc w:val="center"/>
              <w:rPr>
                <w:rFonts w:ascii="Times New Roman" w:hAnsi="Times New Roman" w:cs="Times New Roman"/>
                <w:color w:val="000000" w:themeColor="text1"/>
                <w:sz w:val="21"/>
                <w:szCs w:val="21"/>
                <w14:textFill>
                  <w14:solidFill>
                    <w14:schemeClr w14:val="tx1"/>
                  </w14:solidFill>
                </w14:textFill>
              </w:rPr>
            </w:pPr>
          </w:p>
        </w:tc>
        <w:tc>
          <w:tcPr>
            <w:tcW w:w="617" w:type="pct"/>
            <w:vMerge w:val="continue"/>
            <w:shd w:val="clear" w:color="auto" w:fill="auto"/>
            <w:vAlign w:val="center"/>
          </w:tcPr>
          <w:p w14:paraId="1594E3ED">
            <w:pPr>
              <w:jc w:val="center"/>
              <w:rPr>
                <w:rFonts w:ascii="Times New Roman" w:hAnsi="Times New Roman" w:cs="Times New Roman"/>
                <w:color w:val="000000" w:themeColor="text1"/>
                <w:sz w:val="21"/>
                <w:szCs w:val="21"/>
                <w14:textFill>
                  <w14:solidFill>
                    <w14:schemeClr w14:val="tx1"/>
                  </w14:solidFill>
                </w14:textFill>
              </w:rPr>
            </w:pPr>
          </w:p>
        </w:tc>
        <w:tc>
          <w:tcPr>
            <w:tcW w:w="1003" w:type="pct"/>
            <w:shd w:val="clear" w:color="auto" w:fill="auto"/>
            <w:vAlign w:val="center"/>
          </w:tcPr>
          <w:p w14:paraId="0BF8B13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汽车列车</w:t>
            </w:r>
          </w:p>
        </w:tc>
        <w:tc>
          <w:tcPr>
            <w:tcW w:w="857" w:type="pct"/>
            <w:tcBorders>
              <w:top w:val="nil"/>
              <w:left w:val="nil"/>
              <w:bottom w:val="single" w:color="auto" w:sz="8" w:space="0"/>
              <w:right w:val="single" w:color="auto" w:sz="8" w:space="0"/>
            </w:tcBorders>
            <w:shd w:val="clear" w:color="auto" w:fill="auto"/>
            <w:vAlign w:val="center"/>
          </w:tcPr>
          <w:p w14:paraId="5EB2AA8C">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19 </w:t>
            </w:r>
          </w:p>
        </w:tc>
        <w:tc>
          <w:tcPr>
            <w:tcW w:w="857" w:type="pct"/>
            <w:tcBorders>
              <w:top w:val="nil"/>
              <w:left w:val="nil"/>
              <w:bottom w:val="single" w:color="auto" w:sz="8" w:space="0"/>
              <w:right w:val="single" w:color="auto" w:sz="8" w:space="0"/>
            </w:tcBorders>
            <w:shd w:val="clear" w:color="auto" w:fill="auto"/>
            <w:vAlign w:val="center"/>
          </w:tcPr>
          <w:p w14:paraId="07459F78">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27 </w:t>
            </w:r>
          </w:p>
        </w:tc>
        <w:tc>
          <w:tcPr>
            <w:tcW w:w="855" w:type="pct"/>
            <w:tcBorders>
              <w:top w:val="nil"/>
              <w:left w:val="nil"/>
              <w:bottom w:val="single" w:color="auto" w:sz="8" w:space="0"/>
              <w:right w:val="single" w:color="auto" w:sz="8" w:space="0"/>
            </w:tcBorders>
            <w:shd w:val="clear" w:color="auto" w:fill="auto"/>
            <w:vAlign w:val="center"/>
          </w:tcPr>
          <w:p w14:paraId="15037392">
            <w:pPr>
              <w:jc w:val="center"/>
              <w:rPr>
                <w:rFonts w:ascii="Times New Roman" w:hAnsi="Times New Roman" w:eastAsia="等线"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40 </w:t>
            </w:r>
          </w:p>
        </w:tc>
      </w:tr>
      <w:tr w14:paraId="6BA5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1" w:type="pct"/>
            <w:vMerge w:val="continue"/>
            <w:shd w:val="clear" w:color="auto" w:fill="auto"/>
            <w:vAlign w:val="center"/>
          </w:tcPr>
          <w:p w14:paraId="73AEACD1">
            <w:pPr>
              <w:jc w:val="center"/>
              <w:rPr>
                <w:rFonts w:ascii="Times New Roman" w:hAnsi="Times New Roman" w:cs="Times New Roman"/>
                <w:color w:val="000000" w:themeColor="text1"/>
                <w:sz w:val="21"/>
                <w:szCs w:val="21"/>
                <w14:textFill>
                  <w14:solidFill>
                    <w14:schemeClr w14:val="tx1"/>
                  </w14:solidFill>
                </w14:textFill>
              </w:rPr>
            </w:pPr>
          </w:p>
        </w:tc>
        <w:tc>
          <w:tcPr>
            <w:tcW w:w="1619" w:type="pct"/>
            <w:gridSpan w:val="2"/>
            <w:shd w:val="clear" w:color="auto" w:fill="auto"/>
            <w:vAlign w:val="center"/>
          </w:tcPr>
          <w:p w14:paraId="0F28CA03">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合计</w:t>
            </w:r>
          </w:p>
        </w:tc>
        <w:tc>
          <w:tcPr>
            <w:tcW w:w="857" w:type="pct"/>
            <w:shd w:val="clear" w:color="auto" w:fill="auto"/>
            <w:vAlign w:val="center"/>
          </w:tcPr>
          <w:p w14:paraId="2ADA80C6">
            <w:pPr>
              <w:jc w:val="center"/>
              <w:rPr>
                <w:rFonts w:ascii="Times New Roman" w:hAnsi="Times New Roman" w:eastAsia="等线" w:cs="Times New Roman"/>
                <w:color w:val="000000" w:themeColor="text1"/>
                <w:sz w:val="21"/>
                <w:szCs w:val="21"/>
                <w14:textFill>
                  <w14:solidFill>
                    <w14:schemeClr w14:val="tx1"/>
                  </w14:solidFill>
                </w14:textFill>
              </w:rPr>
            </w:pPr>
            <w:r>
              <w:rPr>
                <w:rFonts w:hint="eastAsia" w:ascii="Times New Roman" w:hAnsi="Times New Roman" w:eastAsia="等线" w:cs="Times New Roman"/>
                <w:color w:val="000000" w:themeColor="text1"/>
                <w:sz w:val="21"/>
                <w:szCs w:val="21"/>
                <w14:textFill>
                  <w14:solidFill>
                    <w14:schemeClr w14:val="tx1"/>
                  </w14:solidFill>
                </w14:textFill>
              </w:rPr>
              <w:t>8</w:t>
            </w:r>
            <w:r>
              <w:rPr>
                <w:rFonts w:ascii="Times New Roman" w:hAnsi="Times New Roman" w:eastAsia="等线" w:cs="Times New Roman"/>
                <w:color w:val="000000" w:themeColor="text1"/>
                <w:sz w:val="21"/>
                <w:szCs w:val="21"/>
                <w14:textFill>
                  <w14:solidFill>
                    <w14:schemeClr w14:val="tx1"/>
                  </w14:solidFill>
                </w14:textFill>
              </w:rPr>
              <w:t>7</w:t>
            </w:r>
          </w:p>
        </w:tc>
        <w:tc>
          <w:tcPr>
            <w:tcW w:w="857" w:type="pct"/>
            <w:shd w:val="clear" w:color="auto" w:fill="auto"/>
            <w:vAlign w:val="center"/>
          </w:tcPr>
          <w:p w14:paraId="1B8B01CD">
            <w:pPr>
              <w:jc w:val="center"/>
              <w:rPr>
                <w:rFonts w:ascii="Times New Roman" w:hAnsi="Times New Roman" w:eastAsia="等线" w:cs="Times New Roman"/>
                <w:color w:val="000000" w:themeColor="text1"/>
                <w:sz w:val="21"/>
                <w:szCs w:val="21"/>
                <w14:textFill>
                  <w14:solidFill>
                    <w14:schemeClr w14:val="tx1"/>
                  </w14:solidFill>
                </w14:textFill>
              </w:rPr>
            </w:pPr>
            <w:r>
              <w:rPr>
                <w:rFonts w:hint="eastAsia" w:ascii="Times New Roman" w:hAnsi="Times New Roman" w:eastAsia="等线" w:cs="Times New Roman"/>
                <w:color w:val="000000" w:themeColor="text1"/>
                <w:sz w:val="21"/>
                <w:szCs w:val="21"/>
                <w14:textFill>
                  <w14:solidFill>
                    <w14:schemeClr w14:val="tx1"/>
                  </w14:solidFill>
                </w14:textFill>
              </w:rPr>
              <w:t>1</w:t>
            </w:r>
            <w:r>
              <w:rPr>
                <w:rFonts w:ascii="Times New Roman" w:hAnsi="Times New Roman" w:eastAsia="等线" w:cs="Times New Roman"/>
                <w:color w:val="000000" w:themeColor="text1"/>
                <w:sz w:val="21"/>
                <w:szCs w:val="21"/>
                <w14:textFill>
                  <w14:solidFill>
                    <w14:schemeClr w14:val="tx1"/>
                  </w14:solidFill>
                </w14:textFill>
              </w:rPr>
              <w:t>28</w:t>
            </w:r>
          </w:p>
        </w:tc>
        <w:tc>
          <w:tcPr>
            <w:tcW w:w="855" w:type="pct"/>
            <w:shd w:val="clear" w:color="auto" w:fill="auto"/>
            <w:vAlign w:val="center"/>
          </w:tcPr>
          <w:p w14:paraId="3ED0CF18">
            <w:pPr>
              <w:jc w:val="center"/>
              <w:rPr>
                <w:rFonts w:ascii="Times New Roman" w:hAnsi="Times New Roman" w:eastAsia="等线" w:cs="Times New Roman"/>
                <w:color w:val="000000" w:themeColor="text1"/>
                <w:sz w:val="21"/>
                <w:szCs w:val="21"/>
                <w14:textFill>
                  <w14:solidFill>
                    <w14:schemeClr w14:val="tx1"/>
                  </w14:solidFill>
                </w14:textFill>
              </w:rPr>
            </w:pPr>
            <w:r>
              <w:rPr>
                <w:rFonts w:hint="eastAsia" w:ascii="Times New Roman" w:hAnsi="Times New Roman" w:eastAsia="等线" w:cs="Times New Roman"/>
                <w:color w:val="000000" w:themeColor="text1"/>
                <w:sz w:val="21"/>
                <w:szCs w:val="21"/>
                <w14:textFill>
                  <w14:solidFill>
                    <w14:schemeClr w14:val="tx1"/>
                  </w14:solidFill>
                </w14:textFill>
              </w:rPr>
              <w:t>1</w:t>
            </w:r>
            <w:r>
              <w:rPr>
                <w:rFonts w:ascii="Times New Roman" w:hAnsi="Times New Roman" w:eastAsia="等线" w:cs="Times New Roman"/>
                <w:color w:val="000000" w:themeColor="text1"/>
                <w:sz w:val="21"/>
                <w:szCs w:val="21"/>
                <w14:textFill>
                  <w14:solidFill>
                    <w14:schemeClr w14:val="tx1"/>
                  </w14:solidFill>
                </w14:textFill>
              </w:rPr>
              <w:t>91</w:t>
            </w:r>
          </w:p>
        </w:tc>
      </w:tr>
    </w:tbl>
    <w:p w14:paraId="4AF8A5B3">
      <w:pPr>
        <w:adjustRightInd w:val="0"/>
        <w:snapToGrid w:val="0"/>
        <w:jc w:val="center"/>
        <w:rPr>
          <w:rFonts w:ascii="Times New Roman" w:hAnsi="Times New Roman" w:eastAsia="黑体" w:cs="Times New Roman"/>
          <w:bCs/>
        </w:rPr>
      </w:pPr>
    </w:p>
    <w:p w14:paraId="3FF9B10C">
      <w:pPr>
        <w:adjustRightInd w:val="0"/>
        <w:snapToGrid w:val="0"/>
        <w:jc w:val="center"/>
        <w:rPr>
          <w:rFonts w:ascii="Times New Roman" w:hAnsi="Times New Roman" w:eastAsia="黑体" w:cs="Times New Roman"/>
          <w:bCs/>
        </w:rPr>
      </w:pPr>
    </w:p>
    <w:p w14:paraId="6909FE36">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5.3.2.2公路交通噪声预测模式</w:t>
      </w:r>
    </w:p>
    <w:p w14:paraId="3F6A4A30">
      <w:pPr>
        <w:spacing w:line="360" w:lineRule="auto"/>
        <w:ind w:firstLine="480" w:firstLineChars="200"/>
        <w:jc w:val="both"/>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w:t>
      </w:r>
      <w:r>
        <w:rPr>
          <w:rFonts w:ascii="Times New Roman" w:hAnsi="Times New Roman" w:cs="Times New Roman"/>
          <w:color w:val="000000" w:themeColor="text1"/>
          <w:lang w:val="en-GB"/>
          <w14:textFill>
            <w14:solidFill>
              <w14:schemeClr w14:val="tx1"/>
            </w14:solidFill>
          </w14:textFill>
        </w:rPr>
        <w:t>运行期的噪声主要为车辆发动机噪声、车辆行驶产生的噪声。采用《</w:t>
      </w:r>
      <w:r>
        <w:rPr>
          <w:rFonts w:ascii="Times New Roman" w:hAnsi="Times New Roman" w:cs="Times New Roman"/>
          <w:color w:val="000000" w:themeColor="text1"/>
          <w14:textFill>
            <w14:solidFill>
              <w14:schemeClr w14:val="tx1"/>
            </w14:solidFill>
          </w14:textFill>
        </w:rPr>
        <w:t>环境影响评价技术导则 公路建设项目</w:t>
      </w:r>
      <w:r>
        <w:rPr>
          <w:rFonts w:ascii="Times New Roman" w:hAnsi="Times New Roman" w:cs="Times New Roman"/>
          <w:color w:val="000000" w:themeColor="text1"/>
          <w:lang w:val="en-GB"/>
          <w14:textFill>
            <w14:solidFill>
              <w14:schemeClr w14:val="tx1"/>
            </w14:solidFill>
          </w14:textFill>
        </w:rPr>
        <w:t>》（HJ 1358—2024）中公路交通噪声预测模型进行预测。</w:t>
      </w:r>
    </w:p>
    <w:p w14:paraId="6BACF4D8">
      <w:pPr>
        <w:spacing w:line="360" w:lineRule="auto"/>
        <w:ind w:firstLine="480" w:firstLineChars="200"/>
        <w:jc w:val="both"/>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（1）公路交通噪声预测模式</w:t>
      </w:r>
    </w:p>
    <w:p w14:paraId="6539E167">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第i类车等效声级的预测模式：</w:t>
      </w:r>
    </w:p>
    <w:p w14:paraId="78890BA6">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4140200" cy="46418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4"/>
                    <a:stretch>
                      <a:fillRect/>
                    </a:stretch>
                  </pic:blipFill>
                  <pic:spPr>
                    <a:xfrm>
                      <a:off x="0" y="0"/>
                      <a:ext cx="4186331" cy="469904"/>
                    </a:xfrm>
                    <a:prstGeom prst="rect">
                      <a:avLst/>
                    </a:prstGeom>
                  </pic:spPr>
                </pic:pic>
              </a:graphicData>
            </a:graphic>
          </wp:inline>
        </w:drawing>
      </w:r>
    </w:p>
    <w:p w14:paraId="3C90DA56">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drawing>
          <wp:inline distT="0" distB="0" distL="0" distR="0">
            <wp:extent cx="543560" cy="19685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5"/>
                    <a:stretch>
                      <a:fillRect/>
                    </a:stretch>
                  </pic:blipFill>
                  <pic:spPr>
                    <a:xfrm>
                      <a:off x="0" y="0"/>
                      <a:ext cx="589213" cy="213157"/>
                    </a:xfrm>
                    <a:prstGeom prst="rect">
                      <a:avLst/>
                    </a:prstGeom>
                  </pic:spPr>
                </pic:pic>
              </a:graphicData>
            </a:graphic>
          </wp:inline>
        </w:drawing>
      </w:r>
      <w:r>
        <w:rPr>
          <w:rFonts w:ascii="Times New Roman" w:hAnsi="Times New Roman" w:cs="Times New Roman"/>
          <w:color w:val="000000" w:themeColor="text1"/>
          <w14:textFill>
            <w14:solidFill>
              <w14:schemeClr w14:val="tx1"/>
            </w14:solidFill>
          </w14:textFill>
        </w:rPr>
        <w:t>——第i类车的小时等效声级，dB（A）；</w:t>
      </w:r>
    </w:p>
    <w:p w14:paraId="1C14F8F9">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object>
          <v:shape id="_x0000_i1049" o:spt="75" type="#_x0000_t75" style="height:22.1pt;width:37.05pt;" o:ole="t" filled="f" o:preferrelative="t" stroked="f" coordsize="21600,21600">
            <v:path/>
            <v:fill on="f" focussize="0,0"/>
            <v:stroke on="f" joinstyle="miter"/>
            <v:imagedata r:id="rId77" o:title=""/>
            <o:lock v:ext="edit" aspectratio="t"/>
            <w10:wrap type="none"/>
            <w10:anchorlock/>
          </v:shape>
          <o:OLEObject Type="Embed" ProgID="Equation.3" ShapeID="_x0000_i1049" DrawAspect="Content" ObjectID="_1468075747" r:id="rId76">
            <o:LockedField>false</o:LockedField>
          </o:OLEObject>
        </w:object>
      </w:r>
      <w:r>
        <w:rPr>
          <w:rFonts w:ascii="Times New Roman" w:hAnsi="Times New Roman" w:cs="Times New Roman"/>
          <w:color w:val="000000" w:themeColor="text1"/>
          <w14:textFill>
            <w14:solidFill>
              <w14:schemeClr w14:val="tx1"/>
            </w14:solidFill>
          </w14:textFill>
        </w:rPr>
        <w:t>——距第</w:t>
      </w:r>
      <w:r>
        <w:rPr>
          <w:rFonts w:ascii="Times New Roman" w:hAnsi="Times New Roman" w:cs="Times New Roman"/>
          <w:i/>
          <w:iCs/>
          <w:color w:val="000000" w:themeColor="text1"/>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类车水平距离为7.5m处的平均辐射噪声级，dB(A)；</w:t>
      </w:r>
    </w:p>
    <w:p w14:paraId="6BA0393A">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Ni——</w:t>
      </w:r>
      <w:r>
        <w:rPr>
          <w:rFonts w:ascii="Times New Roman" w:hAnsi="Times New Roman" w:cs="Times New Roman"/>
          <w:color w:val="000000" w:themeColor="text1"/>
          <w14:textFill>
            <w14:solidFill>
              <w14:schemeClr w14:val="tx1"/>
            </w14:solidFill>
          </w14:textFill>
        </w:rPr>
        <w:t>昼间、夜间通过某预测点的第i类车平均小时车流量，辆/h；</w:t>
      </w:r>
    </w:p>
    <w:p w14:paraId="7CC05EED">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Vi——</w:t>
      </w:r>
      <w:r>
        <w:rPr>
          <w:rFonts w:ascii="Times New Roman" w:hAnsi="Times New Roman" w:cs="Times New Roman"/>
          <w:color w:val="000000" w:themeColor="text1"/>
          <w14:textFill>
            <w14:solidFill>
              <w14:schemeClr w14:val="tx1"/>
            </w14:solidFill>
          </w14:textFill>
        </w:rPr>
        <w:t>第</w:t>
      </w:r>
      <w:r>
        <w:rPr>
          <w:rFonts w:ascii="Times New Roman" w:hAnsi="Times New Roman" w:cs="Times New Roman"/>
          <w:i/>
          <w:iCs/>
          <w:color w:val="000000" w:themeColor="text1"/>
          <w14:textFill>
            <w14:solidFill>
              <w14:schemeClr w14:val="tx1"/>
            </w14:solidFill>
          </w14:textFill>
        </w:rPr>
        <w:t>i</w:t>
      </w:r>
      <w:r>
        <w:rPr>
          <w:rFonts w:ascii="Times New Roman" w:hAnsi="Times New Roman" w:cs="Times New Roman"/>
          <w:color w:val="000000" w:themeColor="text1"/>
          <w14:textFill>
            <w14:solidFill>
              <w14:schemeClr w14:val="tx1"/>
            </w14:solidFill>
          </w14:textFill>
        </w:rPr>
        <w:t>类车的平均车速，km/h；</w:t>
      </w:r>
    </w:p>
    <w:p w14:paraId="7B06A9D9">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T——</w:t>
      </w:r>
      <w:r>
        <w:rPr>
          <w:rFonts w:ascii="Times New Roman" w:hAnsi="Times New Roman" w:cs="Times New Roman"/>
          <w:color w:val="000000" w:themeColor="text1"/>
          <w14:textFill>
            <w14:solidFill>
              <w14:schemeClr w14:val="tx1"/>
            </w14:solidFill>
          </w14:textFill>
        </w:rPr>
        <w:t>计算等效声级的时间，1h；</w:t>
      </w:r>
    </w:p>
    <w:p w14:paraId="49AEDE7F">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距离</w:t>
      </w:r>
      <w:r>
        <w:rPr>
          <w:rFonts w:ascii="Times New Roman" w:hAnsi="Times New Roman" w:cs="Times New Roman"/>
          <w:i/>
          <w:iCs/>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距离衰减量，dB(A)；</w:t>
      </w:r>
    </w:p>
    <w:p w14:paraId="549A80EE">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θ——</w:t>
      </w:r>
      <w:r>
        <w:rPr>
          <w:rFonts w:ascii="Times New Roman" w:hAnsi="Times New Roman" w:cs="Times New Roman"/>
          <w:color w:val="000000" w:themeColor="text1"/>
          <w14:textFill>
            <w14:solidFill>
              <w14:schemeClr w14:val="tx1"/>
            </w14:solidFill>
          </w14:textFill>
        </w:rPr>
        <w:t>预测点到有限长路段两端的张角，弧度；</w:t>
      </w:r>
    </w:p>
    <w:p w14:paraId="46511FA6">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由其它因素引起的修正量，dB(A)。</w:t>
      </w:r>
    </w:p>
    <w:p w14:paraId="31380071">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距离按下列公式计算：</w:t>
      </w:r>
    </w:p>
    <w:p w14:paraId="4C75C06C">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2444750" cy="735330"/>
            <wp:effectExtent l="0" t="0" r="0"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8"/>
                    <a:stretch>
                      <a:fillRect/>
                    </a:stretch>
                  </pic:blipFill>
                  <pic:spPr>
                    <a:xfrm>
                      <a:off x="0" y="0"/>
                      <a:ext cx="2471191" cy="743558"/>
                    </a:xfrm>
                    <a:prstGeom prst="rect">
                      <a:avLst/>
                    </a:prstGeom>
                  </pic:spPr>
                </pic:pic>
              </a:graphicData>
            </a:graphic>
          </wp:inline>
        </w:drawing>
      </w:r>
    </w:p>
    <w:p w14:paraId="5C63D31D">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距离——距离衰减量，dB(A)；</w:t>
      </w:r>
    </w:p>
    <w:p w14:paraId="7CA6DE3E">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 xml:space="preserve">r </w:t>
      </w:r>
      <w:r>
        <w:rPr>
          <w:rFonts w:ascii="Times New Roman" w:hAnsi="Times New Roman" w:cs="Times New Roman"/>
          <w:color w:val="000000" w:themeColor="text1"/>
          <w14:textFill>
            <w14:solidFill>
              <w14:schemeClr w14:val="tx1"/>
            </w14:solidFill>
          </w14:textFill>
        </w:rPr>
        <w:t>——从车道中心线到预测点的距离，m；</w:t>
      </w:r>
    </w:p>
    <w:p w14:paraId="28A8E124">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N</w:t>
      </w:r>
      <w:r>
        <w:rPr>
          <w:rFonts w:ascii="Times New Roman" w:hAnsi="Times New Roman" w:cs="Times New Roman"/>
          <w:color w:val="000000" w:themeColor="text1"/>
          <w:vertAlign w:val="subscript"/>
          <w14:textFill>
            <w14:solidFill>
              <w14:schemeClr w14:val="tx1"/>
            </w14:solidFill>
          </w14:textFill>
        </w:rPr>
        <w:t>max</w:t>
      </w:r>
      <w:r>
        <w:rPr>
          <w:rFonts w:ascii="Times New Roman" w:hAnsi="Times New Roman" w:cs="Times New Roman"/>
          <w:color w:val="000000" w:themeColor="text1"/>
          <w14:textFill>
            <w14:solidFill>
              <w14:schemeClr w14:val="tx1"/>
            </w14:solidFill>
          </w14:textFill>
        </w:rPr>
        <w:t>——最大平均小时车流量，辆/h，取公路营运期各代表年份、各路段平均小时车流量中的最大值，本项目</w:t>
      </w:r>
      <w:r>
        <w:rPr>
          <w:rFonts w:ascii="Times New Roman" w:hAnsi="Times New Roman" w:cs="Times New Roman"/>
          <w:i/>
          <w:iCs/>
          <w:color w:val="000000" w:themeColor="text1"/>
          <w14:textFill>
            <w14:solidFill>
              <w14:schemeClr w14:val="tx1"/>
            </w14:solidFill>
          </w14:textFill>
        </w:rPr>
        <w:t>N</w:t>
      </w:r>
      <w:r>
        <w:rPr>
          <w:rFonts w:ascii="Times New Roman" w:hAnsi="Times New Roman" w:cs="Times New Roman"/>
          <w:color w:val="000000" w:themeColor="text1"/>
          <w:vertAlign w:val="subscript"/>
          <w14:textFill>
            <w14:solidFill>
              <w14:schemeClr w14:val="tx1"/>
            </w14:solidFill>
          </w14:textFill>
        </w:rPr>
        <w:t>max，</w:t>
      </w:r>
      <w:r>
        <w:rPr>
          <w:rFonts w:ascii="Times New Roman" w:hAnsi="Times New Roman" w:cs="Times New Roman"/>
          <w:color w:val="000000" w:themeColor="text1"/>
          <w14:textFill>
            <w14:solidFill>
              <w14:schemeClr w14:val="tx1"/>
            </w14:solidFill>
          </w14:textFill>
        </w:rPr>
        <w:t>&lt;300辆/h；</w:t>
      </w:r>
    </w:p>
    <w:p w14:paraId="71D1FC37">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按下列公式计算：</w:t>
      </w:r>
    </w:p>
    <w:p w14:paraId="1FC5B787">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2</w:t>
      </w:r>
    </w:p>
    <w:p w14:paraId="7F1E7F18">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14:textFill>
            <w14:solidFill>
              <w14:schemeClr w14:val="tx1"/>
            </w14:solidFill>
          </w14:textFill>
        </w:rPr>
        <w:t>——由其它因素引起的修正量，dB(A)；</w:t>
      </w:r>
    </w:p>
    <w:p w14:paraId="4FFEBFBE">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——线路因素引起的修正量，dB(A)；</w:t>
      </w:r>
    </w:p>
    <w:p w14:paraId="7B0EB7F5">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——声波传播途径中引起的衰减量，dB(A)。</w:t>
      </w:r>
    </w:p>
    <w:p w14:paraId="7EB42D55">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按下列公式计算：</w:t>
      </w:r>
    </w:p>
    <w:p w14:paraId="613C157B">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i/>
          <w:iCs/>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坡度</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路面</w:t>
      </w:r>
    </w:p>
    <w:p w14:paraId="5910F669">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——线路因素引起的修正量，dB(A)；</w:t>
      </w:r>
    </w:p>
    <w:p w14:paraId="7AC9F51B">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坡度</w:t>
      </w:r>
      <w:r>
        <w:rPr>
          <w:rFonts w:ascii="Times New Roman" w:hAnsi="Times New Roman" w:cs="Times New Roman"/>
          <w:color w:val="000000" w:themeColor="text1"/>
          <w14:textFill>
            <w14:solidFill>
              <w14:schemeClr w14:val="tx1"/>
            </w14:solidFill>
          </w14:textFill>
        </w:rPr>
        <w:t>——公路纵坡引起的修正量，dB(A)；</w:t>
      </w:r>
    </w:p>
    <w:p w14:paraId="30CCFA48">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路面</w:t>
      </w:r>
      <w:r>
        <w:rPr>
          <w:rFonts w:ascii="Times New Roman" w:hAnsi="Times New Roman" w:cs="Times New Roman"/>
          <w:color w:val="000000" w:themeColor="text1"/>
          <w14:textFill>
            <w14:solidFill>
              <w14:schemeClr w14:val="tx1"/>
            </w14:solidFill>
          </w14:textFill>
        </w:rPr>
        <w:t>——公路路面类型引起的修正量，dB(A)。</w:t>
      </w:r>
    </w:p>
    <w:p w14:paraId="42AA5E2B">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按下列公式计算：</w:t>
      </w:r>
    </w:p>
    <w:p w14:paraId="1CEB7270">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gr</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bar</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fol</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atm</w:t>
      </w:r>
    </w:p>
    <w:p w14:paraId="0F91EBDC">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——声波传播途径中引起的衰减量，dB(A)；</w:t>
      </w:r>
    </w:p>
    <w:p w14:paraId="6C122119">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gr</w:t>
      </w:r>
      <w:r>
        <w:rPr>
          <w:rFonts w:ascii="Times New Roman" w:hAnsi="Times New Roman" w:cs="Times New Roman"/>
          <w:color w:val="000000" w:themeColor="text1"/>
          <w14:textFill>
            <w14:solidFill>
              <w14:schemeClr w14:val="tx1"/>
            </w14:solidFill>
          </w14:textFill>
        </w:rPr>
        <w:t>——地面吸收引起的衰减量，dB(A)；</w:t>
      </w:r>
    </w:p>
    <w:p w14:paraId="0E8CB58B">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bar</w:t>
      </w:r>
      <w:r>
        <w:rPr>
          <w:rFonts w:ascii="Times New Roman" w:hAnsi="Times New Roman" w:cs="Times New Roman"/>
          <w:color w:val="000000" w:themeColor="text1"/>
          <w14:textFill>
            <w14:solidFill>
              <w14:schemeClr w14:val="tx1"/>
            </w14:solidFill>
          </w14:textFill>
        </w:rPr>
        <w:t>——遮挡物引起的衰减量，dB(A)；</w:t>
      </w:r>
    </w:p>
    <w:p w14:paraId="471D59E8">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fol</w:t>
      </w:r>
      <w:r>
        <w:rPr>
          <w:rFonts w:ascii="Times New Roman" w:hAnsi="Times New Roman" w:cs="Times New Roman"/>
          <w:color w:val="000000" w:themeColor="text1"/>
          <w14:textFill>
            <w14:solidFill>
              <w14:schemeClr w14:val="tx1"/>
            </w14:solidFill>
          </w14:textFill>
        </w:rPr>
        <w:t>——绿化林带引起的衰减量，dB(A)；</w:t>
      </w:r>
    </w:p>
    <w:p w14:paraId="4C0EECE7">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A</w:t>
      </w:r>
      <w:r>
        <w:rPr>
          <w:rFonts w:ascii="Times New Roman" w:hAnsi="Times New Roman" w:cs="Times New Roman"/>
          <w:color w:val="000000" w:themeColor="text1"/>
          <w:vertAlign w:val="subscript"/>
          <w14:textFill>
            <w14:solidFill>
              <w14:schemeClr w14:val="tx1"/>
            </w14:solidFill>
          </w14:textFill>
        </w:rPr>
        <w:t>atm</w:t>
      </w:r>
      <w:r>
        <w:rPr>
          <w:rFonts w:ascii="Times New Roman" w:hAnsi="Times New Roman" w:cs="Times New Roman"/>
          <w:color w:val="000000" w:themeColor="text1"/>
          <w14:textFill>
            <w14:solidFill>
              <w14:schemeClr w14:val="tx1"/>
            </w14:solidFill>
          </w14:textFill>
        </w:rPr>
        <w:t>——大气吸收引起的衰减量，dB(A)。</w:t>
      </w:r>
    </w:p>
    <w:p w14:paraId="73A328AA">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噪声贡献值</w:t>
      </w:r>
    </w:p>
    <w:p w14:paraId="555BFE4A">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m:oMathPara>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Aeqg</m:t>
              </m:r>
              <m:ctrlPr>
                <w:rPr>
                  <w:rFonts w:ascii="Cambria Math" w:hAnsi="Cambria Math" w:cs="Times New Roman"/>
                  <w:i/>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=10lg⁡[</m:t>
          </m:r>
          <m:sSup>
            <m:sSupPr>
              <m:ctrlPr>
                <w:rPr>
                  <w:rFonts w:ascii="Cambria Math" w:hAnsi="Cambria Math" w:cs="Times New Roman"/>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10</m:t>
              </m:r>
              <m:ctrlPr>
                <w:rPr>
                  <w:rFonts w:ascii="Cambria Math" w:hAnsi="Cambria Math" w:cs="Times New Roman"/>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Aeql</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p>
          </m:sSup>
          <m:r>
            <m:rPr>
              <m:sty m:val="p"/>
            </m:rPr>
            <w:rPr>
              <w:rFonts w:ascii="Cambria Math" w:hAnsi="Cambria Math" w:cs="Times New Roman"/>
              <w:color w:val="000000" w:themeColor="text1"/>
              <w14:textFill>
                <w14:solidFill>
                  <w14:schemeClr w14:val="tx1"/>
                </w14:solidFill>
              </w14:textFill>
            </w:rPr>
            <m:t>+</m:t>
          </m:r>
          <m:sSup>
            <m:sSupPr>
              <m:ctrlPr>
                <w:rPr>
                  <w:rFonts w:ascii="Cambria Math" w:hAnsi="Cambria Math" w:cs="Times New Roman"/>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10</m:t>
              </m:r>
              <m:ctrlPr>
                <w:rPr>
                  <w:rFonts w:ascii="Cambria Math" w:hAnsi="Cambria Math" w:cs="Times New Roman"/>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Aeqm</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p>
          </m:sSup>
          <m:r>
            <m:rPr>
              <m:sty m:val="p"/>
            </m:rPr>
            <w:rPr>
              <w:rFonts w:ascii="Cambria Math" w:hAnsi="Cambria Math" w:cs="Times New Roman"/>
              <w:color w:val="000000" w:themeColor="text1"/>
              <w14:textFill>
                <w14:solidFill>
                  <w14:schemeClr w14:val="tx1"/>
                </w14:solidFill>
              </w14:textFill>
            </w:rPr>
            <m:t>+</m:t>
          </m:r>
          <m:sSup>
            <m:sSupPr>
              <m:ctrlPr>
                <w:rPr>
                  <w:rFonts w:ascii="Cambria Math" w:hAnsi="Cambria Math" w:cs="Times New Roman"/>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10</m:t>
              </m:r>
              <m:ctrlPr>
                <w:rPr>
                  <w:rFonts w:ascii="Cambria Math" w:hAnsi="Cambria Math" w:cs="Times New Roman"/>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Aeqs</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p>
          </m:sSup>
          <m:r>
            <m:rPr>
              <m:sty m:val="p"/>
            </m:rPr>
            <w:rPr>
              <w:rFonts w:ascii="Cambria Math" w:hAnsi="Cambria Math" w:cs="Times New Roman"/>
              <w:color w:val="000000" w:themeColor="text1"/>
              <w14:textFill>
                <w14:solidFill>
                  <w14:schemeClr w14:val="tx1"/>
                </w14:solidFill>
              </w14:textFill>
            </w:rPr>
            <m:t>]</m:t>
          </m:r>
        </m:oMath>
      </m:oMathPara>
    </w:p>
    <w:p w14:paraId="45373287">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w:t>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Aeqg</w:t>
      </w:r>
      <w:r>
        <w:rPr>
          <w:rFonts w:ascii="Times New Roman" w:hAnsi="Times New Roman" w:cs="Times New Roman"/>
          <w:color w:val="000000" w:themeColor="text1"/>
          <w14:textFill>
            <w14:solidFill>
              <w14:schemeClr w14:val="tx1"/>
            </w14:solidFill>
          </w14:textFill>
        </w:rPr>
        <w:t>——公路建设项目声源在预测点产生的噪声贡献值，dB(A)；</w:t>
      </w:r>
    </w:p>
    <w:p w14:paraId="719A301E">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Aeql</w:t>
      </w:r>
      <w:r>
        <w:rPr>
          <w:rFonts w:ascii="Times New Roman" w:hAnsi="Times New Roman" w:cs="Times New Roman"/>
          <w:color w:val="000000" w:themeColor="text1"/>
          <w14:textFill>
            <w14:solidFill>
              <w14:schemeClr w14:val="tx1"/>
            </w14:solidFill>
          </w14:textFill>
        </w:rPr>
        <w:t>——大型车的噪声贡献值，dB(A)；</w:t>
      </w:r>
    </w:p>
    <w:p w14:paraId="4334EF40">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Aeqm</w:t>
      </w:r>
      <w:r>
        <w:rPr>
          <w:rFonts w:ascii="Times New Roman" w:hAnsi="Times New Roman" w:cs="Times New Roman"/>
          <w:color w:val="000000" w:themeColor="text1"/>
          <w14:textFill>
            <w14:solidFill>
              <w14:schemeClr w14:val="tx1"/>
            </w14:solidFill>
          </w14:textFill>
        </w:rPr>
        <w:t>——中型车的噪声贡献值，dB(A)；</w:t>
      </w:r>
    </w:p>
    <w:p w14:paraId="60CB49EF">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Aeqs</w:t>
      </w:r>
      <w:r>
        <w:rPr>
          <w:rFonts w:ascii="Times New Roman" w:hAnsi="Times New Roman" w:cs="Times New Roman"/>
          <w:color w:val="000000" w:themeColor="text1"/>
          <w14:textFill>
            <w14:solidFill>
              <w14:schemeClr w14:val="tx1"/>
            </w14:solidFill>
          </w14:textFill>
        </w:rPr>
        <w:t>——小型车的噪声贡献值，dB(A)。</w:t>
      </w:r>
    </w:p>
    <w:p w14:paraId="71E02DF0">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rFonts w:ascii="Times New Roman" w:hAnsi="Times New Roman" w:cs="Times New Roman"/>
          <w:color w:val="000000" w:themeColor="text1"/>
          <w14:textFill>
            <w14:solidFill>
              <w14:schemeClr w14:val="tx1"/>
            </w14:solidFill>
          </w14:textFill>
        </w:rPr>
        <w:t>噪声预测值</w:t>
      </w:r>
    </w:p>
    <w:p w14:paraId="404F4168">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m:oMathPara>
        <m:oMath>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Aeq</m:t>
              </m:r>
              <m:ctrlPr>
                <w:rPr>
                  <w:rFonts w:ascii="Cambria Math" w:hAnsi="Cambria Math" w:cs="Times New Roman"/>
                  <w:i/>
                  <w:color w:val="000000" w:themeColor="text1"/>
                  <w14:textFill>
                    <w14:solidFill>
                      <w14:schemeClr w14:val="tx1"/>
                    </w14:solidFill>
                  </w14:textFill>
                </w:rPr>
              </m:ctrlPr>
            </m:sub>
          </m:sSub>
          <m:r>
            <m:rPr>
              <m:sty m:val="p"/>
            </m:rPr>
            <w:rPr>
              <w:rFonts w:ascii="Cambria Math" w:hAnsi="Cambria Math" w:cs="Times New Roman"/>
              <w:color w:val="000000" w:themeColor="text1"/>
              <w14:textFill>
                <w14:solidFill>
                  <w14:schemeClr w14:val="tx1"/>
                </w14:solidFill>
              </w14:textFill>
            </w:rPr>
            <m:t>=10lg⁡[</m:t>
          </m:r>
          <m:sSup>
            <m:sSupPr>
              <m:ctrlPr>
                <w:rPr>
                  <w:rFonts w:ascii="Cambria Math" w:hAnsi="Cambria Math" w:cs="Times New Roman"/>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10</m:t>
              </m:r>
              <m:ctrlPr>
                <w:rPr>
                  <w:rFonts w:ascii="Cambria Math" w:hAnsi="Cambria Math" w:cs="Times New Roman"/>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Aeqg</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p>
          </m:sSup>
          <m:r>
            <m:rPr>
              <m:sty m:val="p"/>
            </m:rPr>
            <w:rPr>
              <w:rFonts w:ascii="Cambria Math" w:hAnsi="Cambria Math" w:cs="Times New Roman"/>
              <w:color w:val="000000" w:themeColor="text1"/>
              <w14:textFill>
                <w14:solidFill>
                  <w14:schemeClr w14:val="tx1"/>
                </w14:solidFill>
              </w14:textFill>
            </w:rPr>
            <m:t>+</m:t>
          </m:r>
          <m:sSup>
            <m:sSupPr>
              <m:ctrlPr>
                <w:rPr>
                  <w:rFonts w:ascii="Cambria Math" w:hAnsi="Cambria Math" w:cs="Times New Roman"/>
                  <w:color w:val="000000" w:themeColor="text1"/>
                  <w14:textFill>
                    <w14:solidFill>
                      <w14:schemeClr w14:val="tx1"/>
                    </w14:solidFill>
                  </w14:textFill>
                </w:rPr>
              </m:ctrlPr>
            </m:sSupPr>
            <m:e>
              <m:r>
                <m:rPr/>
                <w:rPr>
                  <w:rFonts w:ascii="Cambria Math" w:hAnsi="Cambria Math" w:cs="Times New Roman"/>
                  <w:color w:val="000000" w:themeColor="text1"/>
                  <w14:textFill>
                    <w14:solidFill>
                      <w14:schemeClr w14:val="tx1"/>
                    </w14:solidFill>
                  </w14:textFill>
                </w:rPr>
                <m:t>10</m:t>
              </m:r>
              <m:ctrlPr>
                <w:rPr>
                  <w:rFonts w:ascii="Cambria Math" w:hAnsi="Cambria Math" w:cs="Times New Roman"/>
                  <w:color w:val="000000" w:themeColor="text1"/>
                  <w14:textFill>
                    <w14:solidFill>
                      <w14:schemeClr w14:val="tx1"/>
                    </w14:solidFill>
                  </w14:textFill>
                </w:rPr>
              </m:ctrlPr>
            </m:e>
            <m:sup>
              <m:r>
                <m:rPr/>
                <w:rPr>
                  <w:rFonts w:ascii="Cambria Math" w:hAnsi="Cambria Math" w:cs="Times New Roman"/>
                  <w:color w:val="000000" w:themeColor="text1"/>
                  <w14:textFill>
                    <w14:solidFill>
                      <w14:schemeClr w14:val="tx1"/>
                    </w14:solidFill>
                  </w14:textFill>
                </w:rPr>
                <m:t>0.1</m:t>
              </m:r>
              <m:sSub>
                <m:sSubPr>
                  <m:ctrlPr>
                    <w:rPr>
                      <w:rFonts w:ascii="Cambria Math" w:hAnsi="Cambria Math" w:cs="Times New Roman"/>
                      <w:i/>
                      <w:color w:val="000000" w:themeColor="text1"/>
                      <w14:textFill>
                        <w14:solidFill>
                          <w14:schemeClr w14:val="tx1"/>
                        </w14:solidFill>
                      </w14:textFill>
                    </w:rPr>
                  </m:ctrlPr>
                </m:sSubPr>
                <m:e>
                  <m:r>
                    <m:rPr/>
                    <w:rPr>
                      <w:rFonts w:ascii="Cambria Math" w:hAnsi="Cambria Math" w:cs="Times New Roman"/>
                      <w:color w:val="000000" w:themeColor="text1"/>
                      <w14:textFill>
                        <w14:solidFill>
                          <w14:schemeClr w14:val="tx1"/>
                        </w14:solidFill>
                      </w14:textFill>
                    </w:rPr>
                    <m:t>L</m:t>
                  </m:r>
                  <m:ctrlPr>
                    <w:rPr>
                      <w:rFonts w:ascii="Cambria Math" w:hAnsi="Cambria Math" w:cs="Times New Roman"/>
                      <w:i/>
                      <w:color w:val="000000" w:themeColor="text1"/>
                      <w14:textFill>
                        <w14:solidFill>
                          <w14:schemeClr w14:val="tx1"/>
                        </w14:solidFill>
                      </w14:textFill>
                    </w:rPr>
                  </m:ctrlPr>
                </m:e>
                <m:sub>
                  <m:r>
                    <m:rPr/>
                    <w:rPr>
                      <w:rFonts w:ascii="Cambria Math" w:hAnsi="Cambria Math" w:cs="Times New Roman"/>
                      <w:color w:val="000000" w:themeColor="text1"/>
                      <w14:textFill>
                        <w14:solidFill>
                          <w14:schemeClr w14:val="tx1"/>
                        </w14:solidFill>
                      </w14:textFill>
                    </w:rPr>
                    <m:t>Aeqb</m:t>
                  </m:r>
                  <m:ctrlPr>
                    <w:rPr>
                      <w:rFonts w:ascii="Cambria Math" w:hAnsi="Cambria Math" w:cs="Times New Roman"/>
                      <w:i/>
                      <w:color w:val="000000" w:themeColor="text1"/>
                      <w14:textFill>
                        <w14:solidFill>
                          <w14:schemeClr w14:val="tx1"/>
                        </w14:solidFill>
                      </w14:textFill>
                    </w:rPr>
                  </m:ctrlPr>
                </m:sub>
              </m:sSub>
              <m:ctrlPr>
                <w:rPr>
                  <w:rFonts w:ascii="Cambria Math" w:hAnsi="Cambria Math" w:cs="Times New Roman"/>
                  <w:color w:val="000000" w:themeColor="text1"/>
                  <w14:textFill>
                    <w14:solidFill>
                      <w14:schemeClr w14:val="tx1"/>
                    </w14:solidFill>
                  </w14:textFill>
                </w:rPr>
              </m:ctrlPr>
            </m:sup>
          </m:sSup>
          <m:r>
            <m:rPr>
              <m:sty m:val="p"/>
            </m:rPr>
            <w:rPr>
              <w:rFonts w:ascii="Cambria Math" w:hAnsi="Cambria Math" w:cs="Times New Roman"/>
              <w:color w:val="000000" w:themeColor="text1"/>
              <w14:textFill>
                <w14:solidFill>
                  <w14:schemeClr w14:val="tx1"/>
                </w14:solidFill>
              </w14:textFill>
            </w:rPr>
            <m:t>]</m:t>
          </m:r>
        </m:oMath>
      </m:oMathPara>
    </w:p>
    <w:p w14:paraId="3B8CF7F1">
      <w:pPr>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式中：</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Aeq</w:t>
      </w:r>
      <w:r>
        <w:rPr>
          <w:rFonts w:ascii="Times New Roman" w:hAnsi="Times New Roman" w:cs="Times New Roman"/>
          <w:color w:val="000000" w:themeColor="text1"/>
          <w14:textFill>
            <w14:solidFill>
              <w14:schemeClr w14:val="tx1"/>
            </w14:solidFill>
          </w14:textFill>
        </w:rPr>
        <w:t>——预测点的噪声预测值，dB(A)；</w:t>
      </w:r>
    </w:p>
    <w:p w14:paraId="2A10A521">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Aeqg</w:t>
      </w:r>
      <w:r>
        <w:rPr>
          <w:rFonts w:ascii="Times New Roman" w:hAnsi="Times New Roman" w:cs="Times New Roman"/>
          <w:color w:val="000000" w:themeColor="text1"/>
          <w14:textFill>
            <w14:solidFill>
              <w14:schemeClr w14:val="tx1"/>
            </w14:solidFill>
          </w14:textFill>
        </w:rPr>
        <w:t>——预测点的噪声贡献值，dB(A)；</w:t>
      </w:r>
    </w:p>
    <w:p w14:paraId="5B9BAEE4">
      <w:pPr>
        <w:spacing w:line="360" w:lineRule="auto"/>
        <w:ind w:left="420"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i/>
          <w:iCs/>
          <w:color w:val="000000" w:themeColor="text1"/>
          <w14:textFill>
            <w14:solidFill>
              <w14:schemeClr w14:val="tx1"/>
            </w14:solidFill>
          </w14:textFill>
        </w:rPr>
        <w:t>L</w:t>
      </w:r>
      <w:r>
        <w:rPr>
          <w:rFonts w:ascii="Times New Roman" w:hAnsi="Times New Roman" w:cs="Times New Roman"/>
          <w:color w:val="000000" w:themeColor="text1"/>
          <w:vertAlign w:val="subscript"/>
          <w14:textFill>
            <w14:solidFill>
              <w14:schemeClr w14:val="tx1"/>
            </w14:solidFill>
          </w14:textFill>
        </w:rPr>
        <w:t>Aeqb</w:t>
      </w:r>
      <w:r>
        <w:rPr>
          <w:rFonts w:ascii="Times New Roman" w:hAnsi="Times New Roman" w:cs="Times New Roman"/>
          <w:color w:val="000000" w:themeColor="text1"/>
          <w14:textFill>
            <w14:solidFill>
              <w14:schemeClr w14:val="tx1"/>
            </w14:solidFill>
          </w14:textFill>
        </w:rPr>
        <w:t>——预测点的背景噪声值，dB(A)。</w:t>
      </w:r>
    </w:p>
    <w:p w14:paraId="7E913ABD">
      <w:pPr>
        <w:pStyle w:val="5"/>
        <w:snapToGrid w:val="0"/>
        <w:spacing w:before="156" w:after="156" w:line="240" w:lineRule="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5.3.2.3公路道路噪声源强调查</w:t>
      </w:r>
    </w:p>
    <w:p w14:paraId="248763AA">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根据《</w:t>
      </w:r>
      <w:r>
        <w:rPr>
          <w:rFonts w:ascii="Times New Roman" w:hAnsi="Times New Roman" w:cs="Times New Roman"/>
          <w:color w:val="000000" w:themeColor="text1"/>
          <w14:textFill>
            <w14:solidFill>
              <w14:schemeClr w14:val="tx1"/>
            </w14:solidFill>
          </w14:textFill>
        </w:rPr>
        <w:t>环境影响评价技术导则 公路建设项目</w:t>
      </w:r>
      <w:r>
        <w:rPr>
          <w:rFonts w:ascii="Times New Roman" w:hAnsi="Times New Roman" w:cs="Times New Roman"/>
          <w:color w:val="000000" w:themeColor="text1"/>
          <w:lang w:val="en-GB"/>
          <w14:textFill>
            <w14:solidFill>
              <w14:schemeClr w14:val="tx1"/>
            </w14:solidFill>
          </w14:textFill>
        </w:rPr>
        <w:t>》（HJ 1358—2024）附录</w:t>
      </w:r>
      <w:r>
        <w:rPr>
          <w:rFonts w:ascii="Times New Roman" w:hAnsi="Times New Roman" w:cs="Times New Roman"/>
          <w:color w:val="000000" w:themeColor="text1"/>
          <w14:textFill>
            <w14:solidFill>
              <w14:schemeClr w14:val="tx1"/>
            </w14:solidFill>
          </w14:textFill>
        </w:rPr>
        <w:t>B.1.1.1大、中、小大、中、小型车平均辐射噪声级，及附录C，使用导则推荐的EIAProN2021（Ver2.5.235版本）噪声预测软件，计算得出的本项目营运期噪声污染源及其源强见表5.3-5。</w:t>
      </w:r>
    </w:p>
    <w:p w14:paraId="79074619">
      <w:pPr>
        <w:adjustRightInd w:val="0"/>
        <w:snapToGrid w:val="0"/>
        <w:jc w:val="center"/>
        <w:rPr>
          <w:rFonts w:ascii="Times New Roman" w:hAnsi="Times New Roman" w:eastAsia="黑体" w:cs="Times New Roman"/>
          <w:bCs/>
        </w:rPr>
      </w:pPr>
      <w:r>
        <w:rPr>
          <w:rFonts w:ascii="Times New Roman" w:hAnsi="Times New Roman" w:eastAsia="黑体" w:cs="Times New Roman"/>
          <w:bCs/>
        </w:rPr>
        <w:t>表5.3-5  公路道路噪声源强调查清单</w:t>
      </w: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795"/>
        <w:gridCol w:w="895"/>
        <w:gridCol w:w="895"/>
        <w:gridCol w:w="895"/>
        <w:gridCol w:w="895"/>
        <w:gridCol w:w="895"/>
        <w:gridCol w:w="895"/>
      </w:tblGrid>
      <w:tr w14:paraId="5F8352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922" w:type="dxa"/>
            <w:gridSpan w:val="2"/>
            <w:vMerge w:val="restart"/>
            <w:noWrap/>
            <w:vAlign w:val="center"/>
          </w:tcPr>
          <w:p w14:paraId="27192904">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参数</w:t>
            </w:r>
          </w:p>
        </w:tc>
        <w:tc>
          <w:tcPr>
            <w:tcW w:w="1790" w:type="dxa"/>
            <w:gridSpan w:val="2"/>
            <w:noWrap/>
            <w:vAlign w:val="center"/>
          </w:tcPr>
          <w:p w14:paraId="0B4742B7">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2026年（近期）</w:t>
            </w:r>
          </w:p>
        </w:tc>
        <w:tc>
          <w:tcPr>
            <w:tcW w:w="1790" w:type="dxa"/>
            <w:gridSpan w:val="2"/>
            <w:noWrap/>
            <w:vAlign w:val="center"/>
          </w:tcPr>
          <w:p w14:paraId="47D72C2A">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2032年（中期）</w:t>
            </w:r>
          </w:p>
        </w:tc>
        <w:tc>
          <w:tcPr>
            <w:tcW w:w="1790" w:type="dxa"/>
            <w:gridSpan w:val="2"/>
            <w:noWrap/>
            <w:vAlign w:val="center"/>
          </w:tcPr>
          <w:p w14:paraId="24C61E4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2040年（远期）</w:t>
            </w:r>
          </w:p>
        </w:tc>
      </w:tr>
      <w:tr w14:paraId="472874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922" w:type="dxa"/>
            <w:gridSpan w:val="2"/>
            <w:vMerge w:val="continue"/>
            <w:noWrap/>
            <w:vAlign w:val="center"/>
          </w:tcPr>
          <w:p w14:paraId="4C0746A8">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p>
        </w:tc>
        <w:tc>
          <w:tcPr>
            <w:tcW w:w="895" w:type="dxa"/>
            <w:noWrap/>
            <w:vAlign w:val="center"/>
          </w:tcPr>
          <w:p w14:paraId="4E2E8162">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昼间</w:t>
            </w:r>
          </w:p>
        </w:tc>
        <w:tc>
          <w:tcPr>
            <w:tcW w:w="895" w:type="dxa"/>
            <w:noWrap/>
            <w:vAlign w:val="center"/>
          </w:tcPr>
          <w:p w14:paraId="69266B15">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夜间</w:t>
            </w:r>
          </w:p>
        </w:tc>
        <w:tc>
          <w:tcPr>
            <w:tcW w:w="895" w:type="dxa"/>
            <w:noWrap/>
            <w:vAlign w:val="center"/>
          </w:tcPr>
          <w:p w14:paraId="01E706B5">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昼间</w:t>
            </w:r>
          </w:p>
        </w:tc>
        <w:tc>
          <w:tcPr>
            <w:tcW w:w="895" w:type="dxa"/>
            <w:noWrap/>
            <w:vAlign w:val="center"/>
          </w:tcPr>
          <w:p w14:paraId="16F90DD2">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夜间</w:t>
            </w:r>
          </w:p>
        </w:tc>
        <w:tc>
          <w:tcPr>
            <w:tcW w:w="895" w:type="dxa"/>
            <w:noWrap/>
            <w:vAlign w:val="center"/>
          </w:tcPr>
          <w:p w14:paraId="6B93F061">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昼间</w:t>
            </w:r>
          </w:p>
        </w:tc>
        <w:tc>
          <w:tcPr>
            <w:tcW w:w="895" w:type="dxa"/>
            <w:noWrap/>
            <w:vAlign w:val="center"/>
          </w:tcPr>
          <w:p w14:paraId="2579A7D6">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夜间</w:t>
            </w:r>
          </w:p>
        </w:tc>
      </w:tr>
      <w:tr w14:paraId="27A0A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restart"/>
            <w:noWrap/>
            <w:vAlign w:val="center"/>
          </w:tcPr>
          <w:p w14:paraId="75FB5F4A">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车流量</w:t>
            </w:r>
            <w:r>
              <w:rPr>
                <w:rFonts w:cs="Times New Roman" w:asciiTheme="minorEastAsia" w:hAnsiTheme="minorEastAsia" w:eastAsiaTheme="minorEastAsia"/>
                <w:color w:val="000000" w:themeColor="text1"/>
                <w:sz w:val="21"/>
                <w:szCs w:val="21"/>
                <w14:textFill>
                  <w14:solidFill>
                    <w14:schemeClr w14:val="tx1"/>
                  </w14:solidFill>
                </w14:textFill>
              </w:rPr>
              <w:br w:type="textWrapping"/>
            </w:r>
            <w:r>
              <w:rPr>
                <w:rFonts w:cs="Times New Roman" w:asciiTheme="minorEastAsia" w:hAnsiTheme="minorEastAsia" w:eastAsiaTheme="minorEastAsia"/>
                <w:color w:val="000000" w:themeColor="text1"/>
                <w:sz w:val="21"/>
                <w:szCs w:val="21"/>
                <w14:textFill>
                  <w14:solidFill>
                    <w14:schemeClr w14:val="tx1"/>
                  </w14:solidFill>
                </w14:textFill>
              </w:rPr>
              <w:t>(辆/小时)</w:t>
            </w:r>
          </w:p>
        </w:tc>
        <w:tc>
          <w:tcPr>
            <w:tcW w:w="1795" w:type="dxa"/>
            <w:noWrap/>
            <w:vAlign w:val="center"/>
          </w:tcPr>
          <w:p w14:paraId="47838328">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小型车流量</w:t>
            </w:r>
          </w:p>
        </w:tc>
        <w:tc>
          <w:tcPr>
            <w:tcW w:w="895" w:type="dxa"/>
            <w:noWrap/>
          </w:tcPr>
          <w:p w14:paraId="1B4B7751">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9</w:t>
            </w:r>
            <w:r>
              <w:rPr>
                <w:rFonts w:cs="Times New Roman" w:asciiTheme="minorEastAsia" w:hAnsiTheme="minorEastAsia" w:eastAsiaTheme="minorEastAsia"/>
                <w:color w:val="000000" w:themeColor="text1"/>
                <w:sz w:val="21"/>
                <w:szCs w:val="21"/>
                <w14:textFill>
                  <w14:solidFill>
                    <w14:schemeClr w14:val="tx1"/>
                  </w14:solidFill>
                </w14:textFill>
              </w:rPr>
              <w:t>1</w:t>
            </w:r>
          </w:p>
        </w:tc>
        <w:tc>
          <w:tcPr>
            <w:tcW w:w="895" w:type="dxa"/>
            <w:noWrap/>
          </w:tcPr>
          <w:p w14:paraId="392D137A">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5</w:t>
            </w:r>
            <w:r>
              <w:rPr>
                <w:rFonts w:cs="Times New Roman" w:asciiTheme="minorEastAsia" w:hAnsiTheme="minorEastAsia" w:eastAsiaTheme="minorEastAsia"/>
                <w:color w:val="000000" w:themeColor="text1"/>
                <w:sz w:val="21"/>
                <w:szCs w:val="21"/>
                <w14:textFill>
                  <w14:solidFill>
                    <w14:schemeClr w14:val="tx1"/>
                  </w14:solidFill>
                </w14:textFill>
              </w:rPr>
              <w:t>5</w:t>
            </w:r>
          </w:p>
        </w:tc>
        <w:tc>
          <w:tcPr>
            <w:tcW w:w="895" w:type="dxa"/>
            <w:noWrap/>
          </w:tcPr>
          <w:p w14:paraId="1150F9E1">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1</w:t>
            </w:r>
            <w:r>
              <w:rPr>
                <w:rFonts w:cs="Times New Roman" w:asciiTheme="minorEastAsia" w:hAnsiTheme="minorEastAsia" w:eastAsiaTheme="minorEastAsia"/>
                <w:color w:val="000000" w:themeColor="text1"/>
                <w:sz w:val="21"/>
                <w:szCs w:val="21"/>
                <w14:textFill>
                  <w14:solidFill>
                    <w14:schemeClr w14:val="tx1"/>
                  </w14:solidFill>
                </w14:textFill>
              </w:rPr>
              <w:t>38</w:t>
            </w:r>
          </w:p>
        </w:tc>
        <w:tc>
          <w:tcPr>
            <w:tcW w:w="895" w:type="dxa"/>
            <w:noWrap/>
          </w:tcPr>
          <w:p w14:paraId="6A8ED5F2">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8</w:t>
            </w:r>
            <w:r>
              <w:rPr>
                <w:rFonts w:cs="Times New Roman" w:asciiTheme="minorEastAsia" w:hAnsiTheme="minorEastAsia" w:eastAsiaTheme="minorEastAsia"/>
                <w:color w:val="000000" w:themeColor="text1"/>
                <w:sz w:val="21"/>
                <w:szCs w:val="21"/>
                <w14:textFill>
                  <w14:solidFill>
                    <w14:schemeClr w14:val="tx1"/>
                  </w14:solidFill>
                </w14:textFill>
              </w:rPr>
              <w:t>3</w:t>
            </w:r>
          </w:p>
        </w:tc>
        <w:tc>
          <w:tcPr>
            <w:tcW w:w="895" w:type="dxa"/>
            <w:noWrap/>
          </w:tcPr>
          <w:p w14:paraId="04B2A16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2</w:t>
            </w:r>
            <w:r>
              <w:rPr>
                <w:rFonts w:cs="Times New Roman" w:asciiTheme="minorEastAsia" w:hAnsiTheme="minorEastAsia" w:eastAsiaTheme="minorEastAsia"/>
                <w:color w:val="000000" w:themeColor="text1"/>
                <w:sz w:val="21"/>
                <w:szCs w:val="21"/>
                <w14:textFill>
                  <w14:solidFill>
                    <w14:schemeClr w14:val="tx1"/>
                  </w14:solidFill>
                </w14:textFill>
              </w:rPr>
              <w:t>07</w:t>
            </w:r>
          </w:p>
        </w:tc>
        <w:tc>
          <w:tcPr>
            <w:tcW w:w="895" w:type="dxa"/>
            <w:noWrap/>
          </w:tcPr>
          <w:p w14:paraId="53E58809">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1</w:t>
            </w:r>
            <w:r>
              <w:rPr>
                <w:rFonts w:cs="Times New Roman" w:asciiTheme="minorEastAsia" w:hAnsiTheme="minorEastAsia" w:eastAsiaTheme="minorEastAsia"/>
                <w:color w:val="000000" w:themeColor="text1"/>
                <w:sz w:val="21"/>
                <w:szCs w:val="21"/>
                <w14:textFill>
                  <w14:solidFill>
                    <w14:schemeClr w14:val="tx1"/>
                  </w14:solidFill>
                </w14:textFill>
              </w:rPr>
              <w:t>25</w:t>
            </w:r>
          </w:p>
        </w:tc>
      </w:tr>
      <w:tr w14:paraId="6B6A4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continue"/>
            <w:noWrap/>
            <w:vAlign w:val="center"/>
          </w:tcPr>
          <w:p w14:paraId="597C3B0C">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p>
        </w:tc>
        <w:tc>
          <w:tcPr>
            <w:tcW w:w="1795" w:type="dxa"/>
            <w:noWrap/>
            <w:vAlign w:val="center"/>
          </w:tcPr>
          <w:p w14:paraId="0DF21DB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中型车流量</w:t>
            </w:r>
          </w:p>
        </w:tc>
        <w:tc>
          <w:tcPr>
            <w:tcW w:w="895" w:type="dxa"/>
            <w:noWrap/>
          </w:tcPr>
          <w:p w14:paraId="1C6BC875">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1</w:t>
            </w:r>
            <w:r>
              <w:rPr>
                <w:rFonts w:cs="Times New Roman" w:asciiTheme="minorEastAsia" w:hAnsiTheme="minorEastAsia" w:eastAsiaTheme="minorEastAsia"/>
                <w:color w:val="000000" w:themeColor="text1"/>
                <w:sz w:val="21"/>
                <w:szCs w:val="21"/>
                <w14:textFill>
                  <w14:solidFill>
                    <w14:schemeClr w14:val="tx1"/>
                  </w14:solidFill>
                </w14:textFill>
              </w:rPr>
              <w:t>1</w:t>
            </w:r>
          </w:p>
        </w:tc>
        <w:tc>
          <w:tcPr>
            <w:tcW w:w="895" w:type="dxa"/>
            <w:noWrap/>
          </w:tcPr>
          <w:p w14:paraId="6DF60073">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7</w:t>
            </w:r>
          </w:p>
        </w:tc>
        <w:tc>
          <w:tcPr>
            <w:tcW w:w="895" w:type="dxa"/>
            <w:noWrap/>
          </w:tcPr>
          <w:p w14:paraId="117C34B7">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1</w:t>
            </w:r>
            <w:r>
              <w:rPr>
                <w:rFonts w:cs="Times New Roman" w:asciiTheme="minorEastAsia" w:hAnsiTheme="minorEastAsia" w:eastAsiaTheme="minorEastAsia"/>
                <w:color w:val="000000" w:themeColor="text1"/>
                <w:sz w:val="21"/>
                <w:szCs w:val="21"/>
                <w14:textFill>
                  <w14:solidFill>
                    <w14:schemeClr w14:val="tx1"/>
                  </w14:solidFill>
                </w14:textFill>
              </w:rPr>
              <w:t>6</w:t>
            </w:r>
          </w:p>
        </w:tc>
        <w:tc>
          <w:tcPr>
            <w:tcW w:w="895" w:type="dxa"/>
            <w:noWrap/>
          </w:tcPr>
          <w:p w14:paraId="64FF0A8C">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1</w:t>
            </w:r>
            <w:r>
              <w:rPr>
                <w:rFonts w:cs="Times New Roman" w:asciiTheme="minorEastAsia" w:hAnsiTheme="minorEastAsia" w:eastAsiaTheme="minorEastAsia"/>
                <w:color w:val="000000" w:themeColor="text1"/>
                <w:sz w:val="21"/>
                <w:szCs w:val="21"/>
                <w14:textFill>
                  <w14:solidFill>
                    <w14:schemeClr w14:val="tx1"/>
                  </w14:solidFill>
                </w14:textFill>
              </w:rPr>
              <w:t>0</w:t>
            </w:r>
          </w:p>
        </w:tc>
        <w:tc>
          <w:tcPr>
            <w:tcW w:w="895" w:type="dxa"/>
            <w:noWrap/>
          </w:tcPr>
          <w:p w14:paraId="2744944C">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2</w:t>
            </w:r>
            <w:r>
              <w:rPr>
                <w:rFonts w:cs="Times New Roman" w:asciiTheme="minorEastAsia" w:hAnsiTheme="minorEastAsia" w:eastAsiaTheme="minorEastAsia"/>
                <w:color w:val="000000" w:themeColor="text1"/>
                <w:sz w:val="21"/>
                <w:szCs w:val="21"/>
                <w14:textFill>
                  <w14:solidFill>
                    <w14:schemeClr w14:val="tx1"/>
                  </w14:solidFill>
                </w14:textFill>
              </w:rPr>
              <w:t>4</w:t>
            </w:r>
          </w:p>
        </w:tc>
        <w:tc>
          <w:tcPr>
            <w:tcW w:w="895" w:type="dxa"/>
            <w:noWrap/>
          </w:tcPr>
          <w:p w14:paraId="0CF9EF9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1</w:t>
            </w:r>
            <w:r>
              <w:rPr>
                <w:rFonts w:cs="Times New Roman" w:asciiTheme="minorEastAsia" w:hAnsiTheme="minorEastAsia" w:eastAsiaTheme="minorEastAsia"/>
                <w:color w:val="000000" w:themeColor="text1"/>
                <w:sz w:val="21"/>
                <w:szCs w:val="21"/>
                <w14:textFill>
                  <w14:solidFill>
                    <w14:schemeClr w14:val="tx1"/>
                  </w14:solidFill>
                </w14:textFill>
              </w:rPr>
              <w:t>5</w:t>
            </w:r>
          </w:p>
        </w:tc>
      </w:tr>
      <w:tr w14:paraId="79F57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continue"/>
            <w:noWrap/>
            <w:vAlign w:val="center"/>
          </w:tcPr>
          <w:p w14:paraId="6788253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p>
        </w:tc>
        <w:tc>
          <w:tcPr>
            <w:tcW w:w="1795" w:type="dxa"/>
            <w:noWrap/>
            <w:vAlign w:val="center"/>
          </w:tcPr>
          <w:p w14:paraId="6D078AA9">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大型车流量</w:t>
            </w:r>
          </w:p>
        </w:tc>
        <w:tc>
          <w:tcPr>
            <w:tcW w:w="895" w:type="dxa"/>
            <w:noWrap/>
          </w:tcPr>
          <w:p w14:paraId="555F68A2">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4</w:t>
            </w:r>
            <w:r>
              <w:rPr>
                <w:rFonts w:cs="Times New Roman" w:asciiTheme="minorEastAsia" w:hAnsiTheme="minorEastAsia" w:eastAsiaTheme="minorEastAsia"/>
                <w:color w:val="000000" w:themeColor="text1"/>
                <w:sz w:val="21"/>
                <w:szCs w:val="21"/>
                <w14:textFill>
                  <w14:solidFill>
                    <w14:schemeClr w14:val="tx1"/>
                  </w14:solidFill>
                </w14:textFill>
              </w:rPr>
              <w:t>2</w:t>
            </w:r>
          </w:p>
        </w:tc>
        <w:tc>
          <w:tcPr>
            <w:tcW w:w="895" w:type="dxa"/>
            <w:noWrap/>
          </w:tcPr>
          <w:p w14:paraId="483DF6C7">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2</w:t>
            </w:r>
            <w:r>
              <w:rPr>
                <w:rFonts w:cs="Times New Roman" w:asciiTheme="minorEastAsia" w:hAnsiTheme="minorEastAsia" w:eastAsiaTheme="minorEastAsia"/>
                <w:color w:val="000000" w:themeColor="text1"/>
                <w:sz w:val="21"/>
                <w:szCs w:val="21"/>
                <w14:textFill>
                  <w14:solidFill>
                    <w14:schemeClr w14:val="tx1"/>
                  </w14:solidFill>
                </w14:textFill>
              </w:rPr>
              <w:t>5</w:t>
            </w:r>
          </w:p>
        </w:tc>
        <w:tc>
          <w:tcPr>
            <w:tcW w:w="895" w:type="dxa"/>
            <w:noWrap/>
          </w:tcPr>
          <w:p w14:paraId="0C3107AA">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5</w:t>
            </w:r>
            <w:r>
              <w:rPr>
                <w:rFonts w:cs="Times New Roman" w:asciiTheme="minorEastAsia" w:hAnsiTheme="minorEastAsia" w:eastAsiaTheme="minorEastAsia"/>
                <w:color w:val="000000" w:themeColor="text1"/>
                <w:sz w:val="21"/>
                <w:szCs w:val="21"/>
                <w14:textFill>
                  <w14:solidFill>
                    <w14:schemeClr w14:val="tx1"/>
                  </w14:solidFill>
                </w14:textFill>
              </w:rPr>
              <w:t>8</w:t>
            </w:r>
          </w:p>
        </w:tc>
        <w:tc>
          <w:tcPr>
            <w:tcW w:w="895" w:type="dxa"/>
            <w:noWrap/>
          </w:tcPr>
          <w:p w14:paraId="4FFFB04A">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3</w:t>
            </w:r>
            <w:r>
              <w:rPr>
                <w:rFonts w:cs="Times New Roman" w:asciiTheme="minorEastAsia" w:hAnsiTheme="minorEastAsia" w:eastAsiaTheme="minorEastAsia"/>
                <w:color w:val="000000" w:themeColor="text1"/>
                <w:sz w:val="21"/>
                <w:szCs w:val="21"/>
                <w14:textFill>
                  <w14:solidFill>
                    <w14:schemeClr w14:val="tx1"/>
                  </w14:solidFill>
                </w14:textFill>
              </w:rPr>
              <w:t>5</w:t>
            </w:r>
          </w:p>
        </w:tc>
        <w:tc>
          <w:tcPr>
            <w:tcW w:w="895" w:type="dxa"/>
            <w:noWrap/>
          </w:tcPr>
          <w:p w14:paraId="1F1AF52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8</w:t>
            </w:r>
            <w:r>
              <w:rPr>
                <w:rFonts w:cs="Times New Roman" w:asciiTheme="minorEastAsia" w:hAnsiTheme="minorEastAsia" w:eastAsiaTheme="minorEastAsia"/>
                <w:color w:val="000000" w:themeColor="text1"/>
                <w:sz w:val="21"/>
                <w:szCs w:val="21"/>
                <w14:textFill>
                  <w14:solidFill>
                    <w14:schemeClr w14:val="tx1"/>
                  </w14:solidFill>
                </w14:textFill>
              </w:rPr>
              <w:t>5</w:t>
            </w:r>
          </w:p>
        </w:tc>
        <w:tc>
          <w:tcPr>
            <w:tcW w:w="895" w:type="dxa"/>
            <w:noWrap/>
          </w:tcPr>
          <w:p w14:paraId="683CA792">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hint="eastAsia" w:cs="Times New Roman" w:asciiTheme="minorEastAsia" w:hAnsiTheme="minorEastAsia" w:eastAsiaTheme="minorEastAsia"/>
                <w:color w:val="000000" w:themeColor="text1"/>
                <w:sz w:val="21"/>
                <w:szCs w:val="21"/>
                <w14:textFill>
                  <w14:solidFill>
                    <w14:schemeClr w14:val="tx1"/>
                  </w14:solidFill>
                </w14:textFill>
              </w:rPr>
              <w:t>5</w:t>
            </w:r>
            <w:r>
              <w:rPr>
                <w:rFonts w:cs="Times New Roman" w:asciiTheme="minorEastAsia" w:hAnsiTheme="minorEastAsia" w:eastAsiaTheme="minorEastAsia"/>
                <w:color w:val="000000" w:themeColor="text1"/>
                <w:sz w:val="21"/>
                <w:szCs w:val="21"/>
                <w14:textFill>
                  <w14:solidFill>
                    <w14:schemeClr w14:val="tx1"/>
                  </w14:solidFill>
                </w14:textFill>
              </w:rPr>
              <w:t>1</w:t>
            </w:r>
          </w:p>
        </w:tc>
      </w:tr>
      <w:tr w14:paraId="18F91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restart"/>
            <w:noWrap/>
            <w:vAlign w:val="center"/>
          </w:tcPr>
          <w:p w14:paraId="5A20AE91">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车速</w:t>
            </w:r>
            <w:r>
              <w:rPr>
                <w:rFonts w:cs="Times New Roman" w:asciiTheme="minorEastAsia" w:hAnsiTheme="minorEastAsia" w:eastAsiaTheme="minorEastAsia"/>
                <w:color w:val="000000" w:themeColor="text1"/>
                <w:sz w:val="21"/>
                <w:szCs w:val="21"/>
                <w14:textFill>
                  <w14:solidFill>
                    <w14:schemeClr w14:val="tx1"/>
                  </w14:solidFill>
                </w14:textFill>
              </w:rPr>
              <w:br w:type="textWrapping"/>
            </w:r>
            <w:r>
              <w:rPr>
                <w:rFonts w:cs="Times New Roman" w:asciiTheme="minorEastAsia" w:hAnsiTheme="minorEastAsia" w:eastAsiaTheme="minorEastAsia"/>
                <w:color w:val="000000" w:themeColor="text1"/>
                <w:sz w:val="21"/>
                <w:szCs w:val="21"/>
                <w14:textFill>
                  <w14:solidFill>
                    <w14:schemeClr w14:val="tx1"/>
                  </w14:solidFill>
                </w14:textFill>
              </w:rPr>
              <w:t>(km/h)</w:t>
            </w:r>
          </w:p>
        </w:tc>
        <w:tc>
          <w:tcPr>
            <w:tcW w:w="1795" w:type="dxa"/>
            <w:noWrap/>
            <w:vAlign w:val="center"/>
          </w:tcPr>
          <w:p w14:paraId="32D5E08B">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小型车车速</w:t>
            </w:r>
          </w:p>
        </w:tc>
        <w:tc>
          <w:tcPr>
            <w:tcW w:w="895" w:type="dxa"/>
            <w:noWrap/>
          </w:tcPr>
          <w:p w14:paraId="5214159A">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67.37</w:t>
            </w:r>
          </w:p>
        </w:tc>
        <w:tc>
          <w:tcPr>
            <w:tcW w:w="895" w:type="dxa"/>
            <w:noWrap/>
          </w:tcPr>
          <w:p w14:paraId="678D9E5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67.67</w:t>
            </w:r>
          </w:p>
        </w:tc>
        <w:tc>
          <w:tcPr>
            <w:tcW w:w="895" w:type="dxa"/>
            <w:noWrap/>
          </w:tcPr>
          <w:p w14:paraId="3F016BCB">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66.94</w:t>
            </w:r>
          </w:p>
        </w:tc>
        <w:tc>
          <w:tcPr>
            <w:tcW w:w="895" w:type="dxa"/>
            <w:noWrap/>
          </w:tcPr>
          <w:p w14:paraId="349116F3">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67.46</w:t>
            </w:r>
          </w:p>
        </w:tc>
        <w:tc>
          <w:tcPr>
            <w:tcW w:w="895" w:type="dxa"/>
            <w:noWrap/>
          </w:tcPr>
          <w:p w14:paraId="3D2A37B4">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66.13</w:t>
            </w:r>
          </w:p>
        </w:tc>
        <w:tc>
          <w:tcPr>
            <w:tcW w:w="895" w:type="dxa"/>
            <w:noWrap/>
          </w:tcPr>
          <w:p w14:paraId="17A7BC8D">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67.07</w:t>
            </w:r>
          </w:p>
        </w:tc>
      </w:tr>
      <w:tr w14:paraId="55EDB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continue"/>
            <w:noWrap/>
            <w:vAlign w:val="center"/>
          </w:tcPr>
          <w:p w14:paraId="27F26A01">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p>
        </w:tc>
        <w:tc>
          <w:tcPr>
            <w:tcW w:w="1795" w:type="dxa"/>
            <w:noWrap/>
            <w:vAlign w:val="center"/>
          </w:tcPr>
          <w:p w14:paraId="19D96AE7">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中型车车速</w:t>
            </w:r>
          </w:p>
        </w:tc>
        <w:tc>
          <w:tcPr>
            <w:tcW w:w="895" w:type="dxa"/>
            <w:noWrap/>
          </w:tcPr>
          <w:p w14:paraId="44E6DEC8">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47.64</w:t>
            </w:r>
          </w:p>
        </w:tc>
        <w:tc>
          <w:tcPr>
            <w:tcW w:w="895" w:type="dxa"/>
            <w:noWrap/>
          </w:tcPr>
          <w:p w14:paraId="67FD87B4">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47.08</w:t>
            </w:r>
          </w:p>
        </w:tc>
        <w:tc>
          <w:tcPr>
            <w:tcW w:w="895" w:type="dxa"/>
            <w:noWrap/>
          </w:tcPr>
          <w:p w14:paraId="044BF78F">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48.20</w:t>
            </w:r>
          </w:p>
        </w:tc>
        <w:tc>
          <w:tcPr>
            <w:tcW w:w="895" w:type="dxa"/>
            <w:noWrap/>
          </w:tcPr>
          <w:p w14:paraId="7164E364">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47.49</w:t>
            </w:r>
          </w:p>
        </w:tc>
        <w:tc>
          <w:tcPr>
            <w:tcW w:w="895" w:type="dxa"/>
            <w:noWrap/>
          </w:tcPr>
          <w:p w14:paraId="4674673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48.87</w:t>
            </w:r>
          </w:p>
        </w:tc>
        <w:tc>
          <w:tcPr>
            <w:tcW w:w="895" w:type="dxa"/>
            <w:noWrap/>
          </w:tcPr>
          <w:p w14:paraId="7AA98F5C">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48.05</w:t>
            </w:r>
          </w:p>
        </w:tc>
      </w:tr>
      <w:tr w14:paraId="6A362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continue"/>
            <w:noWrap/>
            <w:vAlign w:val="center"/>
          </w:tcPr>
          <w:p w14:paraId="1B30C60C">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p>
        </w:tc>
        <w:tc>
          <w:tcPr>
            <w:tcW w:w="1795" w:type="dxa"/>
            <w:noWrap/>
            <w:vAlign w:val="center"/>
          </w:tcPr>
          <w:p w14:paraId="392A7029">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大型车车速</w:t>
            </w:r>
          </w:p>
        </w:tc>
        <w:tc>
          <w:tcPr>
            <w:tcW w:w="895" w:type="dxa"/>
            <w:noWrap/>
          </w:tcPr>
          <w:p w14:paraId="2C1D9868">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47.69</w:t>
            </w:r>
          </w:p>
        </w:tc>
        <w:tc>
          <w:tcPr>
            <w:tcW w:w="895" w:type="dxa"/>
            <w:noWrap/>
          </w:tcPr>
          <w:p w14:paraId="066C9A83">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47.24</w:t>
            </w:r>
          </w:p>
        </w:tc>
        <w:tc>
          <w:tcPr>
            <w:tcW w:w="895" w:type="dxa"/>
            <w:noWrap/>
          </w:tcPr>
          <w:p w14:paraId="0F704712">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48.14</w:t>
            </w:r>
          </w:p>
        </w:tc>
        <w:tc>
          <w:tcPr>
            <w:tcW w:w="895" w:type="dxa"/>
            <w:noWrap/>
          </w:tcPr>
          <w:p w14:paraId="616328D9">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47.56</w:t>
            </w:r>
          </w:p>
        </w:tc>
        <w:tc>
          <w:tcPr>
            <w:tcW w:w="895" w:type="dxa"/>
            <w:noWrap/>
          </w:tcPr>
          <w:p w14:paraId="3422E639">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48.69</w:t>
            </w:r>
          </w:p>
        </w:tc>
        <w:tc>
          <w:tcPr>
            <w:tcW w:w="895" w:type="dxa"/>
            <w:noWrap/>
          </w:tcPr>
          <w:p w14:paraId="39E6E6EF">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48.01</w:t>
            </w:r>
          </w:p>
        </w:tc>
      </w:tr>
      <w:tr w14:paraId="2FA0C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restart"/>
            <w:noWrap/>
            <w:vAlign w:val="center"/>
          </w:tcPr>
          <w:p w14:paraId="3B0C3BB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7.5m声级</w:t>
            </w:r>
            <w:r>
              <w:rPr>
                <w:rFonts w:cs="Times New Roman" w:asciiTheme="minorEastAsia" w:hAnsiTheme="minorEastAsia" w:eastAsiaTheme="minorEastAsia"/>
                <w:color w:val="000000" w:themeColor="text1"/>
                <w:sz w:val="21"/>
                <w:szCs w:val="21"/>
                <w14:textFill>
                  <w14:solidFill>
                    <w14:schemeClr w14:val="tx1"/>
                  </w14:solidFill>
                </w14:textFill>
              </w:rPr>
              <w:br w:type="textWrapping"/>
            </w:r>
            <w:r>
              <w:rPr>
                <w:rFonts w:cs="Times New Roman" w:asciiTheme="minorEastAsia" w:hAnsiTheme="minorEastAsia" w:eastAsiaTheme="minorEastAsia"/>
                <w:color w:val="000000" w:themeColor="text1"/>
                <w:sz w:val="21"/>
                <w:szCs w:val="21"/>
                <w14:textFill>
                  <w14:solidFill>
                    <w14:schemeClr w14:val="tx1"/>
                  </w14:solidFill>
                </w14:textFill>
              </w:rPr>
              <w:t>dB(A)</w:t>
            </w:r>
          </w:p>
        </w:tc>
        <w:tc>
          <w:tcPr>
            <w:tcW w:w="1795" w:type="dxa"/>
            <w:noWrap/>
            <w:vAlign w:val="center"/>
          </w:tcPr>
          <w:p w14:paraId="5F5CC8E7">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小型车7.5m声级</w:t>
            </w:r>
          </w:p>
        </w:tc>
        <w:tc>
          <w:tcPr>
            <w:tcW w:w="895" w:type="dxa"/>
            <w:noWrap/>
          </w:tcPr>
          <w:p w14:paraId="059440C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76.10</w:t>
            </w:r>
          </w:p>
        </w:tc>
        <w:tc>
          <w:tcPr>
            <w:tcW w:w="895" w:type="dxa"/>
            <w:noWrap/>
          </w:tcPr>
          <w:p w14:paraId="2386CE1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76.17</w:t>
            </w:r>
          </w:p>
        </w:tc>
        <w:tc>
          <w:tcPr>
            <w:tcW w:w="895" w:type="dxa"/>
            <w:noWrap/>
          </w:tcPr>
          <w:p w14:paraId="059E1FFB">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76.01</w:t>
            </w:r>
          </w:p>
        </w:tc>
        <w:tc>
          <w:tcPr>
            <w:tcW w:w="895" w:type="dxa"/>
            <w:noWrap/>
          </w:tcPr>
          <w:p w14:paraId="1E3D93D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76.12</w:t>
            </w:r>
          </w:p>
        </w:tc>
        <w:tc>
          <w:tcPr>
            <w:tcW w:w="895" w:type="dxa"/>
            <w:noWrap/>
          </w:tcPr>
          <w:p w14:paraId="3B5C4BCF">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75.82</w:t>
            </w:r>
          </w:p>
        </w:tc>
        <w:tc>
          <w:tcPr>
            <w:tcW w:w="895" w:type="dxa"/>
            <w:noWrap/>
          </w:tcPr>
          <w:p w14:paraId="5ED51558">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76.04</w:t>
            </w:r>
          </w:p>
        </w:tc>
      </w:tr>
      <w:tr w14:paraId="0740D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continue"/>
            <w:noWrap/>
            <w:vAlign w:val="center"/>
          </w:tcPr>
          <w:p w14:paraId="45E48969">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p>
        </w:tc>
        <w:tc>
          <w:tcPr>
            <w:tcW w:w="1795" w:type="dxa"/>
            <w:noWrap/>
            <w:vAlign w:val="center"/>
          </w:tcPr>
          <w:p w14:paraId="6B784A46">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中型车7.5m声级</w:t>
            </w:r>
          </w:p>
        </w:tc>
        <w:tc>
          <w:tcPr>
            <w:tcW w:w="895" w:type="dxa"/>
            <w:noWrap/>
          </w:tcPr>
          <w:p w14:paraId="00C6441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76.72</w:t>
            </w:r>
          </w:p>
        </w:tc>
        <w:tc>
          <w:tcPr>
            <w:tcW w:w="895" w:type="dxa"/>
            <w:noWrap/>
          </w:tcPr>
          <w:p w14:paraId="512DCB31">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76.52</w:t>
            </w:r>
          </w:p>
        </w:tc>
        <w:tc>
          <w:tcPr>
            <w:tcW w:w="895" w:type="dxa"/>
            <w:noWrap/>
          </w:tcPr>
          <w:p w14:paraId="64D8E52D">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76.93</w:t>
            </w:r>
          </w:p>
        </w:tc>
        <w:tc>
          <w:tcPr>
            <w:tcW w:w="895" w:type="dxa"/>
            <w:noWrap/>
          </w:tcPr>
          <w:p w14:paraId="6FDCD48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76.67</w:t>
            </w:r>
          </w:p>
        </w:tc>
        <w:tc>
          <w:tcPr>
            <w:tcW w:w="895" w:type="dxa"/>
            <w:noWrap/>
          </w:tcPr>
          <w:p w14:paraId="05D11496">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77.17</w:t>
            </w:r>
          </w:p>
        </w:tc>
        <w:tc>
          <w:tcPr>
            <w:tcW w:w="895" w:type="dxa"/>
            <w:noWrap/>
          </w:tcPr>
          <w:p w14:paraId="410F692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76.87</w:t>
            </w:r>
          </w:p>
        </w:tc>
      </w:tr>
      <w:tr w14:paraId="1A08B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27" w:type="dxa"/>
            <w:vMerge w:val="continue"/>
            <w:noWrap/>
            <w:vAlign w:val="center"/>
          </w:tcPr>
          <w:p w14:paraId="5DAC517E">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p>
        </w:tc>
        <w:tc>
          <w:tcPr>
            <w:tcW w:w="1795" w:type="dxa"/>
            <w:noWrap/>
            <w:vAlign w:val="center"/>
          </w:tcPr>
          <w:p w14:paraId="36BF3D85">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cs="Times New Roman" w:asciiTheme="minorEastAsia" w:hAnsiTheme="minorEastAsia" w:eastAsiaTheme="minorEastAsia"/>
                <w:color w:val="000000" w:themeColor="text1"/>
                <w:sz w:val="21"/>
                <w:szCs w:val="21"/>
                <w14:textFill>
                  <w14:solidFill>
                    <w14:schemeClr w14:val="tx1"/>
                  </w14:solidFill>
                </w14:textFill>
              </w:rPr>
              <w:t>大型车7.5m声级</w:t>
            </w:r>
          </w:p>
        </w:tc>
        <w:tc>
          <w:tcPr>
            <w:tcW w:w="895" w:type="dxa"/>
            <w:noWrap/>
          </w:tcPr>
          <w:p w14:paraId="61A7DCA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82.96</w:t>
            </w:r>
          </w:p>
        </w:tc>
        <w:tc>
          <w:tcPr>
            <w:tcW w:w="895" w:type="dxa"/>
            <w:noWrap/>
          </w:tcPr>
          <w:p w14:paraId="7FC7C0A3">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82.81</w:t>
            </w:r>
          </w:p>
        </w:tc>
        <w:tc>
          <w:tcPr>
            <w:tcW w:w="895" w:type="dxa"/>
            <w:noWrap/>
          </w:tcPr>
          <w:p w14:paraId="2D36173D">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83.11</w:t>
            </w:r>
          </w:p>
        </w:tc>
        <w:tc>
          <w:tcPr>
            <w:tcW w:w="895" w:type="dxa"/>
            <w:noWrap/>
          </w:tcPr>
          <w:p w14:paraId="0F2659E7">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82.92</w:t>
            </w:r>
          </w:p>
        </w:tc>
        <w:tc>
          <w:tcPr>
            <w:tcW w:w="895" w:type="dxa"/>
            <w:noWrap/>
          </w:tcPr>
          <w:p w14:paraId="4D53A51F">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83.29</w:t>
            </w:r>
          </w:p>
        </w:tc>
        <w:tc>
          <w:tcPr>
            <w:tcW w:w="895" w:type="dxa"/>
            <w:noWrap/>
          </w:tcPr>
          <w:p w14:paraId="1CF26490">
            <w:pPr>
              <w:widowControl w:val="0"/>
              <w:jc w:val="center"/>
              <w:rPr>
                <w:rFonts w:cs="Times New Roman" w:asciiTheme="minorEastAsia" w:hAnsiTheme="minorEastAsia" w:eastAsiaTheme="minorEastAsia"/>
                <w:color w:val="000000" w:themeColor="text1"/>
                <w:sz w:val="21"/>
                <w:szCs w:val="21"/>
                <w14:textFill>
                  <w14:solidFill>
                    <w14:schemeClr w14:val="tx1"/>
                  </w14:solidFill>
                </w14:textFill>
              </w:rPr>
            </w:pPr>
            <w:r>
              <w:rPr>
                <w:rFonts w:asciiTheme="minorEastAsia" w:hAnsiTheme="minorEastAsia" w:eastAsiaTheme="minorEastAsia"/>
                <w:color w:val="000000" w:themeColor="text1"/>
                <w:sz w:val="21"/>
                <w:szCs w:val="21"/>
                <w14:textFill>
                  <w14:solidFill>
                    <w14:schemeClr w14:val="tx1"/>
                  </w14:solidFill>
                </w14:textFill>
              </w:rPr>
              <w:t>83.06</w:t>
            </w:r>
          </w:p>
        </w:tc>
      </w:tr>
    </w:tbl>
    <w:p w14:paraId="5BFC1020">
      <w:pPr>
        <w:pStyle w:val="5"/>
        <w:snapToGrid w:val="0"/>
        <w:spacing w:before="156" w:after="156" w:line="240" w:lineRule="auto"/>
        <w:rPr>
          <w:rFonts w:ascii="Times New Roman" w:hAnsi="Times New Roman" w:cs="Times New Roman"/>
          <w:i w:val="0"/>
        </w:rPr>
      </w:pPr>
      <w:r>
        <w:rPr>
          <w:rFonts w:ascii="Times New Roman" w:hAnsi="Times New Roman" w:cs="Times New Roman"/>
          <w:i w:val="0"/>
        </w:rPr>
        <w:t>5.3.2.4公路交通噪声各参数修正</w:t>
      </w:r>
    </w:p>
    <w:p w14:paraId="70037CE1">
      <w:pPr>
        <w:pStyle w:val="6"/>
        <w:spacing w:after="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lang w:val="en-GB"/>
          <w14:textFill>
            <w14:solidFill>
              <w14:schemeClr w14:val="tx1"/>
            </w14:solidFill>
          </w14:textFill>
        </w:rPr>
        <w:t>参照《</w:t>
      </w:r>
      <w:r>
        <w:rPr>
          <w:rFonts w:ascii="Times New Roman" w:hAnsi="Times New Roman" w:cs="Times New Roman"/>
          <w:color w:val="000000" w:themeColor="text1"/>
          <w14:textFill>
            <w14:solidFill>
              <w14:schemeClr w14:val="tx1"/>
            </w14:solidFill>
          </w14:textFill>
        </w:rPr>
        <w:t>环境影响评价技术导则 公路建设项目</w:t>
      </w:r>
      <w:r>
        <w:rPr>
          <w:rFonts w:ascii="Times New Roman" w:hAnsi="Times New Roman" w:cs="Times New Roman"/>
          <w:color w:val="000000" w:themeColor="text1"/>
          <w:lang w:val="en-GB"/>
          <w14:textFill>
            <w14:solidFill>
              <w14:schemeClr w14:val="tx1"/>
            </w14:solidFill>
          </w14:textFill>
        </w:rPr>
        <w:t>》（HJ 1358—2024）附录B，本项目</w:t>
      </w:r>
      <w:r>
        <w:rPr>
          <w:rFonts w:ascii="Times New Roman" w:hAnsi="Times New Roman" w:cs="Times New Roman"/>
          <w:color w:val="000000" w:themeColor="text1"/>
          <w14:textFill>
            <w14:solidFill>
              <w14:schemeClr w14:val="tx1"/>
            </w14:solidFill>
          </w14:textFill>
        </w:rPr>
        <w:t>公路交通噪声各参数修正如下：</w:t>
      </w:r>
    </w:p>
    <w:p w14:paraId="50DABB19">
      <w:pPr>
        <w:pStyle w:val="6"/>
        <w:spacing w:after="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（1）公路纵坡引起的修正量（</w:t>
      </w:r>
      <w:r>
        <w:rPr>
          <w:rFonts w:ascii="Times New Roman" w:hAnsi="Times New Roman" w:cs="Times New Roman"/>
          <w:i/>
          <w:iCs/>
          <w:color w:val="000000" w:themeColor="text1"/>
          <w14:textFill>
            <w14:solidFill>
              <w14:schemeClr w14:val="tx1"/>
            </w14:solidFill>
          </w14:textFill>
        </w:rPr>
        <w:t>ΔL</w:t>
      </w:r>
      <w:r>
        <w:rPr>
          <w:rFonts w:ascii="Times New Roman" w:hAnsi="Times New Roman" w:cs="Times New Roman"/>
          <w:color w:val="000000" w:themeColor="text1"/>
          <w:vertAlign w:val="subscript"/>
          <w14:textFill>
            <w14:solidFill>
              <w14:schemeClr w14:val="tx1"/>
            </w14:solidFill>
          </w14:textFill>
        </w:rPr>
        <w:t>坡度</w:t>
      </w:r>
      <w:r>
        <w:rPr>
          <w:rFonts w:ascii="Times New Roman" w:hAnsi="Times New Roman" w:cs="Times New Roman"/>
          <w:color w:val="000000" w:themeColor="text1"/>
          <w14:textFill>
            <w14:solidFill>
              <w14:schemeClr w14:val="tx1"/>
            </w14:solidFill>
          </w14:textFill>
        </w:rPr>
        <w:t>）</w:t>
      </w:r>
    </w:p>
    <w:p w14:paraId="7248958E">
      <w:pPr>
        <w:pStyle w:val="6"/>
        <w:spacing w:after="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公路纵坡修正量</w:t>
      </w:r>
      <w:r>
        <w:rPr>
          <w:rFonts w:ascii="Times New Roman" w:hAnsi="Times New Roman" w:eastAsia="Times New Roman" w:cs="Times New Roman"/>
          <w:i/>
          <w:color w:val="000000" w:themeColor="text1"/>
          <w14:textFill>
            <w14:solidFill>
              <w14:schemeClr w14:val="tx1"/>
            </w14:solidFill>
          </w14:textFill>
        </w:rPr>
        <w:t>∆L</w:t>
      </w:r>
      <w:r>
        <w:rPr>
          <w:rFonts w:ascii="Times New Roman" w:hAnsi="Times New Roman" w:eastAsia="Times New Roman" w:cs="Times New Roman"/>
          <w:i/>
          <w:color w:val="000000" w:themeColor="text1"/>
          <w:spacing w:val="-1"/>
          <w14:textFill>
            <w14:solidFill>
              <w14:schemeClr w14:val="tx1"/>
            </w14:solidFill>
          </w14:textFill>
        </w:rPr>
        <w:t xml:space="preserve"> </w:t>
      </w:r>
      <w:r>
        <w:rPr>
          <w:rFonts w:ascii="Times New Roman" w:hAnsi="Times New Roman" w:cs="Times New Roman"/>
          <w:color w:val="000000" w:themeColor="text1"/>
          <w:position w:val="-3"/>
          <w:sz w:val="12"/>
          <w14:textFill>
            <w14:solidFill>
              <w14:schemeClr w14:val="tx1"/>
            </w14:solidFill>
          </w14:textFill>
        </w:rPr>
        <w:t>坡度</w:t>
      </w:r>
      <w:r>
        <w:rPr>
          <w:rFonts w:ascii="Times New Roman" w:hAnsi="Times New Roman" w:cs="Times New Roman"/>
          <w:color w:val="000000" w:themeColor="text1"/>
          <w:spacing w:val="-2"/>
          <w14:textFill>
            <w14:solidFill>
              <w14:schemeClr w14:val="tx1"/>
            </w14:solidFill>
          </w14:textFill>
        </w:rPr>
        <w:t>可按下式计算</w:t>
      </w:r>
    </w:p>
    <w:p w14:paraId="659E62DE">
      <w:pPr>
        <w:tabs>
          <w:tab w:val="left" w:pos="4069"/>
        </w:tabs>
        <w:spacing w:before="176"/>
        <w:ind w:left="692"/>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大型车：</w:t>
      </w:r>
      <w:r>
        <w:rPr>
          <w:rFonts w:ascii="Times New Roman" w:hAnsi="Times New Roman" w:eastAsia="Times New Roman" w:cs="Times New Roman"/>
          <w:i/>
          <w:color w:val="000000" w:themeColor="text1"/>
          <w14:textFill>
            <w14:solidFill>
              <w14:schemeClr w14:val="tx1"/>
            </w14:solidFill>
          </w14:textFill>
        </w:rPr>
        <w:t>∆L</w:t>
      </w:r>
      <w:r>
        <w:rPr>
          <w:rFonts w:ascii="Times New Roman" w:hAnsi="Times New Roman" w:eastAsia="Times New Roman" w:cs="Times New Roman"/>
          <w:i/>
          <w:color w:val="000000" w:themeColor="text1"/>
          <w:spacing w:val="-3"/>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坡度</w:t>
      </w:r>
      <w:r>
        <w:rPr>
          <w:rFonts w:ascii="Times New Roman" w:hAnsi="Times New Roman" w:eastAsia="Times New Roman" w:cs="Times New Roman"/>
          <w:color w:val="000000" w:themeColor="text1"/>
          <w:spacing w:val="-4"/>
          <w14:textFill>
            <w14:solidFill>
              <w14:schemeClr w14:val="tx1"/>
            </w14:solidFill>
          </w14:textFill>
        </w:rPr>
        <w:t>=98</w:t>
      </w:r>
      <w:r>
        <w:rPr>
          <w:rFonts w:ascii="Times New Roman" w:hAnsi="Times New Roman" w:eastAsia="Arial" w:cs="Times New Roman"/>
          <w:color w:val="000000" w:themeColor="text1"/>
          <w:spacing w:val="-4"/>
          <w14:textFill>
            <w14:solidFill>
              <w14:schemeClr w14:val="tx1"/>
            </w14:solidFill>
          </w14:textFill>
        </w:rPr>
        <w:t>×</w:t>
      </w:r>
      <w:r>
        <w:rPr>
          <w:rFonts w:ascii="Times New Roman" w:hAnsi="Times New Roman" w:eastAsia="Times New Roman" w:cs="Times New Roman"/>
          <w:i/>
          <w:color w:val="000000" w:themeColor="text1"/>
          <w:spacing w:val="-4"/>
          <w14:textFill>
            <w14:solidFill>
              <w14:schemeClr w14:val="tx1"/>
            </w14:solidFill>
          </w14:textFill>
        </w:rPr>
        <w:t>β</w:t>
      </w:r>
      <w:r>
        <w:rPr>
          <w:rFonts w:ascii="Times New Roman" w:hAnsi="Times New Roman" w:eastAsia="Times New Roman" w:cs="Times New Roman"/>
          <w:i/>
          <w:color w:val="000000" w:themeColor="text1"/>
          <w14:textFill>
            <w14:solidFill>
              <w14:schemeClr w14:val="tx1"/>
            </w14:solidFill>
          </w14:textFill>
        </w:rPr>
        <w:tab/>
      </w:r>
    </w:p>
    <w:p w14:paraId="0843C946">
      <w:pPr>
        <w:tabs>
          <w:tab w:val="left" w:pos="4069"/>
        </w:tabs>
        <w:spacing w:before="182"/>
        <w:ind w:left="692"/>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中型车：</w:t>
      </w:r>
      <w:r>
        <w:rPr>
          <w:rFonts w:ascii="Times New Roman" w:hAnsi="Times New Roman" w:eastAsia="Times New Roman" w:cs="Times New Roman"/>
          <w:i/>
          <w:color w:val="000000" w:themeColor="text1"/>
          <w14:textFill>
            <w14:solidFill>
              <w14:schemeClr w14:val="tx1"/>
            </w14:solidFill>
          </w14:textFill>
        </w:rPr>
        <w:t>∆L</w:t>
      </w:r>
      <w:r>
        <w:rPr>
          <w:rFonts w:ascii="Times New Roman" w:hAnsi="Times New Roman" w:eastAsia="Times New Roman" w:cs="Times New Roman"/>
          <w:i/>
          <w:color w:val="000000" w:themeColor="text1"/>
          <w:spacing w:val="-3"/>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坡度</w:t>
      </w:r>
      <w:r>
        <w:rPr>
          <w:rFonts w:ascii="Times New Roman" w:hAnsi="Times New Roman" w:eastAsia="Times New Roman" w:cs="Times New Roman"/>
          <w:color w:val="000000" w:themeColor="text1"/>
          <w:spacing w:val="-4"/>
          <w14:textFill>
            <w14:solidFill>
              <w14:schemeClr w14:val="tx1"/>
            </w14:solidFill>
          </w14:textFill>
        </w:rPr>
        <w:t>=73</w:t>
      </w:r>
      <w:r>
        <w:rPr>
          <w:rFonts w:ascii="Times New Roman" w:hAnsi="Times New Roman" w:eastAsia="Arial" w:cs="Times New Roman"/>
          <w:color w:val="000000" w:themeColor="text1"/>
          <w:spacing w:val="-4"/>
          <w14:textFill>
            <w14:solidFill>
              <w14:schemeClr w14:val="tx1"/>
            </w14:solidFill>
          </w14:textFill>
        </w:rPr>
        <w:t>×</w:t>
      </w:r>
      <w:r>
        <w:rPr>
          <w:rFonts w:ascii="Times New Roman" w:hAnsi="Times New Roman" w:eastAsia="Times New Roman" w:cs="Times New Roman"/>
          <w:i/>
          <w:color w:val="000000" w:themeColor="text1"/>
          <w:spacing w:val="-4"/>
          <w14:textFill>
            <w14:solidFill>
              <w14:schemeClr w14:val="tx1"/>
            </w14:solidFill>
          </w14:textFill>
        </w:rPr>
        <w:t>β</w:t>
      </w:r>
      <w:r>
        <w:rPr>
          <w:rFonts w:ascii="Times New Roman" w:hAnsi="Times New Roman" w:eastAsia="Times New Roman" w:cs="Times New Roman"/>
          <w:i/>
          <w:color w:val="000000" w:themeColor="text1"/>
          <w14:textFill>
            <w14:solidFill>
              <w14:schemeClr w14:val="tx1"/>
            </w14:solidFill>
          </w14:textFill>
        </w:rPr>
        <w:tab/>
      </w:r>
    </w:p>
    <w:p w14:paraId="2B8D481D">
      <w:pPr>
        <w:tabs>
          <w:tab w:val="left" w:pos="4069"/>
        </w:tabs>
        <w:spacing w:before="182" w:line="379" w:lineRule="auto"/>
        <w:ind w:left="692" w:right="5083"/>
        <w:jc w:val="both"/>
        <w:rPr>
          <w:rFonts w:ascii="Times New Roman" w:hAnsi="Times New Roman" w:eastAsia="Times New Roman" w:cs="Times New Roman"/>
          <w:i/>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中型车：</w:t>
      </w:r>
      <w:r>
        <w:rPr>
          <w:rFonts w:ascii="Times New Roman" w:hAnsi="Times New Roman" w:eastAsia="Times New Roman" w:cs="Times New Roman"/>
          <w:i/>
          <w:color w:val="000000" w:themeColor="text1"/>
          <w14:textFill>
            <w14:solidFill>
              <w14:schemeClr w14:val="tx1"/>
            </w14:solidFill>
          </w14:textFill>
        </w:rPr>
        <w:t xml:space="preserve">∆L </w:t>
      </w:r>
      <w:r>
        <w:rPr>
          <w:rFonts w:ascii="Times New Roman" w:hAnsi="Times New Roman" w:cs="Times New Roman"/>
          <w:color w:val="000000" w:themeColor="text1"/>
          <w14:textFill>
            <w14:solidFill>
              <w14:schemeClr w14:val="tx1"/>
            </w14:solidFill>
          </w14:textFill>
        </w:rPr>
        <w:t>坡度</w:t>
      </w:r>
      <w:r>
        <w:rPr>
          <w:rFonts w:ascii="Times New Roman" w:hAnsi="Times New Roman" w:eastAsia="Times New Roman" w:cs="Times New Roman"/>
          <w:color w:val="000000" w:themeColor="text1"/>
          <w14:textFill>
            <w14:solidFill>
              <w14:schemeClr w14:val="tx1"/>
            </w14:solidFill>
          </w14:textFill>
        </w:rPr>
        <w:t>=50</w:t>
      </w:r>
      <w:r>
        <w:rPr>
          <w:rFonts w:ascii="Times New Roman" w:hAnsi="Times New Roman" w:eastAsia="Arial" w:cs="Times New Roman"/>
          <w:color w:val="000000" w:themeColor="text1"/>
          <w14:textFill>
            <w14:solidFill>
              <w14:schemeClr w14:val="tx1"/>
            </w14:solidFill>
          </w14:textFill>
        </w:rPr>
        <w:t>×</w:t>
      </w:r>
      <w:r>
        <w:rPr>
          <w:rFonts w:ascii="Times New Roman" w:hAnsi="Times New Roman" w:eastAsia="Times New Roman" w:cs="Times New Roman"/>
          <w:i/>
          <w:color w:val="000000" w:themeColor="text1"/>
          <w14:textFill>
            <w14:solidFill>
              <w14:schemeClr w14:val="tx1"/>
            </w14:solidFill>
          </w14:textFill>
        </w:rPr>
        <w:t>β</w:t>
      </w:r>
      <w:r>
        <w:rPr>
          <w:rFonts w:ascii="Times New Roman" w:hAnsi="Times New Roman" w:eastAsia="Times New Roman" w:cs="Times New Roman"/>
          <w:i/>
          <w:color w:val="000000" w:themeColor="text1"/>
          <w14:textFill>
            <w14:solidFill>
              <w14:schemeClr w14:val="tx1"/>
            </w14:solidFill>
          </w14:textFill>
        </w:rPr>
        <w:tab/>
      </w:r>
    </w:p>
    <w:p w14:paraId="66145786">
      <w:pPr>
        <w:tabs>
          <w:tab w:val="left" w:pos="4069"/>
        </w:tabs>
        <w:spacing w:before="182" w:line="379" w:lineRule="auto"/>
        <w:ind w:left="692" w:right="5083"/>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pacing w:val="-4"/>
          <w14:textFill>
            <w14:solidFill>
              <w14:schemeClr w14:val="tx1"/>
            </w14:solidFill>
          </w14:textFill>
        </w:rPr>
        <w:t>式中：</w:t>
      </w:r>
    </w:p>
    <w:p w14:paraId="356EAB76">
      <w:pPr>
        <w:spacing w:before="5"/>
        <w:ind w:left="692"/>
        <w:jc w:val="both"/>
        <w:rPr>
          <w:rFonts w:ascii="Times New Roman" w:hAnsi="Times New Roman" w:cs="Times New Roman"/>
          <w:color w:val="000000" w:themeColor="text1"/>
          <w14:textFill>
            <w14:solidFill>
              <w14:schemeClr w14:val="tx1"/>
            </w14:solidFill>
          </w14:textFill>
        </w:rPr>
      </w:pPr>
      <w:r>
        <w:rPr>
          <w:rFonts w:ascii="Times New Roman" w:hAnsi="Times New Roman" w:eastAsia="Times New Roman" w:cs="Times New Roman"/>
          <w:i/>
          <w:color w:val="000000" w:themeColor="text1"/>
          <w14:textFill>
            <w14:solidFill>
              <w14:schemeClr w14:val="tx1"/>
            </w14:solidFill>
          </w14:textFill>
        </w:rPr>
        <w:t>∆L</w:t>
      </w:r>
      <w:r>
        <w:rPr>
          <w:rFonts w:ascii="Times New Roman" w:hAnsi="Times New Roman" w:eastAsia="Times New Roman" w:cs="Times New Roman"/>
          <w:i/>
          <w:color w:val="000000" w:themeColor="text1"/>
          <w:spacing w:val="-1"/>
          <w14:textFill>
            <w14:solidFill>
              <w14:schemeClr w14:val="tx1"/>
            </w14:solidFill>
          </w14:textFill>
        </w:rPr>
        <w:t xml:space="preserve"> </w:t>
      </w:r>
      <w:r>
        <w:rPr>
          <w:rFonts w:ascii="Times New Roman" w:hAnsi="Times New Roman" w:cs="Times New Roman"/>
          <w:color w:val="000000" w:themeColor="text1"/>
          <w:position w:val="-2"/>
          <w:sz w:val="12"/>
          <w14:textFill>
            <w14:solidFill>
              <w14:schemeClr w14:val="tx1"/>
            </w14:solidFill>
          </w14:textFill>
        </w:rPr>
        <w:t>坡度</w:t>
      </w:r>
      <w:r>
        <w:rPr>
          <w:rFonts w:ascii="Times New Roman" w:hAnsi="Times New Roman" w:eastAsia="Times New Roman" w:cs="Times New Roman"/>
          <w:color w:val="000000" w:themeColor="text1"/>
          <w14:textFill>
            <w14:solidFill>
              <w14:schemeClr w14:val="tx1"/>
            </w14:solidFill>
          </w14:textFill>
        </w:rPr>
        <w:t>—</w:t>
      </w:r>
      <w:r>
        <w:rPr>
          <w:rFonts w:ascii="Times New Roman" w:hAnsi="Times New Roman" w:cs="Times New Roman"/>
          <w:color w:val="000000" w:themeColor="text1"/>
          <w:spacing w:val="-2"/>
          <w14:textFill>
            <w14:solidFill>
              <w14:schemeClr w14:val="tx1"/>
            </w14:solidFill>
          </w14:textFill>
        </w:rPr>
        <w:t>公路纵坡引起的修正量，</w:t>
      </w:r>
      <w:r>
        <w:rPr>
          <w:rFonts w:ascii="Times New Roman" w:hAnsi="Times New Roman" w:eastAsia="Times New Roman" w:cs="Times New Roman"/>
          <w:color w:val="000000" w:themeColor="text1"/>
          <w:spacing w:val="-4"/>
          <w14:textFill>
            <w14:solidFill>
              <w14:schemeClr w14:val="tx1"/>
            </w14:solidFill>
          </w14:textFill>
        </w:rPr>
        <w:t>dB</w:t>
      </w:r>
      <w:r>
        <w:rPr>
          <w:rFonts w:ascii="Times New Roman" w:hAnsi="Times New Roman" w:cs="Times New Roman"/>
          <w:color w:val="000000" w:themeColor="text1"/>
          <w:spacing w:val="-4"/>
          <w14:textFill>
            <w14:solidFill>
              <w14:schemeClr w14:val="tx1"/>
            </w14:solidFill>
          </w14:textFill>
        </w:rPr>
        <w:t>（</w:t>
      </w:r>
      <w:r>
        <w:rPr>
          <w:rFonts w:ascii="Times New Roman" w:hAnsi="Times New Roman" w:eastAsia="Times New Roman" w:cs="Times New Roman"/>
          <w:color w:val="000000" w:themeColor="text1"/>
          <w:spacing w:val="-4"/>
          <w14:textFill>
            <w14:solidFill>
              <w14:schemeClr w14:val="tx1"/>
            </w14:solidFill>
          </w14:textFill>
        </w:rPr>
        <w:t>A</w:t>
      </w:r>
      <w:r>
        <w:rPr>
          <w:rFonts w:ascii="Times New Roman" w:hAnsi="Times New Roman" w:cs="Times New Roman"/>
          <w:color w:val="000000" w:themeColor="text1"/>
          <w:spacing w:val="-4"/>
          <w14:textFill>
            <w14:solidFill>
              <w14:schemeClr w14:val="tx1"/>
            </w14:solidFill>
          </w14:textFill>
        </w:rPr>
        <w:t>）；</w:t>
      </w:r>
    </w:p>
    <w:p w14:paraId="71B4AA67">
      <w:pPr>
        <w:pStyle w:val="6"/>
        <w:spacing w:before="182"/>
        <w:ind w:left="692"/>
        <w:jc w:val="both"/>
        <w:rPr>
          <w:rFonts w:ascii="Times New Roman" w:hAnsi="Times New Roman" w:cs="Times New Roman"/>
          <w:color w:val="000000" w:themeColor="text1"/>
          <w:spacing w:val="-10"/>
          <w14:textFill>
            <w14:solidFill>
              <w14:schemeClr w14:val="tx1"/>
            </w14:solidFill>
          </w14:textFill>
        </w:rPr>
      </w:pPr>
      <w:r>
        <w:rPr>
          <w:rFonts w:ascii="Times New Roman" w:hAnsi="Times New Roman" w:eastAsia="Times New Roman" w:cs="Times New Roman"/>
          <w:i/>
          <w:color w:val="000000" w:themeColor="text1"/>
          <w:spacing w:val="-2"/>
          <w14:textFill>
            <w14:solidFill>
              <w14:schemeClr w14:val="tx1"/>
            </w14:solidFill>
          </w14:textFill>
        </w:rPr>
        <w:t>β</w:t>
      </w:r>
      <w:r>
        <w:rPr>
          <w:rFonts w:ascii="Times New Roman" w:hAnsi="Times New Roman" w:eastAsia="Times New Roman" w:cs="Times New Roman"/>
          <w:color w:val="000000" w:themeColor="text1"/>
          <w:spacing w:val="-2"/>
          <w14:textFill>
            <w14:solidFill>
              <w14:schemeClr w14:val="tx1"/>
            </w14:solidFill>
          </w14:textFill>
        </w:rPr>
        <w:t>—</w:t>
      </w:r>
      <w:r>
        <w:rPr>
          <w:rFonts w:ascii="Times New Roman" w:hAnsi="Times New Roman" w:cs="Times New Roman"/>
          <w:color w:val="000000" w:themeColor="text1"/>
          <w:spacing w:val="-2"/>
          <w14:textFill>
            <w14:solidFill>
              <w14:schemeClr w14:val="tx1"/>
            </w14:solidFill>
          </w14:textFill>
        </w:rPr>
        <w:t>公路纵坡坡度，</w:t>
      </w:r>
      <w:r>
        <w:rPr>
          <w:rFonts w:ascii="Times New Roman" w:hAnsi="Times New Roman" w:eastAsia="Times New Roman" w:cs="Times New Roman"/>
          <w:color w:val="000000" w:themeColor="text1"/>
          <w:spacing w:val="-2"/>
          <w14:textFill>
            <w14:solidFill>
              <w14:schemeClr w14:val="tx1"/>
            </w14:solidFill>
          </w14:textFill>
        </w:rPr>
        <w:t>%</w:t>
      </w:r>
      <w:r>
        <w:rPr>
          <w:rFonts w:ascii="Times New Roman" w:hAnsi="Times New Roman" w:cs="Times New Roman"/>
          <w:color w:val="000000" w:themeColor="text1"/>
          <w:spacing w:val="-10"/>
          <w14:textFill>
            <w14:solidFill>
              <w14:schemeClr w14:val="tx1"/>
            </w14:solidFill>
          </w14:textFill>
        </w:rPr>
        <w:t>。</w:t>
      </w:r>
    </w:p>
    <w:p w14:paraId="3AFA17C5">
      <w:pPr>
        <w:spacing w:line="360" w:lineRule="auto"/>
        <w:ind w:firstLine="480" w:firstLineChars="200"/>
        <w:jc w:val="both"/>
        <w:rPr>
          <w:rFonts w:ascii="Times New Roman" w:hAnsi="Times New Roman" w:cs="Times New Roman"/>
          <w:color w:val="000000" w:themeColor="text1"/>
          <w:spacing w:val="-10"/>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（2）公路路面类型引起的修正量（</w:t>
      </w:r>
      <w:r>
        <w:rPr>
          <w:rFonts w:ascii="Times New Roman" w:hAnsi="Times New Roman" w:eastAsia="Times New Roman" w:cs="Times New Roman"/>
          <w:i/>
          <w:color w:val="000000" w:themeColor="text1"/>
          <w14:textFill>
            <w14:solidFill>
              <w14:schemeClr w14:val="tx1"/>
            </w14:solidFill>
          </w14:textFill>
        </w:rPr>
        <w:t>∆L</w:t>
      </w:r>
      <w:r>
        <w:rPr>
          <w:rFonts w:ascii="Times New Roman" w:hAnsi="Times New Roman" w:eastAsia="Times New Roman" w:cs="Times New Roman"/>
          <w:i/>
          <w:color w:val="000000" w:themeColor="text1"/>
          <w:spacing w:val="-1"/>
          <w14:textFill>
            <w14:solidFill>
              <w14:schemeClr w14:val="tx1"/>
            </w14:solidFill>
          </w14:textFill>
        </w:rPr>
        <w:t xml:space="preserve"> </w:t>
      </w:r>
      <w:r>
        <w:rPr>
          <w:rFonts w:ascii="Times New Roman" w:hAnsi="Times New Roman" w:cs="Times New Roman"/>
          <w:color w:val="000000" w:themeColor="text1"/>
          <w:position w:val="-2"/>
          <w:sz w:val="12"/>
          <w14:textFill>
            <w14:solidFill>
              <w14:schemeClr w14:val="tx1"/>
            </w14:solidFill>
          </w14:textFill>
        </w:rPr>
        <w:t>路面</w:t>
      </w:r>
      <w:r>
        <w:rPr>
          <w:rFonts w:ascii="Times New Roman" w:hAnsi="Times New Roman" w:cs="Times New Roman"/>
          <w:color w:val="000000" w:themeColor="text1"/>
          <w:spacing w:val="-10"/>
          <w14:textFill>
            <w14:solidFill>
              <w14:schemeClr w14:val="tx1"/>
            </w14:solidFill>
          </w14:textFill>
        </w:rPr>
        <w:t>）</w:t>
      </w:r>
    </w:p>
    <w:p w14:paraId="276EBF34">
      <w:pPr>
        <w:spacing w:line="360" w:lineRule="auto"/>
        <w:ind w:firstLine="480" w:firstLineChars="200"/>
        <w:jc w:val="both"/>
        <w:rPr>
          <w:rFonts w:ascii="Times New Roman" w:hAnsi="Times New Roman" w:cs="Times New Roman"/>
          <w:color w:val="000000" w:themeColor="text1"/>
          <w:spacing w:val="-10"/>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公路路面引起的交通噪声源强修正量</w:t>
      </w:r>
      <w:r>
        <w:rPr>
          <w:rFonts w:ascii="Times New Roman" w:hAnsi="Times New Roman" w:eastAsia="Times New Roman" w:cs="Times New Roman"/>
          <w:i/>
          <w:color w:val="000000" w:themeColor="text1"/>
          <w14:textFill>
            <w14:solidFill>
              <w14:schemeClr w14:val="tx1"/>
            </w14:solidFill>
          </w14:textFill>
        </w:rPr>
        <w:t>∆L</w:t>
      </w:r>
      <w:r>
        <w:rPr>
          <w:rFonts w:ascii="Times New Roman" w:hAnsi="Times New Roman" w:eastAsia="Times New Roman" w:cs="Times New Roman"/>
          <w:i/>
          <w:color w:val="000000" w:themeColor="text1"/>
          <w:spacing w:val="-19"/>
          <w14:textFill>
            <w14:solidFill>
              <w14:schemeClr w14:val="tx1"/>
            </w14:solidFill>
          </w14:textFill>
        </w:rPr>
        <w:t xml:space="preserve"> </w:t>
      </w:r>
      <w:r>
        <w:rPr>
          <w:rFonts w:ascii="Times New Roman" w:hAnsi="Times New Roman" w:cs="Times New Roman"/>
          <w:color w:val="000000" w:themeColor="text1"/>
          <w:position w:val="-3"/>
          <w:sz w:val="12"/>
          <w14:textFill>
            <w14:solidFill>
              <w14:schemeClr w14:val="tx1"/>
            </w14:solidFill>
          </w14:textFill>
        </w:rPr>
        <w:t>路面</w:t>
      </w:r>
      <w:r>
        <w:rPr>
          <w:rFonts w:ascii="Times New Roman" w:hAnsi="Times New Roman" w:cs="Times New Roman"/>
          <w:color w:val="000000" w:themeColor="text1"/>
          <w:spacing w:val="20"/>
          <w14:textFill>
            <w14:solidFill>
              <w14:schemeClr w14:val="tx1"/>
            </w14:solidFill>
          </w14:textFill>
        </w:rPr>
        <w:t>按表</w:t>
      </w:r>
      <w:r>
        <w:rPr>
          <w:rFonts w:ascii="Times New Roman" w:hAnsi="Times New Roman" w:eastAsia="Times New Roman" w:cs="Times New Roman"/>
          <w:color w:val="000000" w:themeColor="text1"/>
          <w14:textFill>
            <w14:solidFill>
              <w14:schemeClr w14:val="tx1"/>
            </w14:solidFill>
          </w14:textFill>
        </w:rPr>
        <w:t>5.3-6</w:t>
      </w:r>
      <w:r>
        <w:rPr>
          <w:rFonts w:ascii="Times New Roman" w:hAnsi="Times New Roman" w:cs="Times New Roman"/>
          <w:color w:val="000000" w:themeColor="text1"/>
          <w:spacing w:val="-9"/>
          <w14:textFill>
            <w14:solidFill>
              <w14:schemeClr w14:val="tx1"/>
            </w14:solidFill>
          </w14:textFill>
        </w:rPr>
        <w:t>取值</w:t>
      </w:r>
      <w:r>
        <w:rPr>
          <w:rFonts w:ascii="Times New Roman" w:hAnsi="Times New Roman" w:cs="Times New Roman"/>
          <w:color w:val="000000" w:themeColor="text1"/>
          <w:spacing w:val="-10"/>
          <w14:textFill>
            <w14:solidFill>
              <w14:schemeClr w14:val="tx1"/>
            </w14:solidFill>
          </w14:textFill>
        </w:rPr>
        <w:t>。</w:t>
      </w:r>
    </w:p>
    <w:p w14:paraId="5EA9F12D">
      <w:pPr>
        <w:adjustRightInd w:val="0"/>
        <w:snapToGrid w:val="0"/>
        <w:jc w:val="center"/>
        <w:rPr>
          <w:rFonts w:ascii="Times New Roman" w:hAnsi="Times New Roman" w:eastAsia="黑体" w:cs="Times New Roman"/>
          <w:bCs/>
          <w:color w:val="000000" w:themeColor="text1"/>
          <w14:textFill>
            <w14:solidFill>
              <w14:schemeClr w14:val="tx1"/>
            </w14:solidFill>
          </w14:textFill>
        </w:rPr>
      </w:pPr>
      <w:r>
        <w:rPr>
          <w:rFonts w:ascii="Times New Roman" w:hAnsi="Times New Roman" w:eastAsia="黑体" w:cs="Times New Roman"/>
          <w:bCs/>
          <w:color w:val="000000" w:themeColor="text1"/>
          <w14:textFill>
            <w14:solidFill>
              <w14:schemeClr w14:val="tx1"/>
            </w14:solidFill>
          </w14:textFill>
        </w:rPr>
        <w:t>表 5.3-6</w:t>
      </w:r>
      <w:r>
        <w:rPr>
          <w:rFonts w:ascii="Times New Roman" w:hAnsi="Times New Roman" w:eastAsia="黑体" w:cs="Times New Roman"/>
          <w:bCs/>
          <w:color w:val="000000" w:themeColor="text1"/>
          <w14:textFill>
            <w14:solidFill>
              <w14:schemeClr w14:val="tx1"/>
            </w14:solidFill>
          </w14:textFill>
        </w:rPr>
        <w:tab/>
      </w:r>
      <w:r>
        <w:rPr>
          <w:rFonts w:ascii="Times New Roman" w:hAnsi="Times New Roman" w:eastAsia="黑体" w:cs="Times New Roman"/>
          <w:bCs/>
          <w:color w:val="000000" w:themeColor="text1"/>
          <w14:textFill>
            <w14:solidFill>
              <w14:schemeClr w14:val="tx1"/>
            </w14:solidFill>
          </w14:textFill>
        </w:rPr>
        <w:t>常规路面噪声级修正值</w:t>
      </w:r>
    </w:p>
    <w:tbl>
      <w:tblPr>
        <w:tblStyle w:val="22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60"/>
        <w:gridCol w:w="2581"/>
        <w:gridCol w:w="1954"/>
        <w:gridCol w:w="2227"/>
      </w:tblGrid>
      <w:tr w14:paraId="47F02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937" w:type="pct"/>
            <w:vMerge w:val="restart"/>
            <w:vAlign w:val="center"/>
          </w:tcPr>
          <w:p w14:paraId="38962989">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w w:val="95"/>
                <w:sz w:val="21"/>
                <w:szCs w:val="18"/>
                <w14:textFill>
                  <w14:solidFill>
                    <w14:schemeClr w14:val="tx1"/>
                  </w14:solidFill>
                </w14:textFill>
              </w:rPr>
              <w:t>路面类</w:t>
            </w:r>
            <w:r>
              <w:rPr>
                <w:rFonts w:ascii="Times New Roman" w:hAnsi="Times New Roman" w:cs="Times New Roman"/>
                <w:color w:val="000000" w:themeColor="text1"/>
                <w:spacing w:val="-10"/>
                <w:w w:val="95"/>
                <w:sz w:val="21"/>
                <w:szCs w:val="18"/>
                <w14:textFill>
                  <w14:solidFill>
                    <w14:schemeClr w14:val="tx1"/>
                  </w14:solidFill>
                </w14:textFill>
              </w:rPr>
              <w:t>型</w:t>
            </w:r>
          </w:p>
        </w:tc>
        <w:tc>
          <w:tcPr>
            <w:tcW w:w="4063" w:type="pct"/>
            <w:gridSpan w:val="3"/>
            <w:vAlign w:val="center"/>
          </w:tcPr>
          <w:p w14:paraId="73C42C9B">
            <w:pPr>
              <w:pStyle w:val="2265"/>
              <w:widowControl w:val="0"/>
              <w:jc w:val="center"/>
              <w:rPr>
                <w:rFonts w:ascii="Times New Roman" w:hAnsi="Times New Roman" w:eastAsia="Times New Roman" w:cs="Times New Roman"/>
                <w:color w:val="000000" w:themeColor="text1"/>
                <w:sz w:val="21"/>
                <w:szCs w:val="18"/>
                <w:lang w:eastAsia="zh-CN"/>
                <w14:textFill>
                  <w14:solidFill>
                    <w14:schemeClr w14:val="tx1"/>
                  </w14:solidFill>
                </w14:textFill>
              </w:rPr>
            </w:pPr>
            <w:r>
              <w:rPr>
                <w:rFonts w:ascii="Times New Roman" w:hAnsi="Times New Roman" w:cs="Times New Roman"/>
                <w:color w:val="000000" w:themeColor="text1"/>
                <w:sz w:val="21"/>
                <w:szCs w:val="18"/>
                <w:lang w:eastAsia="zh-CN"/>
                <w14:textFill>
                  <w14:solidFill>
                    <w14:schemeClr w14:val="tx1"/>
                  </w14:solidFill>
                </w14:textFill>
              </w:rPr>
              <w:t>不同行驶速度修正</w:t>
            </w:r>
            <w:r>
              <w:rPr>
                <w:rFonts w:ascii="Times New Roman" w:hAnsi="Times New Roman" w:cs="Times New Roman"/>
                <w:color w:val="000000" w:themeColor="text1"/>
                <w:spacing w:val="-4"/>
                <w:sz w:val="21"/>
                <w:szCs w:val="18"/>
                <w:lang w:eastAsia="zh-CN"/>
                <w14:textFill>
                  <w14:solidFill>
                    <w14:schemeClr w14:val="tx1"/>
                  </w14:solidFill>
                </w14:textFill>
              </w:rPr>
              <w:t>量[</w:t>
            </w:r>
            <w:r>
              <w:rPr>
                <w:rFonts w:ascii="Times New Roman" w:hAnsi="Times New Roman" w:eastAsia="Times New Roman" w:cs="Times New Roman"/>
                <w:color w:val="000000" w:themeColor="text1"/>
                <w:spacing w:val="-4"/>
                <w:sz w:val="21"/>
                <w:szCs w:val="18"/>
                <w:lang w:eastAsia="zh-CN"/>
                <w14:textFill>
                  <w14:solidFill>
                    <w14:schemeClr w14:val="tx1"/>
                  </w14:solidFill>
                </w14:textFill>
              </w:rPr>
              <w:t>dB</w:t>
            </w:r>
            <w:r>
              <w:rPr>
                <w:rFonts w:ascii="Times New Roman" w:hAnsi="Times New Roman" w:cs="Times New Roman"/>
                <w:color w:val="000000" w:themeColor="text1"/>
                <w:spacing w:val="-4"/>
                <w:sz w:val="21"/>
                <w:szCs w:val="18"/>
                <w:lang w:eastAsia="zh-CN"/>
                <w14:textFill>
                  <w14:solidFill>
                    <w14:schemeClr w14:val="tx1"/>
                  </w14:solidFill>
                </w14:textFill>
              </w:rPr>
              <w:t>（</w:t>
            </w:r>
            <w:r>
              <w:rPr>
                <w:rFonts w:ascii="Times New Roman" w:hAnsi="Times New Roman" w:eastAsia="Times New Roman" w:cs="Times New Roman"/>
                <w:color w:val="000000" w:themeColor="text1"/>
                <w:spacing w:val="-4"/>
                <w:sz w:val="21"/>
                <w:szCs w:val="18"/>
                <w:lang w:eastAsia="zh-CN"/>
                <w14:textFill>
                  <w14:solidFill>
                    <w14:schemeClr w14:val="tx1"/>
                  </w14:solidFill>
                </w14:textFill>
              </w:rPr>
              <w:t>A</w:t>
            </w:r>
            <w:r>
              <w:rPr>
                <w:rFonts w:ascii="Times New Roman" w:hAnsi="Times New Roman" w:cs="Times New Roman"/>
                <w:color w:val="000000" w:themeColor="text1"/>
                <w:spacing w:val="-4"/>
                <w:sz w:val="21"/>
                <w:szCs w:val="18"/>
                <w:lang w:eastAsia="zh-CN"/>
                <w14:textFill>
                  <w14:solidFill>
                    <w14:schemeClr w14:val="tx1"/>
                  </w14:solidFill>
                </w14:textFill>
              </w:rPr>
              <w:t>）]</w:t>
            </w:r>
          </w:p>
        </w:tc>
      </w:tr>
      <w:tr w14:paraId="23EB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37" w:type="pct"/>
            <w:vMerge w:val="continue"/>
            <w:vAlign w:val="center"/>
          </w:tcPr>
          <w:p w14:paraId="6403A15F">
            <w:pPr>
              <w:widowControl w:val="0"/>
              <w:jc w:val="center"/>
              <w:rPr>
                <w:rFonts w:ascii="Times New Roman" w:hAnsi="Times New Roman" w:cs="Times New Roman"/>
                <w:color w:val="000000" w:themeColor="text1"/>
                <w:sz w:val="21"/>
                <w:szCs w:val="18"/>
                <w:lang w:eastAsia="zh-CN"/>
                <w14:textFill>
                  <w14:solidFill>
                    <w14:schemeClr w14:val="tx1"/>
                  </w14:solidFill>
                </w14:textFill>
              </w:rPr>
            </w:pPr>
          </w:p>
        </w:tc>
        <w:tc>
          <w:tcPr>
            <w:tcW w:w="1551" w:type="pct"/>
            <w:vAlign w:val="center"/>
          </w:tcPr>
          <w:p w14:paraId="7A52A628">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5"/>
                <w:sz w:val="21"/>
                <w:szCs w:val="18"/>
                <w14:textFill>
                  <w14:solidFill>
                    <w14:schemeClr w14:val="tx1"/>
                  </w14:solidFill>
                </w14:textFill>
              </w:rPr>
              <w:t>30</w:t>
            </w:r>
            <w:r>
              <w:rPr>
                <w:rFonts w:ascii="Times New Roman" w:hAnsi="Times New Roman" w:cs="Times New Roman"/>
                <w:color w:val="000000" w:themeColor="text1"/>
                <w:spacing w:val="-4"/>
                <w:sz w:val="21"/>
                <w:szCs w:val="18"/>
                <w14:textFill>
                  <w14:solidFill>
                    <w14:schemeClr w14:val="tx1"/>
                  </w14:solidFill>
                </w14:textFill>
              </w:rPr>
              <w:t>(</w:t>
            </w:r>
            <w:r>
              <w:rPr>
                <w:rFonts w:ascii="Times New Roman" w:hAnsi="Times New Roman" w:eastAsia="Times New Roman" w:cs="Times New Roman"/>
                <w:color w:val="000000" w:themeColor="text1"/>
                <w:spacing w:val="-4"/>
                <w:sz w:val="21"/>
                <w:szCs w:val="18"/>
                <w14:textFill>
                  <w14:solidFill>
                    <w14:schemeClr w14:val="tx1"/>
                  </w14:solidFill>
                </w14:textFill>
              </w:rPr>
              <w:t>km/h)</w:t>
            </w:r>
          </w:p>
        </w:tc>
        <w:tc>
          <w:tcPr>
            <w:tcW w:w="1174" w:type="pct"/>
            <w:vAlign w:val="center"/>
          </w:tcPr>
          <w:p w14:paraId="4FBD34E8">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5"/>
                <w:sz w:val="21"/>
                <w:szCs w:val="18"/>
                <w14:textFill>
                  <w14:solidFill>
                    <w14:schemeClr w14:val="tx1"/>
                  </w14:solidFill>
                </w14:textFill>
              </w:rPr>
              <w:t>40</w:t>
            </w:r>
            <w:r>
              <w:rPr>
                <w:rFonts w:ascii="Times New Roman" w:hAnsi="Times New Roman" w:cs="Times New Roman"/>
                <w:color w:val="000000" w:themeColor="text1"/>
                <w:spacing w:val="-4"/>
                <w:sz w:val="21"/>
                <w:szCs w:val="18"/>
                <w14:textFill>
                  <w14:solidFill>
                    <w14:schemeClr w14:val="tx1"/>
                  </w14:solidFill>
                </w14:textFill>
              </w:rPr>
              <w:t>(</w:t>
            </w:r>
            <w:r>
              <w:rPr>
                <w:rFonts w:ascii="Times New Roman" w:hAnsi="Times New Roman" w:eastAsia="Times New Roman" w:cs="Times New Roman"/>
                <w:color w:val="000000" w:themeColor="text1"/>
                <w:spacing w:val="-4"/>
                <w:sz w:val="21"/>
                <w:szCs w:val="18"/>
                <w14:textFill>
                  <w14:solidFill>
                    <w14:schemeClr w14:val="tx1"/>
                  </w14:solidFill>
                </w14:textFill>
              </w:rPr>
              <w:t>km/h)</w:t>
            </w:r>
          </w:p>
        </w:tc>
        <w:tc>
          <w:tcPr>
            <w:tcW w:w="1338" w:type="pct"/>
            <w:vAlign w:val="center"/>
          </w:tcPr>
          <w:p w14:paraId="28A3832C">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5"/>
                <w:sz w:val="21"/>
                <w:szCs w:val="18"/>
                <w14:textFill>
                  <w14:solidFill>
                    <w14:schemeClr w14:val="tx1"/>
                  </w14:solidFill>
                </w14:textFill>
              </w:rPr>
              <w:t>≥50</w:t>
            </w:r>
            <w:r>
              <w:rPr>
                <w:rFonts w:ascii="Times New Roman" w:hAnsi="Times New Roman" w:cs="Times New Roman"/>
                <w:color w:val="000000" w:themeColor="text1"/>
                <w:spacing w:val="-4"/>
                <w:sz w:val="21"/>
                <w:szCs w:val="18"/>
                <w14:textFill>
                  <w14:solidFill>
                    <w14:schemeClr w14:val="tx1"/>
                  </w14:solidFill>
                </w14:textFill>
              </w:rPr>
              <w:t>(</w:t>
            </w:r>
            <w:r>
              <w:rPr>
                <w:rFonts w:ascii="Times New Roman" w:hAnsi="Times New Roman" w:eastAsia="Times New Roman" w:cs="Times New Roman"/>
                <w:color w:val="000000" w:themeColor="text1"/>
                <w:spacing w:val="-4"/>
                <w:sz w:val="21"/>
                <w:szCs w:val="18"/>
                <w14:textFill>
                  <w14:solidFill>
                    <w14:schemeClr w14:val="tx1"/>
                  </w14:solidFill>
                </w14:textFill>
              </w:rPr>
              <w:t>km/h)</w:t>
            </w:r>
          </w:p>
        </w:tc>
      </w:tr>
      <w:tr w14:paraId="06C1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937" w:type="pct"/>
            <w:vAlign w:val="center"/>
          </w:tcPr>
          <w:p w14:paraId="2D4164AF">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2"/>
                <w:w w:val="95"/>
                <w:sz w:val="21"/>
                <w:szCs w:val="18"/>
                <w:lang w:eastAsia="zh-CN"/>
                <w14:textFill>
                  <w14:solidFill>
                    <w14:schemeClr w14:val="tx1"/>
                  </w14:solidFill>
                </w14:textFill>
              </w:rPr>
              <w:t>普通</w:t>
            </w:r>
            <w:r>
              <w:rPr>
                <w:rFonts w:ascii="Times New Roman" w:hAnsi="Times New Roman" w:cs="Times New Roman"/>
                <w:color w:val="000000" w:themeColor="text1"/>
                <w:spacing w:val="-2"/>
                <w:w w:val="95"/>
                <w:sz w:val="21"/>
                <w:szCs w:val="18"/>
                <w14:textFill>
                  <w14:solidFill>
                    <w14:schemeClr w14:val="tx1"/>
                  </w14:solidFill>
                </w14:textFill>
              </w:rPr>
              <w:t>沥青混凝土</w:t>
            </w:r>
          </w:p>
        </w:tc>
        <w:tc>
          <w:tcPr>
            <w:tcW w:w="1551" w:type="pct"/>
            <w:vAlign w:val="center"/>
          </w:tcPr>
          <w:p w14:paraId="40C0610B">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w w:val="99"/>
                <w:sz w:val="21"/>
                <w:szCs w:val="18"/>
                <w14:textFill>
                  <w14:solidFill>
                    <w14:schemeClr w14:val="tx1"/>
                  </w14:solidFill>
                </w14:textFill>
              </w:rPr>
              <w:t>0</w:t>
            </w:r>
          </w:p>
        </w:tc>
        <w:tc>
          <w:tcPr>
            <w:tcW w:w="1174" w:type="pct"/>
            <w:vAlign w:val="center"/>
          </w:tcPr>
          <w:p w14:paraId="2F57CA2C">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w w:val="99"/>
                <w:sz w:val="21"/>
                <w:szCs w:val="18"/>
                <w14:textFill>
                  <w14:solidFill>
                    <w14:schemeClr w14:val="tx1"/>
                  </w14:solidFill>
                </w14:textFill>
              </w:rPr>
              <w:t>0</w:t>
            </w:r>
          </w:p>
        </w:tc>
        <w:tc>
          <w:tcPr>
            <w:tcW w:w="1338" w:type="pct"/>
            <w:vAlign w:val="center"/>
          </w:tcPr>
          <w:p w14:paraId="55F3D865">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w w:val="99"/>
                <w:sz w:val="21"/>
                <w:szCs w:val="18"/>
                <w14:textFill>
                  <w14:solidFill>
                    <w14:schemeClr w14:val="tx1"/>
                  </w14:solidFill>
                </w14:textFill>
              </w:rPr>
              <w:t>0</w:t>
            </w:r>
          </w:p>
        </w:tc>
      </w:tr>
      <w:tr w14:paraId="314E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37" w:type="pct"/>
            <w:vAlign w:val="center"/>
          </w:tcPr>
          <w:p w14:paraId="45DCDFDF">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2"/>
                <w:w w:val="95"/>
                <w:sz w:val="21"/>
                <w:szCs w:val="18"/>
                <w:lang w:eastAsia="zh-CN"/>
                <w14:textFill>
                  <w14:solidFill>
                    <w14:schemeClr w14:val="tx1"/>
                  </w14:solidFill>
                </w14:textFill>
              </w:rPr>
              <w:t>普通</w:t>
            </w:r>
            <w:r>
              <w:rPr>
                <w:rFonts w:ascii="Times New Roman" w:hAnsi="Times New Roman" w:cs="Times New Roman"/>
                <w:color w:val="000000" w:themeColor="text1"/>
                <w:spacing w:val="-2"/>
                <w:w w:val="95"/>
                <w:sz w:val="21"/>
                <w:szCs w:val="18"/>
                <w14:textFill>
                  <w14:solidFill>
                    <w14:schemeClr w14:val="tx1"/>
                  </w14:solidFill>
                </w14:textFill>
              </w:rPr>
              <w:t>水泥混凝土</w:t>
            </w:r>
          </w:p>
        </w:tc>
        <w:tc>
          <w:tcPr>
            <w:tcW w:w="1551" w:type="pct"/>
            <w:vAlign w:val="center"/>
          </w:tcPr>
          <w:p w14:paraId="45855317">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5"/>
                <w:sz w:val="21"/>
                <w:szCs w:val="18"/>
                <w14:textFill>
                  <w14:solidFill>
                    <w14:schemeClr w14:val="tx1"/>
                  </w14:solidFill>
                </w14:textFill>
              </w:rPr>
              <w:t>+1.0</w:t>
            </w:r>
          </w:p>
        </w:tc>
        <w:tc>
          <w:tcPr>
            <w:tcW w:w="1174" w:type="pct"/>
            <w:vAlign w:val="center"/>
          </w:tcPr>
          <w:p w14:paraId="26D17478">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5"/>
                <w:sz w:val="21"/>
                <w:szCs w:val="18"/>
                <w14:textFill>
                  <w14:solidFill>
                    <w14:schemeClr w14:val="tx1"/>
                  </w14:solidFill>
                </w14:textFill>
              </w:rPr>
              <w:t>+1.5</w:t>
            </w:r>
          </w:p>
        </w:tc>
        <w:tc>
          <w:tcPr>
            <w:tcW w:w="1338" w:type="pct"/>
            <w:vAlign w:val="center"/>
          </w:tcPr>
          <w:p w14:paraId="4C6DF4A3">
            <w:pPr>
              <w:pStyle w:val="2265"/>
              <w:widowControl w:val="0"/>
              <w:jc w:val="center"/>
              <w:rPr>
                <w:rFonts w:ascii="Times New Roman" w:hAnsi="Times New Roman" w:cs="Times New Roman"/>
                <w:color w:val="000000" w:themeColor="text1"/>
                <w:sz w:val="21"/>
                <w:szCs w:val="18"/>
                <w14:textFill>
                  <w14:solidFill>
                    <w14:schemeClr w14:val="tx1"/>
                  </w14:solidFill>
                </w14:textFill>
              </w:rPr>
            </w:pPr>
            <w:r>
              <w:rPr>
                <w:rFonts w:ascii="Times New Roman" w:hAnsi="Times New Roman" w:cs="Times New Roman"/>
                <w:color w:val="000000" w:themeColor="text1"/>
                <w:spacing w:val="-5"/>
                <w:sz w:val="21"/>
                <w:szCs w:val="18"/>
                <w14:textFill>
                  <w14:solidFill>
                    <w14:schemeClr w14:val="tx1"/>
                  </w14:solidFill>
                </w14:textFill>
              </w:rPr>
              <w:t>+2.0</w:t>
            </w:r>
          </w:p>
        </w:tc>
      </w:tr>
      <w:tr w14:paraId="6AA2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937" w:type="pct"/>
            <w:vAlign w:val="center"/>
          </w:tcPr>
          <w:p w14:paraId="3C8ADF06">
            <w:pPr>
              <w:pStyle w:val="2265"/>
              <w:widowControl w:val="0"/>
              <w:jc w:val="center"/>
              <w:rPr>
                <w:rFonts w:ascii="Times New Roman" w:hAnsi="Times New Roman" w:cs="Times New Roman"/>
                <w:color w:val="000000" w:themeColor="text1"/>
                <w:spacing w:val="-2"/>
                <w:w w:val="95"/>
                <w:sz w:val="21"/>
                <w:szCs w:val="18"/>
                <w:lang w:eastAsia="zh-CN"/>
                <w14:textFill>
                  <w14:solidFill>
                    <w14:schemeClr w14:val="tx1"/>
                  </w14:solidFill>
                </w14:textFill>
              </w:rPr>
            </w:pPr>
            <w:r>
              <w:rPr>
                <w:rFonts w:ascii="Times New Roman" w:hAnsi="Times New Roman" w:cs="Times New Roman"/>
                <w:color w:val="000000" w:themeColor="text1"/>
                <w:spacing w:val="-2"/>
                <w:w w:val="95"/>
                <w:sz w:val="21"/>
                <w:szCs w:val="18"/>
                <w:lang w:eastAsia="zh-CN"/>
                <w14:textFill>
                  <w14:solidFill>
                    <w14:schemeClr w14:val="tx1"/>
                  </w14:solidFill>
                </w14:textFill>
              </w:rPr>
              <w:t>低噪声路面</w:t>
            </w:r>
          </w:p>
        </w:tc>
        <w:tc>
          <w:tcPr>
            <w:tcW w:w="4063" w:type="pct"/>
            <w:gridSpan w:val="3"/>
            <w:vAlign w:val="center"/>
          </w:tcPr>
          <w:p w14:paraId="369AC5CB">
            <w:pPr>
              <w:pStyle w:val="2265"/>
              <w:widowControl w:val="0"/>
              <w:jc w:val="both"/>
              <w:rPr>
                <w:rFonts w:ascii="Times New Roman" w:hAnsi="Times New Roman" w:cs="Times New Roman"/>
                <w:color w:val="000000" w:themeColor="text1"/>
                <w:spacing w:val="-5"/>
                <w:sz w:val="21"/>
                <w:szCs w:val="18"/>
                <w:lang w:eastAsia="zh-CN"/>
                <w14:textFill>
                  <w14:solidFill>
                    <w14:schemeClr w14:val="tx1"/>
                  </w14:solidFill>
                </w14:textFill>
              </w:rPr>
            </w:pPr>
            <w:r>
              <w:rPr>
                <w:rFonts w:ascii="Times New Roman" w:hAnsi="Times New Roman" w:cs="Times New Roman"/>
                <w:color w:val="000000" w:themeColor="text1"/>
                <w:spacing w:val="-3"/>
                <w:sz w:val="21"/>
                <w:lang w:eastAsia="zh-CN"/>
                <w14:textFill>
                  <w14:solidFill>
                    <w14:schemeClr w14:val="tx1"/>
                  </w14:solidFill>
                </w14:textFill>
              </w:rPr>
              <w:t>单层低噪声路面对应普通沥青混凝土路面或普通水泥混凝土路面，可做</w:t>
            </w:r>
            <w:r>
              <w:rPr>
                <w:rFonts w:ascii="Times New Roman" w:hAnsi="Times New Roman" w:eastAsia="Times New Roman" w:cs="Times New Roman"/>
                <w:color w:val="000000" w:themeColor="text1"/>
                <w:sz w:val="21"/>
                <w:lang w:eastAsia="zh-CN"/>
                <w14:textFill>
                  <w14:solidFill>
                    <w14:schemeClr w14:val="tx1"/>
                  </w14:solidFill>
                </w14:textFill>
              </w:rPr>
              <w:t>-1</w:t>
            </w:r>
            <w:r>
              <w:rPr>
                <w:rFonts w:ascii="Times New Roman" w:hAnsi="Times New Roman" w:eastAsia="Times New Roman" w:cs="Times New Roman"/>
                <w:color w:val="000000" w:themeColor="text1"/>
                <w:spacing w:val="-2"/>
                <w:sz w:val="21"/>
                <w:lang w:eastAsia="zh-CN"/>
                <w14:textFill>
                  <w14:solidFill>
                    <w14:schemeClr w14:val="tx1"/>
                  </w14:solidFill>
                </w14:textFill>
              </w:rPr>
              <w:t>B(A)</w:t>
            </w:r>
            <w:r>
              <w:rPr>
                <w:rFonts w:ascii="Times New Roman" w:hAnsi="Times New Roman" w:cs="Times New Roman"/>
                <w:color w:val="000000" w:themeColor="text1"/>
                <w:spacing w:val="-2"/>
                <w:sz w:val="21"/>
                <w:lang w:eastAsia="zh-CN"/>
                <w14:textFill>
                  <w14:solidFill>
                    <w14:schemeClr w14:val="tx1"/>
                  </w14:solidFill>
                </w14:textFill>
              </w:rPr>
              <w:t>～</w:t>
            </w:r>
            <w:r>
              <w:rPr>
                <w:rFonts w:ascii="Times New Roman" w:hAnsi="Times New Roman" w:eastAsia="Times New Roman" w:cs="Times New Roman"/>
                <w:color w:val="000000" w:themeColor="text1"/>
                <w:spacing w:val="-2"/>
                <w:sz w:val="21"/>
                <w:lang w:eastAsia="zh-CN"/>
                <w14:textFill>
                  <w14:solidFill>
                    <w14:schemeClr w14:val="tx1"/>
                  </w14:solidFill>
                </w14:textFill>
              </w:rPr>
              <w:t>-3dB(A)</w:t>
            </w:r>
            <w:r>
              <w:rPr>
                <w:rFonts w:ascii="Times New Roman" w:hAnsi="Times New Roman" w:cs="Times New Roman"/>
                <w:color w:val="000000" w:themeColor="text1"/>
                <w:spacing w:val="-2"/>
                <w:sz w:val="21"/>
                <w:lang w:eastAsia="zh-CN"/>
                <w14:textFill>
                  <w14:solidFill>
                    <w14:schemeClr w14:val="tx1"/>
                  </w14:solidFill>
                </w14:textFill>
              </w:rPr>
              <w:t>修正（设计车速较高时，取较大修正量），多层或其他新型低噪声路面修正量可根据工程验证的研究成果适当增加。</w:t>
            </w:r>
          </w:p>
        </w:tc>
      </w:tr>
    </w:tbl>
    <w:p w14:paraId="013AAAC2">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本项目区域内地形平缓，地貌条件比较简单，全线地势总体起伏不大，公路两侧开阔无屏障，与公路高差最具代表性的路段作为典型断面。</w:t>
      </w:r>
    </w:p>
    <w:p w14:paraId="42B58A3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本项目为</w:t>
      </w:r>
      <w:r>
        <w:rPr>
          <w:rFonts w:hint="eastAsia" w:ascii="Times New Roman" w:hAnsi="Times New Roman" w:cs="Times New Roman"/>
          <w:color w:val="000000" w:themeColor="text1"/>
          <w14:textFill>
            <w14:solidFill>
              <w14:schemeClr w14:val="tx1"/>
            </w14:solidFill>
          </w14:textFill>
        </w:rPr>
        <w:t>2车道，根据导则：</w:t>
      </w:r>
      <w:r>
        <w:rPr>
          <w:rFonts w:ascii="Times New Roman" w:hAnsi="Times New Roman" w:cs="Times New Roman"/>
          <w:color w:val="000000" w:themeColor="text1"/>
          <w14:textFill>
            <w14:solidFill>
              <w14:schemeClr w14:val="tx1"/>
            </w14:solidFill>
          </w14:textFill>
        </w:rPr>
        <w:t>9.2.4.1.1 路段交通噪声预测。按照交通量划分的路段预测各路段在运营近、中、远期的昼间和夜间 噪声贡献值。当车道数≤4 时，预测距离分别取距路中心线20m、30m、40m、50m、60m、80m、100m、120m、160m、200m。本次预测中不考虑坡度的修正；项目采用沥青混凝土路面，路面修正量为0。</w:t>
      </w:r>
    </w:p>
    <w:p w14:paraId="4983A96F">
      <w:pPr>
        <w:pStyle w:val="5"/>
        <w:snapToGrid w:val="0"/>
        <w:spacing w:before="156" w:after="156" w:line="240" w:lineRule="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5.3.2.5交通噪声预测结果</w:t>
      </w:r>
    </w:p>
    <w:p w14:paraId="5B07E3A2">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（1）交通噪声预测</w:t>
      </w:r>
    </w:p>
    <w:p w14:paraId="1415EBA7">
      <w:pPr>
        <w:spacing w:line="360" w:lineRule="auto"/>
        <w:ind w:firstLine="480" w:firstLineChars="200"/>
        <w:jc w:val="both"/>
        <w:rPr>
          <w:rFonts w:ascii="Times New Roman" w:hAnsi="Times New Roman" w:cs="Times New Roman"/>
          <w:color w:val="000000" w:themeColor="text1"/>
          <w14:textFill>
            <w14:solidFill>
              <w14:schemeClr w14:val="tx1"/>
            </w14:solidFill>
          </w14:textFill>
        </w:rPr>
        <w:sectPr>
          <w:footerReference r:id="rId7" w:type="default"/>
          <w:pgSz w:w="11906" w:h="16838"/>
          <w:pgMar w:top="1440" w:right="1797" w:bottom="1440" w:left="1797" w:header="794" w:footer="850" w:gutter="0"/>
          <w:cols w:space="720" w:num="1"/>
          <w:docGrid w:type="lines" w:linePitch="312" w:charSpace="0"/>
        </w:sectPr>
      </w:pPr>
      <w:r>
        <w:rPr>
          <w:rFonts w:ascii="Times New Roman" w:hAnsi="Times New Roman" w:cs="Times New Roman"/>
          <w:color w:val="000000" w:themeColor="text1"/>
          <w14:textFill>
            <w14:solidFill>
              <w14:schemeClr w14:val="tx1"/>
            </w14:solidFill>
          </w14:textFill>
        </w:rPr>
        <w:t>考虑到预测路段两侧环境特征，对路段交通噪声的预测主要考虑道路距离和空气衰减影响以及背景噪声等因素。因道路两侧为居民区，为平房，因此仅给出公路所在平面的噪声值</w:t>
      </w:r>
      <w:r>
        <w:rPr>
          <w:rFonts w:hint="eastAsia" w:ascii="Times New Roman" w:hAnsi="Times New Roman" w:cs="Times New Roman"/>
          <w:color w:val="000000" w:themeColor="text1"/>
          <w14:textFill>
            <w14:solidFill>
              <w14:schemeClr w14:val="tx1"/>
            </w14:solidFill>
          </w14:textFill>
        </w:rPr>
        <w:t>。本工程在道路红线</w:t>
      </w:r>
      <w:r>
        <w:rPr>
          <w:rFonts w:ascii="Times New Roman" w:hAnsi="Times New Roman" w:cs="Times New Roman"/>
          <w:color w:val="000000" w:themeColor="text1"/>
          <w14:textFill>
            <w14:solidFill>
              <w14:schemeClr w14:val="tx1"/>
            </w14:solidFill>
          </w14:textFill>
        </w:rPr>
        <w:t>20m处满足《声环境质量标准》（GB3096-2008）中的4a类标准，20m处满足《声环境质量标准》（GB3096-2008）中的2类标准噪声预测结果见表5.3-</w:t>
      </w:r>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w:t>
      </w:r>
    </w:p>
    <w:tbl>
      <w:tblPr>
        <w:tblStyle w:val="2264"/>
        <w:tblpPr w:leftFromText="180" w:rightFromText="180" w:horzAnchor="margin" w:tblpXSpec="center" w:tblpY="59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41"/>
        <w:gridCol w:w="1408"/>
        <w:gridCol w:w="905"/>
        <w:gridCol w:w="914"/>
        <w:gridCol w:w="919"/>
        <w:gridCol w:w="927"/>
        <w:gridCol w:w="927"/>
        <w:gridCol w:w="927"/>
        <w:gridCol w:w="927"/>
        <w:gridCol w:w="936"/>
        <w:gridCol w:w="927"/>
        <w:gridCol w:w="1084"/>
        <w:gridCol w:w="928"/>
        <w:gridCol w:w="898"/>
      </w:tblGrid>
      <w:tr w14:paraId="4708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480" w:type="pct"/>
            <w:vMerge w:val="restart"/>
            <w:vAlign w:val="center"/>
          </w:tcPr>
          <w:p w14:paraId="27A9FF3E">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年份</w:t>
            </w:r>
          </w:p>
        </w:tc>
        <w:tc>
          <w:tcPr>
            <w:tcW w:w="504" w:type="pct"/>
            <w:vMerge w:val="restart"/>
            <w:vAlign w:val="center"/>
          </w:tcPr>
          <w:p w14:paraId="3FB1C81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时段</w:t>
            </w:r>
          </w:p>
        </w:tc>
        <w:tc>
          <w:tcPr>
            <w:tcW w:w="3363" w:type="pct"/>
            <w:gridSpan w:val="10"/>
            <w:vAlign w:val="center"/>
          </w:tcPr>
          <w:p w14:paraId="2256CB2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距道路中心线距离</w:t>
            </w:r>
          </w:p>
        </w:tc>
        <w:tc>
          <w:tcPr>
            <w:tcW w:w="653" w:type="pct"/>
            <w:gridSpan w:val="2"/>
            <w:vAlign w:val="center"/>
          </w:tcPr>
          <w:p w14:paraId="76BCE0CC">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达标距离（m）</w:t>
            </w:r>
          </w:p>
        </w:tc>
      </w:tr>
      <w:tr w14:paraId="7E45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80" w:type="pct"/>
            <w:vMerge w:val="continue"/>
            <w:vAlign w:val="center"/>
          </w:tcPr>
          <w:p w14:paraId="3C16E677">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p>
        </w:tc>
        <w:tc>
          <w:tcPr>
            <w:tcW w:w="504" w:type="pct"/>
            <w:vMerge w:val="continue"/>
            <w:vAlign w:val="center"/>
          </w:tcPr>
          <w:p w14:paraId="55942EE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p>
        </w:tc>
        <w:tc>
          <w:tcPr>
            <w:tcW w:w="324" w:type="pct"/>
            <w:tcBorders>
              <w:bottom w:val="single" w:color="auto" w:sz="4" w:space="0"/>
            </w:tcBorders>
            <w:vAlign w:val="center"/>
          </w:tcPr>
          <w:p w14:paraId="30D865A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20m</w:t>
            </w:r>
          </w:p>
        </w:tc>
        <w:tc>
          <w:tcPr>
            <w:tcW w:w="327" w:type="pct"/>
            <w:tcBorders>
              <w:bottom w:val="single" w:color="auto" w:sz="4" w:space="0"/>
            </w:tcBorders>
            <w:vAlign w:val="center"/>
          </w:tcPr>
          <w:p w14:paraId="78C09CA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30m</w:t>
            </w:r>
          </w:p>
        </w:tc>
        <w:tc>
          <w:tcPr>
            <w:tcW w:w="329" w:type="pct"/>
            <w:tcBorders>
              <w:bottom w:val="single" w:color="auto" w:sz="4" w:space="0"/>
            </w:tcBorders>
            <w:vAlign w:val="center"/>
          </w:tcPr>
          <w:p w14:paraId="104746A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40m</w:t>
            </w:r>
          </w:p>
        </w:tc>
        <w:tc>
          <w:tcPr>
            <w:tcW w:w="332" w:type="pct"/>
            <w:tcBorders>
              <w:bottom w:val="single" w:color="auto" w:sz="4" w:space="0"/>
            </w:tcBorders>
            <w:vAlign w:val="center"/>
          </w:tcPr>
          <w:p w14:paraId="196D67B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50m</w:t>
            </w:r>
          </w:p>
        </w:tc>
        <w:tc>
          <w:tcPr>
            <w:tcW w:w="332" w:type="pct"/>
            <w:tcBorders>
              <w:bottom w:val="single" w:color="auto" w:sz="4" w:space="0"/>
            </w:tcBorders>
            <w:vAlign w:val="center"/>
          </w:tcPr>
          <w:p w14:paraId="1531313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60m</w:t>
            </w:r>
          </w:p>
        </w:tc>
        <w:tc>
          <w:tcPr>
            <w:tcW w:w="332" w:type="pct"/>
            <w:tcBorders>
              <w:bottom w:val="single" w:color="auto" w:sz="4" w:space="0"/>
            </w:tcBorders>
            <w:vAlign w:val="center"/>
          </w:tcPr>
          <w:p w14:paraId="1B3A2BB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80m</w:t>
            </w:r>
          </w:p>
        </w:tc>
        <w:tc>
          <w:tcPr>
            <w:tcW w:w="332" w:type="pct"/>
            <w:tcBorders>
              <w:bottom w:val="single" w:color="auto" w:sz="4" w:space="0"/>
            </w:tcBorders>
            <w:vAlign w:val="center"/>
          </w:tcPr>
          <w:p w14:paraId="21AB639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100m</w:t>
            </w:r>
          </w:p>
        </w:tc>
        <w:tc>
          <w:tcPr>
            <w:tcW w:w="335" w:type="pct"/>
            <w:tcBorders>
              <w:bottom w:val="single" w:color="auto" w:sz="4" w:space="0"/>
            </w:tcBorders>
            <w:vAlign w:val="center"/>
          </w:tcPr>
          <w:p w14:paraId="47198C53">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120m</w:t>
            </w:r>
          </w:p>
        </w:tc>
        <w:tc>
          <w:tcPr>
            <w:tcW w:w="332" w:type="pct"/>
            <w:tcBorders>
              <w:bottom w:val="single" w:color="auto" w:sz="4" w:space="0"/>
            </w:tcBorders>
            <w:vAlign w:val="center"/>
          </w:tcPr>
          <w:p w14:paraId="57447736">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160m</w:t>
            </w:r>
          </w:p>
        </w:tc>
        <w:tc>
          <w:tcPr>
            <w:tcW w:w="388" w:type="pct"/>
            <w:tcBorders>
              <w:bottom w:val="single" w:color="auto" w:sz="4" w:space="0"/>
            </w:tcBorders>
            <w:vAlign w:val="center"/>
          </w:tcPr>
          <w:p w14:paraId="6A2D12DE">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200m</w:t>
            </w:r>
          </w:p>
        </w:tc>
        <w:tc>
          <w:tcPr>
            <w:tcW w:w="332" w:type="pct"/>
            <w:vAlign w:val="center"/>
          </w:tcPr>
          <w:p w14:paraId="5E39C1F6">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4a</w:t>
            </w:r>
          </w:p>
        </w:tc>
        <w:tc>
          <w:tcPr>
            <w:tcW w:w="321" w:type="pct"/>
            <w:vAlign w:val="center"/>
          </w:tcPr>
          <w:p w14:paraId="68D2E91C">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hint="eastAsia" w:cs="Times New Roman"/>
                <w:color w:val="000000" w:themeColor="text1"/>
                <w:sz w:val="21"/>
                <w:lang w:eastAsia="en-US"/>
                <w14:textFill>
                  <w14:solidFill>
                    <w14:schemeClr w14:val="tx1"/>
                  </w14:solidFill>
                </w14:textFill>
              </w:rPr>
              <w:t>2</w:t>
            </w:r>
            <w:r>
              <w:rPr>
                <w:rFonts w:cs="Times New Roman"/>
                <w:color w:val="000000" w:themeColor="text1"/>
                <w:sz w:val="21"/>
                <w:lang w:eastAsia="en-US"/>
                <w14:textFill>
                  <w14:solidFill>
                    <w14:schemeClr w14:val="tx1"/>
                  </w14:solidFill>
                </w14:textFill>
              </w:rPr>
              <w:t>类</w:t>
            </w:r>
          </w:p>
        </w:tc>
      </w:tr>
      <w:tr w14:paraId="1AEC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80" w:type="pct"/>
            <w:vMerge w:val="restart"/>
            <w:vAlign w:val="center"/>
          </w:tcPr>
          <w:p w14:paraId="5550B2F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2026年</w:t>
            </w:r>
          </w:p>
          <w:p w14:paraId="13EF3136">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（近期）</w:t>
            </w:r>
          </w:p>
        </w:tc>
        <w:tc>
          <w:tcPr>
            <w:tcW w:w="504" w:type="pct"/>
            <w:vAlign w:val="center"/>
          </w:tcPr>
          <w:p w14:paraId="5A3F98E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昼间</w:t>
            </w:r>
          </w:p>
        </w:tc>
        <w:tc>
          <w:tcPr>
            <w:tcW w:w="324" w:type="pct"/>
            <w:tcBorders>
              <w:top w:val="single" w:color="auto" w:sz="4" w:space="0"/>
              <w:left w:val="nil"/>
              <w:bottom w:val="single" w:color="auto" w:sz="4" w:space="0"/>
              <w:right w:val="single" w:color="auto" w:sz="4" w:space="0"/>
            </w:tcBorders>
            <w:shd w:val="clear" w:color="auto" w:fill="auto"/>
            <w:vAlign w:val="center"/>
          </w:tcPr>
          <w:p w14:paraId="54DA40F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44.4</w:t>
            </w: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14:paraId="53FB3C8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41.61</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684D664C">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39.7</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7C5A6359">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38.23</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32A2433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37.05</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5F8A45E">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35.17</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7EC65D65">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33.69</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AF9F530">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32.49</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6A2FFEFC">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30.58</w:t>
            </w:r>
          </w:p>
        </w:tc>
        <w:tc>
          <w:tcPr>
            <w:tcW w:w="388" w:type="pct"/>
            <w:tcBorders>
              <w:top w:val="single" w:color="auto" w:sz="4" w:space="0"/>
              <w:left w:val="single" w:color="auto" w:sz="4" w:space="0"/>
              <w:bottom w:val="single" w:color="auto" w:sz="4" w:space="0"/>
              <w:right w:val="nil"/>
            </w:tcBorders>
            <w:shd w:val="clear" w:color="auto" w:fill="auto"/>
            <w:vAlign w:val="center"/>
          </w:tcPr>
          <w:p w14:paraId="549BC09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29.07</w:t>
            </w:r>
          </w:p>
        </w:tc>
        <w:tc>
          <w:tcPr>
            <w:tcW w:w="332" w:type="pct"/>
            <w:vAlign w:val="center"/>
          </w:tcPr>
          <w:p w14:paraId="76393C1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c>
          <w:tcPr>
            <w:tcW w:w="321" w:type="pct"/>
            <w:vAlign w:val="center"/>
          </w:tcPr>
          <w:p w14:paraId="0CC2741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r>
      <w:tr w14:paraId="468B1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480" w:type="pct"/>
            <w:vMerge w:val="continue"/>
            <w:vAlign w:val="center"/>
          </w:tcPr>
          <w:p w14:paraId="0CD2797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p>
        </w:tc>
        <w:tc>
          <w:tcPr>
            <w:tcW w:w="504" w:type="pct"/>
            <w:vAlign w:val="center"/>
          </w:tcPr>
          <w:p w14:paraId="018A126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夜间</w:t>
            </w:r>
          </w:p>
        </w:tc>
        <w:tc>
          <w:tcPr>
            <w:tcW w:w="324" w:type="pct"/>
            <w:shd w:val="clear" w:color="auto" w:fill="auto"/>
            <w:vAlign w:val="center"/>
          </w:tcPr>
          <w:p w14:paraId="28F1139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42.11</w:t>
            </w:r>
          </w:p>
        </w:tc>
        <w:tc>
          <w:tcPr>
            <w:tcW w:w="327" w:type="pct"/>
            <w:shd w:val="clear" w:color="auto" w:fill="auto"/>
            <w:vAlign w:val="center"/>
          </w:tcPr>
          <w:p w14:paraId="438A8D8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39.31</w:t>
            </w:r>
          </w:p>
        </w:tc>
        <w:tc>
          <w:tcPr>
            <w:tcW w:w="329" w:type="pct"/>
            <w:shd w:val="clear" w:color="auto" w:fill="auto"/>
            <w:vAlign w:val="center"/>
          </w:tcPr>
          <w:p w14:paraId="35658147">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37.41</w:t>
            </w:r>
          </w:p>
        </w:tc>
        <w:tc>
          <w:tcPr>
            <w:tcW w:w="332" w:type="pct"/>
            <w:shd w:val="clear" w:color="auto" w:fill="auto"/>
            <w:vAlign w:val="center"/>
          </w:tcPr>
          <w:p w14:paraId="121D462E">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35.93</w:t>
            </w:r>
          </w:p>
        </w:tc>
        <w:tc>
          <w:tcPr>
            <w:tcW w:w="332" w:type="pct"/>
            <w:shd w:val="clear" w:color="auto" w:fill="auto"/>
            <w:vAlign w:val="center"/>
          </w:tcPr>
          <w:p w14:paraId="081A0DD5">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34.75</w:t>
            </w:r>
          </w:p>
        </w:tc>
        <w:tc>
          <w:tcPr>
            <w:tcW w:w="332" w:type="pct"/>
            <w:shd w:val="clear" w:color="auto" w:fill="auto"/>
            <w:vAlign w:val="center"/>
          </w:tcPr>
          <w:p w14:paraId="6A9163E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32.88</w:t>
            </w:r>
          </w:p>
        </w:tc>
        <w:tc>
          <w:tcPr>
            <w:tcW w:w="332" w:type="pct"/>
            <w:shd w:val="clear" w:color="auto" w:fill="auto"/>
            <w:vAlign w:val="center"/>
          </w:tcPr>
          <w:p w14:paraId="66B3096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31.4</w:t>
            </w:r>
          </w:p>
        </w:tc>
        <w:tc>
          <w:tcPr>
            <w:tcW w:w="335" w:type="pct"/>
            <w:shd w:val="clear" w:color="auto" w:fill="auto"/>
            <w:vAlign w:val="center"/>
          </w:tcPr>
          <w:p w14:paraId="7D7CCF37">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30.2</w:t>
            </w:r>
          </w:p>
        </w:tc>
        <w:tc>
          <w:tcPr>
            <w:tcW w:w="332" w:type="pct"/>
            <w:shd w:val="clear" w:color="auto" w:fill="auto"/>
            <w:vAlign w:val="center"/>
          </w:tcPr>
          <w:p w14:paraId="375D97F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28.29</w:t>
            </w:r>
          </w:p>
        </w:tc>
        <w:tc>
          <w:tcPr>
            <w:tcW w:w="388" w:type="pct"/>
            <w:shd w:val="clear" w:color="auto" w:fill="auto"/>
            <w:vAlign w:val="center"/>
          </w:tcPr>
          <w:p w14:paraId="2A80CF6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26.78</w:t>
            </w:r>
          </w:p>
        </w:tc>
        <w:tc>
          <w:tcPr>
            <w:tcW w:w="332" w:type="pct"/>
            <w:vAlign w:val="center"/>
          </w:tcPr>
          <w:p w14:paraId="2AA1083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c>
          <w:tcPr>
            <w:tcW w:w="321" w:type="pct"/>
            <w:vAlign w:val="center"/>
          </w:tcPr>
          <w:p w14:paraId="7EC429F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r>
      <w:tr w14:paraId="6F05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80" w:type="pct"/>
            <w:vMerge w:val="restart"/>
            <w:vAlign w:val="center"/>
          </w:tcPr>
          <w:p w14:paraId="620CEEC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2032年</w:t>
            </w:r>
          </w:p>
          <w:p w14:paraId="2532280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（中期）</w:t>
            </w:r>
          </w:p>
        </w:tc>
        <w:tc>
          <w:tcPr>
            <w:tcW w:w="504" w:type="pct"/>
            <w:vAlign w:val="center"/>
          </w:tcPr>
          <w:p w14:paraId="1035A00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昼间</w:t>
            </w:r>
          </w:p>
        </w:tc>
        <w:tc>
          <w:tcPr>
            <w:tcW w:w="324" w:type="pct"/>
            <w:tcBorders>
              <w:top w:val="single" w:color="auto" w:sz="4" w:space="0"/>
              <w:left w:val="nil"/>
              <w:bottom w:val="single" w:color="auto" w:sz="4" w:space="0"/>
              <w:right w:val="single" w:color="auto" w:sz="4" w:space="0"/>
            </w:tcBorders>
            <w:shd w:val="clear" w:color="auto" w:fill="auto"/>
            <w:vAlign w:val="center"/>
          </w:tcPr>
          <w:p w14:paraId="74491B6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45.99</w:t>
            </w: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14:paraId="33AE6AE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43.19</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4549252C">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41.28</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2223D45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39.81</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396C349">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38.63</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9CE96A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36.75</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65760A96">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35.28</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C8103B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34.07</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A99C11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32.16</w:t>
            </w:r>
          </w:p>
        </w:tc>
        <w:tc>
          <w:tcPr>
            <w:tcW w:w="388" w:type="pct"/>
            <w:tcBorders>
              <w:top w:val="single" w:color="auto" w:sz="4" w:space="0"/>
              <w:left w:val="single" w:color="auto" w:sz="4" w:space="0"/>
              <w:bottom w:val="single" w:color="auto" w:sz="4" w:space="0"/>
              <w:right w:val="nil"/>
            </w:tcBorders>
            <w:shd w:val="clear" w:color="auto" w:fill="auto"/>
            <w:vAlign w:val="center"/>
          </w:tcPr>
          <w:p w14:paraId="26997DE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30.65</w:t>
            </w:r>
          </w:p>
        </w:tc>
        <w:tc>
          <w:tcPr>
            <w:tcW w:w="332" w:type="pct"/>
            <w:vAlign w:val="center"/>
          </w:tcPr>
          <w:p w14:paraId="697FF00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c>
          <w:tcPr>
            <w:tcW w:w="321" w:type="pct"/>
            <w:vAlign w:val="center"/>
          </w:tcPr>
          <w:p w14:paraId="6C28A9C3">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r>
      <w:tr w14:paraId="1EA0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atLeast"/>
          <w:jc w:val="center"/>
        </w:trPr>
        <w:tc>
          <w:tcPr>
            <w:tcW w:w="480" w:type="pct"/>
            <w:vMerge w:val="continue"/>
            <w:vAlign w:val="center"/>
          </w:tcPr>
          <w:p w14:paraId="45FA18D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p>
        </w:tc>
        <w:tc>
          <w:tcPr>
            <w:tcW w:w="504" w:type="pct"/>
            <w:vAlign w:val="center"/>
          </w:tcPr>
          <w:p w14:paraId="26975A4E">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夜间</w:t>
            </w:r>
          </w:p>
        </w:tc>
        <w:tc>
          <w:tcPr>
            <w:tcW w:w="324" w:type="pct"/>
            <w:tcBorders>
              <w:top w:val="single" w:color="auto" w:sz="4" w:space="0"/>
              <w:left w:val="nil"/>
              <w:bottom w:val="single" w:color="auto" w:sz="4" w:space="0"/>
              <w:right w:val="single" w:color="auto" w:sz="4" w:space="0"/>
            </w:tcBorders>
            <w:shd w:val="clear" w:color="auto" w:fill="auto"/>
            <w:vAlign w:val="center"/>
          </w:tcPr>
          <w:p w14:paraId="17701B49">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43.71</w:t>
            </w: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14:paraId="42D374C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40.92</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45346F3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39.01</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79B0778">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37.54</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617A377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36.36</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28ADFAB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34.48</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3578F4D6">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33</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C5576D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31.8</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269C9F3">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29.89</w:t>
            </w:r>
          </w:p>
        </w:tc>
        <w:tc>
          <w:tcPr>
            <w:tcW w:w="388" w:type="pct"/>
            <w:tcBorders>
              <w:top w:val="single" w:color="auto" w:sz="4" w:space="0"/>
              <w:left w:val="single" w:color="auto" w:sz="4" w:space="0"/>
              <w:bottom w:val="single" w:color="auto" w:sz="4" w:space="0"/>
              <w:right w:val="nil"/>
            </w:tcBorders>
            <w:shd w:val="clear" w:color="auto" w:fill="auto"/>
            <w:vAlign w:val="center"/>
          </w:tcPr>
          <w:p w14:paraId="38C0BA73">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28.38</w:t>
            </w:r>
          </w:p>
        </w:tc>
        <w:tc>
          <w:tcPr>
            <w:tcW w:w="332" w:type="pct"/>
            <w:vAlign w:val="center"/>
          </w:tcPr>
          <w:p w14:paraId="54BD8FB7">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c>
          <w:tcPr>
            <w:tcW w:w="321" w:type="pct"/>
            <w:vAlign w:val="center"/>
          </w:tcPr>
          <w:p w14:paraId="073F335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r>
      <w:tr w14:paraId="06F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480" w:type="pct"/>
            <w:vMerge w:val="restart"/>
            <w:vAlign w:val="center"/>
          </w:tcPr>
          <w:p w14:paraId="1BF7010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2040年</w:t>
            </w:r>
          </w:p>
          <w:p w14:paraId="6DEE59F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（远期）</w:t>
            </w:r>
          </w:p>
        </w:tc>
        <w:tc>
          <w:tcPr>
            <w:tcW w:w="504" w:type="pct"/>
            <w:vAlign w:val="center"/>
          </w:tcPr>
          <w:p w14:paraId="6BFECB1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昼间</w:t>
            </w:r>
          </w:p>
        </w:tc>
        <w:tc>
          <w:tcPr>
            <w:tcW w:w="324" w:type="pct"/>
            <w:tcBorders>
              <w:top w:val="single" w:color="auto" w:sz="4" w:space="0"/>
              <w:left w:val="nil"/>
              <w:bottom w:val="single" w:color="auto" w:sz="4" w:space="0"/>
              <w:right w:val="single" w:color="auto" w:sz="4" w:space="0"/>
            </w:tcBorders>
            <w:shd w:val="clear" w:color="auto" w:fill="auto"/>
            <w:vAlign w:val="center"/>
          </w:tcPr>
          <w:p w14:paraId="28C3557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47.74</w:t>
            </w: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14:paraId="68B314D7">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44.94</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39336F0C">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43.03</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537EB4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41.57</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4D494341">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40.38</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EA5ED42">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38.51</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E8BABE3">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37.04</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1F4DCBB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35.83</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72F317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33.92</w:t>
            </w:r>
          </w:p>
        </w:tc>
        <w:tc>
          <w:tcPr>
            <w:tcW w:w="388" w:type="pct"/>
            <w:tcBorders>
              <w:top w:val="single" w:color="auto" w:sz="4" w:space="0"/>
              <w:left w:val="single" w:color="auto" w:sz="4" w:space="0"/>
              <w:bottom w:val="single" w:color="auto" w:sz="4" w:space="0"/>
              <w:right w:val="nil"/>
            </w:tcBorders>
            <w:shd w:val="clear" w:color="auto" w:fill="auto"/>
            <w:vAlign w:val="center"/>
          </w:tcPr>
          <w:p w14:paraId="0CBD8F1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32.41</w:t>
            </w:r>
          </w:p>
        </w:tc>
        <w:tc>
          <w:tcPr>
            <w:tcW w:w="332" w:type="pct"/>
            <w:vAlign w:val="center"/>
          </w:tcPr>
          <w:p w14:paraId="5F27BA26">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c>
          <w:tcPr>
            <w:tcW w:w="321" w:type="pct"/>
            <w:vAlign w:val="center"/>
          </w:tcPr>
          <w:p w14:paraId="121D3E9E">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r>
      <w:tr w14:paraId="326D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480" w:type="pct"/>
            <w:vMerge w:val="continue"/>
            <w:vAlign w:val="center"/>
          </w:tcPr>
          <w:p w14:paraId="6DB4A450">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p>
        </w:tc>
        <w:tc>
          <w:tcPr>
            <w:tcW w:w="504" w:type="pct"/>
            <w:vAlign w:val="center"/>
          </w:tcPr>
          <w:p w14:paraId="4610910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夜间</w:t>
            </w:r>
          </w:p>
        </w:tc>
        <w:tc>
          <w:tcPr>
            <w:tcW w:w="324" w:type="pct"/>
            <w:tcBorders>
              <w:top w:val="single" w:color="auto" w:sz="4" w:space="0"/>
              <w:left w:val="nil"/>
              <w:bottom w:val="single" w:color="auto" w:sz="4" w:space="0"/>
              <w:right w:val="single" w:color="auto" w:sz="4" w:space="0"/>
            </w:tcBorders>
            <w:shd w:val="clear" w:color="auto" w:fill="auto"/>
            <w:vAlign w:val="center"/>
          </w:tcPr>
          <w:p w14:paraId="04990FC4">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45.46</w:t>
            </w:r>
          </w:p>
        </w:tc>
        <w:tc>
          <w:tcPr>
            <w:tcW w:w="327" w:type="pct"/>
            <w:tcBorders>
              <w:top w:val="single" w:color="auto" w:sz="4" w:space="0"/>
              <w:left w:val="single" w:color="auto" w:sz="4" w:space="0"/>
              <w:bottom w:val="single" w:color="auto" w:sz="4" w:space="0"/>
              <w:right w:val="single" w:color="auto" w:sz="4" w:space="0"/>
            </w:tcBorders>
            <w:shd w:val="clear" w:color="auto" w:fill="auto"/>
            <w:vAlign w:val="center"/>
          </w:tcPr>
          <w:p w14:paraId="7EFE9197">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42.65</w:t>
            </w:r>
          </w:p>
        </w:tc>
        <w:tc>
          <w:tcPr>
            <w:tcW w:w="329" w:type="pct"/>
            <w:tcBorders>
              <w:top w:val="single" w:color="auto" w:sz="4" w:space="0"/>
              <w:left w:val="single" w:color="auto" w:sz="4" w:space="0"/>
              <w:bottom w:val="single" w:color="auto" w:sz="4" w:space="0"/>
              <w:right w:val="single" w:color="auto" w:sz="4" w:space="0"/>
            </w:tcBorders>
            <w:shd w:val="clear" w:color="auto" w:fill="auto"/>
            <w:vAlign w:val="center"/>
          </w:tcPr>
          <w:p w14:paraId="07244153">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40.75</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4EABD2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39.28</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0C68781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38.09</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1ED4A151">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36.22</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5E3D5D6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34.75</w:t>
            </w:r>
          </w:p>
        </w:tc>
        <w:tc>
          <w:tcPr>
            <w:tcW w:w="335" w:type="pct"/>
            <w:tcBorders>
              <w:top w:val="single" w:color="auto" w:sz="4" w:space="0"/>
              <w:left w:val="single" w:color="auto" w:sz="4" w:space="0"/>
              <w:bottom w:val="single" w:color="auto" w:sz="4" w:space="0"/>
              <w:right w:val="single" w:color="auto" w:sz="4" w:space="0"/>
            </w:tcBorders>
            <w:shd w:val="clear" w:color="auto" w:fill="auto"/>
            <w:vAlign w:val="center"/>
          </w:tcPr>
          <w:p w14:paraId="7335A62A">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33.54</w:t>
            </w:r>
          </w:p>
        </w:tc>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14:paraId="352D20DD">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31.63</w:t>
            </w:r>
          </w:p>
        </w:tc>
        <w:tc>
          <w:tcPr>
            <w:tcW w:w="388" w:type="pct"/>
            <w:tcBorders>
              <w:top w:val="single" w:color="auto" w:sz="4" w:space="0"/>
              <w:left w:val="single" w:color="auto" w:sz="4" w:space="0"/>
              <w:bottom w:val="single" w:color="auto" w:sz="4" w:space="0"/>
              <w:right w:val="nil"/>
            </w:tcBorders>
            <w:shd w:val="clear" w:color="auto" w:fill="auto"/>
            <w:vAlign w:val="center"/>
          </w:tcPr>
          <w:p w14:paraId="3E8056D9">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30.12</w:t>
            </w:r>
          </w:p>
        </w:tc>
        <w:tc>
          <w:tcPr>
            <w:tcW w:w="332" w:type="pct"/>
            <w:vAlign w:val="center"/>
          </w:tcPr>
          <w:p w14:paraId="5C90A74F">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c>
          <w:tcPr>
            <w:tcW w:w="321" w:type="pct"/>
            <w:vAlign w:val="center"/>
          </w:tcPr>
          <w:p w14:paraId="346F71CB">
            <w:pPr>
              <w:pStyle w:val="86"/>
              <w:widowControl w:val="0"/>
              <w:spacing w:after="0"/>
              <w:ind w:left="0" w:leftChars="0" w:firstLine="0" w:firstLineChars="0"/>
              <w:jc w:val="center"/>
              <w:rPr>
                <w:rFonts w:cs="Times New Roman"/>
                <w:color w:val="000000" w:themeColor="text1"/>
                <w:sz w:val="21"/>
                <w:lang w:eastAsia="en-US"/>
                <w14:textFill>
                  <w14:solidFill>
                    <w14:schemeClr w14:val="tx1"/>
                  </w14:solidFill>
                </w14:textFill>
              </w:rPr>
            </w:pPr>
            <w:r>
              <w:rPr>
                <w:rFonts w:cs="Times New Roman"/>
                <w:color w:val="000000" w:themeColor="text1"/>
                <w:sz w:val="21"/>
                <w:lang w:eastAsia="en-US"/>
                <w14:textFill>
                  <w14:solidFill>
                    <w14:schemeClr w14:val="tx1"/>
                  </w14:solidFill>
                </w14:textFill>
              </w:rPr>
              <w:t>&lt;20</w:t>
            </w:r>
          </w:p>
        </w:tc>
      </w:tr>
    </w:tbl>
    <w:p w14:paraId="257F27C1">
      <w:pPr>
        <w:spacing w:line="360" w:lineRule="auto"/>
        <w:jc w:val="center"/>
        <w:rPr>
          <w:rFonts w:ascii="黑体" w:hAnsi="黑体" w:eastAsia="黑体" w:cs="Times New Roman"/>
          <w:color w:val="000000" w:themeColor="text1"/>
          <w14:textFill>
            <w14:solidFill>
              <w14:schemeClr w14:val="tx1"/>
            </w14:solidFill>
          </w14:textFill>
        </w:rPr>
      </w:pPr>
      <w:r>
        <w:rPr>
          <w:rFonts w:ascii="黑体" w:hAnsi="黑体" w:eastAsia="黑体" w:cs="Times New Roman"/>
          <w:color w:val="000000" w:themeColor="text1"/>
          <w14:textFill>
            <w14:solidFill>
              <w14:schemeClr w14:val="tx1"/>
            </w14:solidFill>
          </w14:textFill>
        </w:rPr>
        <w:t>表</w:t>
      </w:r>
      <w:r>
        <w:rPr>
          <w:rFonts w:hint="eastAsia" w:ascii="黑体" w:hAnsi="黑体" w:eastAsia="黑体" w:cs="Times New Roman"/>
          <w:color w:val="000000" w:themeColor="text1"/>
          <w14:textFill>
            <w14:solidFill>
              <w14:schemeClr w14:val="tx1"/>
            </w14:solidFill>
          </w14:textFill>
        </w:rPr>
        <w:t>5</w:t>
      </w:r>
      <w:r>
        <w:rPr>
          <w:rFonts w:ascii="黑体" w:hAnsi="黑体" w:eastAsia="黑体" w:cs="Times New Roman"/>
          <w:color w:val="000000" w:themeColor="text1"/>
          <w14:textFill>
            <w14:solidFill>
              <w14:schemeClr w14:val="tx1"/>
            </w14:solidFill>
          </w14:textFill>
        </w:rPr>
        <w:t>.3-7  噪声预测结果</w:t>
      </w:r>
    </w:p>
    <w:p w14:paraId="1A24E185">
      <w:pPr>
        <w:pStyle w:val="6"/>
        <w:tabs>
          <w:tab w:val="left" w:pos="2946"/>
        </w:tabs>
      </w:pPr>
      <w:r>
        <w:tab/>
      </w:r>
    </w:p>
    <w:p w14:paraId="13EC6CF5">
      <w:pPr>
        <w:pStyle w:val="6"/>
        <w:tabs>
          <w:tab w:val="left" w:pos="2946"/>
        </w:tabs>
      </w:pPr>
    </w:p>
    <w:p w14:paraId="701CAAF9">
      <w:pPr>
        <w:pStyle w:val="6"/>
        <w:tabs>
          <w:tab w:val="left" w:pos="2946"/>
        </w:tabs>
      </w:pPr>
    </w:p>
    <w:p w14:paraId="16D80699">
      <w:pPr>
        <w:pStyle w:val="6"/>
        <w:tabs>
          <w:tab w:val="left" w:pos="2946"/>
        </w:tabs>
      </w:pPr>
    </w:p>
    <w:p w14:paraId="7881E409">
      <w:pPr>
        <w:pStyle w:val="6"/>
        <w:tabs>
          <w:tab w:val="left" w:pos="2946"/>
        </w:tabs>
      </w:pPr>
    </w:p>
    <w:p w14:paraId="2A161FE9">
      <w:pPr>
        <w:pStyle w:val="6"/>
        <w:tabs>
          <w:tab w:val="left" w:pos="2946"/>
        </w:tabs>
      </w:pPr>
    </w:p>
    <w:p w14:paraId="2DD30430">
      <w:pPr>
        <w:pStyle w:val="6"/>
        <w:tabs>
          <w:tab w:val="left" w:pos="2946"/>
        </w:tabs>
      </w:pPr>
    </w:p>
    <w:p w14:paraId="13547769">
      <w:pPr>
        <w:pStyle w:val="6"/>
        <w:tabs>
          <w:tab w:val="left" w:pos="2946"/>
        </w:tabs>
      </w:pPr>
    </w:p>
    <w:p w14:paraId="2A75C60C">
      <w:pPr>
        <w:pStyle w:val="6"/>
        <w:tabs>
          <w:tab w:val="left" w:pos="2946"/>
        </w:tabs>
      </w:pPr>
    </w:p>
    <w:p w14:paraId="033B781B">
      <w:pPr>
        <w:pStyle w:val="6"/>
        <w:tabs>
          <w:tab w:val="left" w:pos="2946"/>
        </w:tabs>
        <w:jc w:val="center"/>
      </w:pPr>
    </w:p>
    <w:p w14:paraId="1B7B4AB3">
      <w:pPr>
        <w:pStyle w:val="6"/>
        <w:tabs>
          <w:tab w:val="left" w:pos="2946"/>
        </w:tabs>
        <w:jc w:val="center"/>
      </w:pPr>
      <w:r>
        <w:rPr>
          <w:rFonts w:hint="eastAsia"/>
        </w:rPr>
        <w:t>图</w:t>
      </w:r>
      <w:r>
        <w:t>5.3-1 本项目2026年昼间等值声线图</w:t>
      </w:r>
    </w:p>
    <w:p w14:paraId="63ED72EB">
      <w:pPr>
        <w:jc w:val="center"/>
      </w:pPr>
    </w:p>
    <w:p w14:paraId="275E9390">
      <w:pPr>
        <w:tabs>
          <w:tab w:val="left" w:pos="2167"/>
        </w:tabs>
        <w:jc w:val="center"/>
      </w:pPr>
      <w:r>
        <w:rPr>
          <w:rFonts w:hint="eastAsia"/>
        </w:rPr>
        <w:t>图</w:t>
      </w:r>
      <w:r>
        <w:t>5.3-2  本项目2026年夜间等值声线图</w:t>
      </w:r>
    </w:p>
    <w:p w14:paraId="724FCE41">
      <w:pPr>
        <w:tabs>
          <w:tab w:val="left" w:pos="2167"/>
        </w:tabs>
        <w:jc w:val="center"/>
      </w:pPr>
    </w:p>
    <w:p w14:paraId="7AA896BC">
      <w:pPr>
        <w:tabs>
          <w:tab w:val="left" w:pos="2167"/>
        </w:tabs>
        <w:jc w:val="center"/>
      </w:pPr>
    </w:p>
    <w:p w14:paraId="30ABA5B4">
      <w:pPr>
        <w:tabs>
          <w:tab w:val="left" w:pos="2167"/>
        </w:tabs>
        <w:jc w:val="center"/>
      </w:pPr>
      <w:r>
        <w:rPr>
          <w:rFonts w:hint="eastAsia"/>
        </w:rPr>
        <w:t>图</w:t>
      </w:r>
      <w:r>
        <w:t>5.3-3  本项目2032年昼间等值声线图</w:t>
      </w:r>
    </w:p>
    <w:p w14:paraId="4400CA86">
      <w:pPr>
        <w:tabs>
          <w:tab w:val="left" w:pos="2167"/>
        </w:tabs>
      </w:pPr>
    </w:p>
    <w:p w14:paraId="6D66523D">
      <w:pPr>
        <w:tabs>
          <w:tab w:val="left" w:pos="2167"/>
        </w:tabs>
        <w:jc w:val="center"/>
      </w:pPr>
    </w:p>
    <w:p w14:paraId="096DED04">
      <w:pPr>
        <w:tabs>
          <w:tab w:val="left" w:pos="2167"/>
        </w:tabs>
        <w:jc w:val="center"/>
      </w:pPr>
      <w:r>
        <w:rPr>
          <w:rFonts w:hint="eastAsia"/>
        </w:rPr>
        <w:t>图</w:t>
      </w:r>
      <w:r>
        <w:t>5.3-4  本项目2032年夜间等值声线图</w:t>
      </w:r>
    </w:p>
    <w:p w14:paraId="592A79DC">
      <w:pPr>
        <w:tabs>
          <w:tab w:val="left" w:pos="2167"/>
        </w:tabs>
      </w:pPr>
    </w:p>
    <w:p w14:paraId="4D91CABB">
      <w:pPr>
        <w:tabs>
          <w:tab w:val="left" w:pos="2167"/>
        </w:tabs>
        <w:jc w:val="center"/>
      </w:pPr>
    </w:p>
    <w:p w14:paraId="6D1B51A8">
      <w:pPr>
        <w:tabs>
          <w:tab w:val="left" w:pos="1012"/>
        </w:tabs>
      </w:pPr>
      <w:r>
        <w:tab/>
      </w:r>
    </w:p>
    <w:p w14:paraId="4C187F2F">
      <w:pPr>
        <w:tabs>
          <w:tab w:val="left" w:pos="1012"/>
        </w:tabs>
        <w:jc w:val="center"/>
      </w:pPr>
      <w:r>
        <w:rPr>
          <w:rFonts w:hint="eastAsia"/>
        </w:rPr>
        <w:t>图</w:t>
      </w:r>
      <w:r>
        <w:t>5.3-5  本项目2040年昼间等值声线图</w:t>
      </w:r>
    </w:p>
    <w:p w14:paraId="62D4104E">
      <w:pPr>
        <w:tabs>
          <w:tab w:val="left" w:pos="1012"/>
        </w:tabs>
        <w:jc w:val="center"/>
      </w:pPr>
      <w:bookmarkStart w:id="769" w:name="_GoBack"/>
      <w:bookmarkEnd w:id="769"/>
    </w:p>
    <w:p w14:paraId="7C825F31">
      <w:pPr>
        <w:tabs>
          <w:tab w:val="left" w:pos="1012"/>
          <w:tab w:val="left" w:pos="1939"/>
          <w:tab w:val="center" w:pos="6979"/>
        </w:tabs>
        <w:jc w:val="center"/>
      </w:pPr>
      <w:r>
        <w:rPr>
          <w:rFonts w:hint="eastAsia"/>
        </w:rPr>
        <w:t>图</w:t>
      </w:r>
      <w:r>
        <w:t>5.3-6  本项目2040年夜间等值声线图</w:t>
      </w:r>
    </w:p>
    <w:p w14:paraId="3F255AE5">
      <w:pPr>
        <w:sectPr>
          <w:pgSz w:w="16838" w:h="11906" w:orient="landscape"/>
          <w:pgMar w:top="1797" w:right="1440" w:bottom="1797" w:left="1440" w:header="794" w:footer="850" w:gutter="0"/>
          <w:cols w:space="720" w:num="1"/>
          <w:docGrid w:type="lines" w:linePitch="326" w:charSpace="0"/>
        </w:sectPr>
      </w:pPr>
    </w:p>
    <w:p w14:paraId="59C149F4">
      <w:pPr>
        <w:spacing w:line="360" w:lineRule="auto"/>
        <w:ind w:firstLine="48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（2）声环境保护目标噪声预测</w:t>
      </w:r>
    </w:p>
    <w:p w14:paraId="673F03EF">
      <w:pPr>
        <w:spacing w:line="360" w:lineRule="auto"/>
        <w:ind w:firstLine="482"/>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拟建公路主线中心线两侧各200m范围内主要有</w:t>
      </w:r>
      <w:r>
        <w:rPr>
          <w:rFonts w:hint="eastAsia" w:cs="Times New Roman"/>
          <w:color w:val="000000" w:themeColor="text1"/>
          <w14:textFill>
            <w14:solidFill>
              <w14:schemeClr w14:val="tx1"/>
            </w14:solidFill>
          </w14:textFill>
        </w:rPr>
        <w:t>布拉克苏乡阔纳霍伊拉村、吐尔恰巴格村、克孜坎特村；喀热开其克乡阿克乌斯唐村、喀拉乌斯唐村等。</w:t>
      </w:r>
    </w:p>
    <w:p w14:paraId="2E6B8CDA">
      <w:pPr>
        <w:spacing w:line="360" w:lineRule="auto"/>
        <w:ind w:firstLine="482"/>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根据表</w:t>
      </w:r>
      <w:r>
        <w:rPr>
          <w:rFonts w:cs="Times New Roman"/>
          <w:color w:val="000000" w:themeColor="text1"/>
          <w14:textFill>
            <w14:solidFill>
              <w14:schemeClr w14:val="tx1"/>
            </w14:solidFill>
          </w14:textFill>
        </w:rPr>
        <w:t>5.2-9敏感点预测情况，对沿线敏感点营运近期、中期及远期情况进行评价如下：</w:t>
      </w:r>
    </w:p>
    <w:p w14:paraId="6F076022">
      <w:pPr>
        <w:spacing w:line="360" w:lineRule="auto"/>
        <w:ind w:firstLine="482"/>
        <w:jc w:val="both"/>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随着车流量的增加，其影响程度将会有所增加，沿线敏感点克孜坎特村；喀阿克乌斯唐村、喀拉乌斯唐村营运近期、中期及远期的昼间和夜间均能满足《声环境质量标准》（</w:t>
      </w:r>
      <w:r>
        <w:rPr>
          <w:rFonts w:cs="Times New Roman"/>
          <w:color w:val="000000" w:themeColor="text1"/>
          <w14:textFill>
            <w14:solidFill>
              <w14:schemeClr w14:val="tx1"/>
            </w14:solidFill>
          </w14:textFill>
        </w:rPr>
        <w:t>GB3096-2008）中的4a类、2类标准限值要求。</w:t>
      </w:r>
    </w:p>
    <w:p w14:paraId="7786D00C">
      <w:pPr>
        <w:spacing w:line="360" w:lineRule="auto"/>
        <w:ind w:firstLine="482"/>
        <w:jc w:val="both"/>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道路运营期评价范围内声环境保护目标交通噪声预测结果详见表5.3-8。</w:t>
      </w:r>
    </w:p>
    <w:p w14:paraId="09E84F9A">
      <w:pPr>
        <w:spacing w:line="360" w:lineRule="auto"/>
        <w:ind w:firstLine="482"/>
        <w:rPr>
          <w:rFonts w:cs="Times New Roman"/>
          <w:color w:val="000000" w:themeColor="text1"/>
          <w14:textFill>
            <w14:solidFill>
              <w14:schemeClr w14:val="tx1"/>
            </w14:solidFill>
          </w14:textFill>
        </w:rPr>
      </w:pPr>
    </w:p>
    <w:p w14:paraId="30428882">
      <w:pPr>
        <w:rPr>
          <w:rFonts w:cs="Times New Roman"/>
        </w:rPr>
      </w:pPr>
    </w:p>
    <w:p w14:paraId="037BBA99">
      <w:pPr>
        <w:rPr>
          <w:rFonts w:cs="Times New Roman"/>
        </w:rPr>
      </w:pPr>
    </w:p>
    <w:p w14:paraId="3CB22B1E">
      <w:pPr>
        <w:ind w:firstLine="480" w:firstLineChars="200"/>
        <w:rPr>
          <w:rFonts w:cs="Times New Roman"/>
        </w:rPr>
      </w:pPr>
    </w:p>
    <w:p w14:paraId="513151BE">
      <w:pPr>
        <w:tabs>
          <w:tab w:val="left" w:pos="476"/>
        </w:tabs>
        <w:rPr>
          <w:rFonts w:cs="Times New Roman"/>
        </w:rPr>
        <w:sectPr>
          <w:pgSz w:w="11906" w:h="16838"/>
          <w:pgMar w:top="1440" w:right="1800" w:bottom="1440" w:left="1800" w:header="850" w:footer="680" w:gutter="0"/>
          <w:pgNumType w:fmt="numberInDash"/>
          <w:cols w:space="425" w:num="1"/>
          <w:docGrid w:type="lines" w:linePitch="312" w:charSpace="0"/>
        </w:sectPr>
      </w:pPr>
      <w:r>
        <w:rPr>
          <w:rFonts w:cs="Times New Roman"/>
        </w:rPr>
        <w:tab/>
      </w:r>
    </w:p>
    <w:p w14:paraId="4779DE3E">
      <w:pPr>
        <w:ind w:firstLine="480"/>
        <w:jc w:val="center"/>
        <w:rPr>
          <w:rFonts w:ascii="黑体" w:hAnsi="黑体" w:eastAsia="黑体" w:cs="Times New Roman"/>
          <w:color w:val="000000" w:themeColor="text1"/>
          <w14:textFill>
            <w14:solidFill>
              <w14:schemeClr w14:val="tx1"/>
            </w14:solidFill>
          </w14:textFill>
        </w:rPr>
      </w:pPr>
      <w:r>
        <w:rPr>
          <w:rFonts w:ascii="黑体" w:hAnsi="黑体" w:eastAsia="黑体" w:cs="Times New Roman"/>
          <w:color w:val="000000" w:themeColor="text1"/>
          <w14:textFill>
            <w14:solidFill>
              <w14:schemeClr w14:val="tx1"/>
            </w14:solidFill>
          </w14:textFill>
        </w:rPr>
        <w:t>表</w:t>
      </w:r>
      <w:r>
        <w:rPr>
          <w:rFonts w:hint="eastAsia" w:ascii="黑体" w:hAnsi="黑体" w:eastAsia="黑体" w:cs="Times New Roman"/>
          <w:color w:val="000000" w:themeColor="text1"/>
          <w14:textFill>
            <w14:solidFill>
              <w14:schemeClr w14:val="tx1"/>
            </w14:solidFill>
          </w14:textFill>
        </w:rPr>
        <w:t>5</w:t>
      </w:r>
      <w:r>
        <w:rPr>
          <w:rFonts w:ascii="黑体" w:hAnsi="黑体" w:eastAsia="黑体" w:cs="Times New Roman"/>
          <w:color w:val="000000" w:themeColor="text1"/>
          <w14:textFill>
            <w14:solidFill>
              <w14:schemeClr w14:val="tx1"/>
            </w14:solidFill>
          </w14:textFill>
        </w:rPr>
        <w:t>.3-8        敏感点噪声预测表</w:t>
      </w:r>
    </w:p>
    <w:tbl>
      <w:tblPr>
        <w:tblStyle w:val="2264"/>
        <w:tblW w:w="520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44"/>
        <w:gridCol w:w="1228"/>
        <w:gridCol w:w="710"/>
        <w:gridCol w:w="620"/>
        <w:gridCol w:w="806"/>
        <w:gridCol w:w="850"/>
        <w:gridCol w:w="879"/>
        <w:gridCol w:w="696"/>
        <w:gridCol w:w="696"/>
        <w:gridCol w:w="696"/>
        <w:gridCol w:w="792"/>
        <w:gridCol w:w="696"/>
        <w:gridCol w:w="699"/>
        <w:gridCol w:w="702"/>
        <w:gridCol w:w="774"/>
        <w:gridCol w:w="702"/>
        <w:gridCol w:w="702"/>
        <w:gridCol w:w="702"/>
        <w:gridCol w:w="562"/>
      </w:tblGrid>
      <w:tr w14:paraId="2E597C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59" w:type="pct"/>
            <w:vMerge w:val="restart"/>
            <w:tcBorders>
              <w:tl2br w:val="nil"/>
              <w:tr2bl w:val="nil"/>
            </w:tcBorders>
            <w:vAlign w:val="center"/>
          </w:tcPr>
          <w:p w14:paraId="294FBD67">
            <w:pPr>
              <w:pStyle w:val="86"/>
              <w:widowControl w:val="0"/>
              <w:spacing w:after="0"/>
              <w:ind w:left="0" w:leftChars="0" w:firstLine="0" w:firstLineChars="0"/>
              <w:jc w:val="center"/>
              <w:rPr>
                <w:rFonts w:cs="Times New Roman"/>
                <w:sz w:val="21"/>
                <w:lang w:eastAsia="en-US"/>
              </w:rPr>
            </w:pPr>
            <w:r>
              <w:rPr>
                <w:rFonts w:cs="Times New Roman"/>
                <w:sz w:val="21"/>
                <w:lang w:eastAsia="en-US"/>
              </w:rPr>
              <w:t>声环境保护目标</w:t>
            </w:r>
            <w:r>
              <w:rPr>
                <w:rFonts w:hint="eastAsia" w:cs="Times New Roman"/>
                <w:sz w:val="21"/>
                <w:lang w:eastAsia="en-US"/>
              </w:rPr>
              <w:t>名称</w:t>
            </w:r>
          </w:p>
        </w:tc>
        <w:tc>
          <w:tcPr>
            <w:tcW w:w="422" w:type="pct"/>
            <w:vMerge w:val="restart"/>
            <w:tcBorders>
              <w:tl2br w:val="nil"/>
              <w:tr2bl w:val="nil"/>
            </w:tcBorders>
            <w:vAlign w:val="center"/>
          </w:tcPr>
          <w:p w14:paraId="7321D9D4">
            <w:pPr>
              <w:pStyle w:val="86"/>
              <w:widowControl w:val="0"/>
              <w:spacing w:after="0"/>
              <w:ind w:left="0" w:leftChars="0" w:firstLine="0" w:firstLineChars="0"/>
              <w:jc w:val="center"/>
              <w:rPr>
                <w:rFonts w:cs="Times New Roman"/>
                <w:sz w:val="21"/>
                <w:lang w:eastAsia="en-US"/>
              </w:rPr>
            </w:pPr>
            <w:r>
              <w:rPr>
                <w:rFonts w:cs="Times New Roman"/>
                <w:sz w:val="21"/>
                <w:lang w:eastAsia="en-US"/>
              </w:rPr>
              <w:t>预测点与声源高差/m</w:t>
            </w:r>
          </w:p>
        </w:tc>
        <w:tc>
          <w:tcPr>
            <w:tcW w:w="244" w:type="pct"/>
            <w:vMerge w:val="restart"/>
            <w:tcBorders>
              <w:tl2br w:val="nil"/>
              <w:tr2bl w:val="nil"/>
            </w:tcBorders>
            <w:vAlign w:val="center"/>
          </w:tcPr>
          <w:p w14:paraId="74AE89CE">
            <w:pPr>
              <w:pStyle w:val="86"/>
              <w:widowControl w:val="0"/>
              <w:spacing w:after="0"/>
              <w:ind w:left="0" w:leftChars="0" w:firstLine="0" w:firstLineChars="0"/>
              <w:jc w:val="center"/>
              <w:rPr>
                <w:rFonts w:cs="Times New Roman"/>
                <w:sz w:val="21"/>
                <w:lang w:eastAsia="en-US"/>
              </w:rPr>
            </w:pPr>
            <w:r>
              <w:rPr>
                <w:rFonts w:cs="Times New Roman"/>
                <w:sz w:val="21"/>
                <w:lang w:eastAsia="en-US"/>
              </w:rPr>
              <w:t>功能区类别</w:t>
            </w:r>
          </w:p>
        </w:tc>
        <w:tc>
          <w:tcPr>
            <w:tcW w:w="213" w:type="pct"/>
            <w:vMerge w:val="restart"/>
            <w:tcBorders>
              <w:tl2br w:val="nil"/>
              <w:tr2bl w:val="nil"/>
            </w:tcBorders>
            <w:vAlign w:val="center"/>
          </w:tcPr>
          <w:p w14:paraId="66E9A456">
            <w:pPr>
              <w:pStyle w:val="86"/>
              <w:widowControl w:val="0"/>
              <w:spacing w:after="0"/>
              <w:ind w:left="0" w:leftChars="0" w:firstLine="0" w:firstLineChars="0"/>
              <w:jc w:val="center"/>
              <w:rPr>
                <w:rFonts w:cs="Times New Roman"/>
                <w:sz w:val="21"/>
                <w:lang w:eastAsia="en-US"/>
              </w:rPr>
            </w:pPr>
            <w:r>
              <w:rPr>
                <w:rFonts w:cs="Times New Roman"/>
                <w:sz w:val="21"/>
                <w:lang w:eastAsia="en-US"/>
              </w:rPr>
              <w:t>时段</w:t>
            </w:r>
          </w:p>
        </w:tc>
        <w:tc>
          <w:tcPr>
            <w:tcW w:w="277" w:type="pct"/>
            <w:vMerge w:val="restart"/>
            <w:tcBorders>
              <w:tl2br w:val="nil"/>
              <w:tr2bl w:val="nil"/>
            </w:tcBorders>
            <w:vAlign w:val="center"/>
          </w:tcPr>
          <w:p w14:paraId="2C5264DD">
            <w:pPr>
              <w:pStyle w:val="86"/>
              <w:widowControl w:val="0"/>
              <w:spacing w:after="0"/>
              <w:ind w:left="0" w:leftChars="0" w:firstLine="0" w:firstLineChars="0"/>
              <w:jc w:val="center"/>
              <w:rPr>
                <w:rFonts w:cs="Times New Roman"/>
                <w:sz w:val="21"/>
                <w:lang w:eastAsia="en-US"/>
              </w:rPr>
            </w:pPr>
            <w:r>
              <w:rPr>
                <w:rFonts w:cs="Times New Roman"/>
                <w:sz w:val="21"/>
                <w:lang w:eastAsia="en-US"/>
              </w:rPr>
              <w:t>标准值/dB（A）</w:t>
            </w:r>
          </w:p>
        </w:tc>
        <w:tc>
          <w:tcPr>
            <w:tcW w:w="292" w:type="pct"/>
            <w:vMerge w:val="restart"/>
            <w:tcBorders>
              <w:tl2br w:val="nil"/>
              <w:tr2bl w:val="nil"/>
            </w:tcBorders>
            <w:vAlign w:val="center"/>
          </w:tcPr>
          <w:p w14:paraId="6FF44228">
            <w:pPr>
              <w:pStyle w:val="86"/>
              <w:widowControl w:val="0"/>
              <w:spacing w:after="0"/>
              <w:ind w:left="0" w:leftChars="0" w:firstLine="0" w:firstLineChars="0"/>
              <w:jc w:val="center"/>
              <w:rPr>
                <w:rFonts w:cs="Times New Roman"/>
                <w:sz w:val="21"/>
                <w:lang w:eastAsia="en-US"/>
              </w:rPr>
            </w:pPr>
            <w:r>
              <w:rPr>
                <w:rFonts w:cs="Times New Roman"/>
                <w:sz w:val="21"/>
                <w:lang w:eastAsia="en-US"/>
              </w:rPr>
              <w:t>背景值/dB（A）</w:t>
            </w:r>
          </w:p>
        </w:tc>
        <w:tc>
          <w:tcPr>
            <w:tcW w:w="302" w:type="pct"/>
            <w:vMerge w:val="restart"/>
            <w:tcBorders>
              <w:tl2br w:val="nil"/>
              <w:tr2bl w:val="nil"/>
            </w:tcBorders>
            <w:vAlign w:val="center"/>
          </w:tcPr>
          <w:p w14:paraId="089AEA80">
            <w:pPr>
              <w:pStyle w:val="86"/>
              <w:widowControl w:val="0"/>
              <w:spacing w:after="0"/>
              <w:ind w:left="0" w:leftChars="0" w:firstLine="0" w:firstLineChars="0"/>
              <w:jc w:val="center"/>
              <w:rPr>
                <w:rFonts w:cs="Times New Roman"/>
                <w:sz w:val="21"/>
                <w:lang w:eastAsia="en-US"/>
              </w:rPr>
            </w:pPr>
            <w:r>
              <w:rPr>
                <w:rFonts w:cs="Times New Roman"/>
                <w:sz w:val="21"/>
                <w:lang w:eastAsia="en-US"/>
              </w:rPr>
              <w:t>现状值/dB（A）</w:t>
            </w:r>
          </w:p>
        </w:tc>
        <w:tc>
          <w:tcPr>
            <w:tcW w:w="989" w:type="pct"/>
            <w:gridSpan w:val="4"/>
            <w:tcBorders>
              <w:tl2br w:val="nil"/>
              <w:tr2bl w:val="nil"/>
            </w:tcBorders>
            <w:vAlign w:val="center"/>
          </w:tcPr>
          <w:p w14:paraId="3A22EE9E">
            <w:pPr>
              <w:pStyle w:val="86"/>
              <w:widowControl w:val="0"/>
              <w:spacing w:after="0"/>
              <w:ind w:left="0" w:leftChars="0" w:firstLine="0" w:firstLineChars="0"/>
              <w:jc w:val="center"/>
              <w:rPr>
                <w:rFonts w:cs="Times New Roman"/>
                <w:sz w:val="21"/>
                <w:lang w:eastAsia="en-US"/>
              </w:rPr>
            </w:pPr>
            <w:r>
              <w:rPr>
                <w:rFonts w:cs="Times New Roman"/>
                <w:sz w:val="21"/>
                <w:lang w:eastAsia="en-US"/>
              </w:rPr>
              <w:t>运营近期</w:t>
            </w:r>
            <w:r>
              <w:rPr>
                <w:rFonts w:hint="eastAsia" w:cs="Times New Roman"/>
                <w:sz w:val="21"/>
                <w:lang w:eastAsia="en-US"/>
              </w:rPr>
              <w:t>（2027年）</w:t>
            </w:r>
          </w:p>
        </w:tc>
        <w:tc>
          <w:tcPr>
            <w:tcW w:w="986" w:type="pct"/>
            <w:gridSpan w:val="4"/>
            <w:tcBorders>
              <w:tl2br w:val="nil"/>
              <w:tr2bl w:val="nil"/>
            </w:tcBorders>
            <w:vAlign w:val="center"/>
          </w:tcPr>
          <w:p w14:paraId="6928ED20">
            <w:pPr>
              <w:pStyle w:val="86"/>
              <w:widowControl w:val="0"/>
              <w:spacing w:after="0"/>
              <w:ind w:left="0" w:leftChars="0" w:firstLine="0" w:firstLineChars="0"/>
              <w:jc w:val="center"/>
              <w:rPr>
                <w:rFonts w:cs="Times New Roman"/>
                <w:sz w:val="21"/>
                <w:lang w:eastAsia="en-US"/>
              </w:rPr>
            </w:pPr>
            <w:r>
              <w:rPr>
                <w:rFonts w:cs="Times New Roman"/>
                <w:sz w:val="21"/>
                <w:lang w:eastAsia="en-US"/>
              </w:rPr>
              <w:t>运营中期</w:t>
            </w:r>
            <w:r>
              <w:rPr>
                <w:rFonts w:hint="eastAsia" w:cs="Times New Roman"/>
                <w:sz w:val="21"/>
                <w:lang w:eastAsia="en-US"/>
              </w:rPr>
              <w:t>（2035年）</w:t>
            </w:r>
          </w:p>
        </w:tc>
        <w:tc>
          <w:tcPr>
            <w:tcW w:w="916" w:type="pct"/>
            <w:gridSpan w:val="4"/>
            <w:tcBorders>
              <w:tl2br w:val="nil"/>
              <w:tr2bl w:val="nil"/>
            </w:tcBorders>
            <w:vAlign w:val="center"/>
          </w:tcPr>
          <w:p w14:paraId="621DDAA3">
            <w:pPr>
              <w:pStyle w:val="86"/>
              <w:widowControl w:val="0"/>
              <w:spacing w:after="0"/>
              <w:ind w:left="0" w:leftChars="0" w:firstLine="0" w:firstLineChars="0"/>
              <w:jc w:val="center"/>
              <w:rPr>
                <w:rFonts w:cs="Times New Roman"/>
                <w:sz w:val="21"/>
                <w:lang w:eastAsia="en-US"/>
              </w:rPr>
            </w:pPr>
            <w:r>
              <w:rPr>
                <w:rFonts w:cs="Times New Roman"/>
                <w:sz w:val="21"/>
                <w:lang w:eastAsia="en-US"/>
              </w:rPr>
              <w:t>运营远期</w:t>
            </w:r>
            <w:r>
              <w:rPr>
                <w:rFonts w:hint="eastAsia" w:cs="Times New Roman"/>
                <w:sz w:val="21"/>
                <w:lang w:eastAsia="en-US"/>
              </w:rPr>
              <w:t>（2042年）</w:t>
            </w:r>
          </w:p>
        </w:tc>
      </w:tr>
      <w:tr w14:paraId="589DE7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59" w:type="pct"/>
            <w:vMerge w:val="continue"/>
            <w:tcBorders>
              <w:tl2br w:val="nil"/>
              <w:tr2bl w:val="nil"/>
            </w:tcBorders>
            <w:vAlign w:val="center"/>
          </w:tcPr>
          <w:p w14:paraId="3A017A33">
            <w:pPr>
              <w:pStyle w:val="86"/>
              <w:widowControl w:val="0"/>
              <w:spacing w:after="0"/>
              <w:ind w:left="0" w:leftChars="0" w:firstLine="0" w:firstLineChars="0"/>
              <w:jc w:val="center"/>
              <w:rPr>
                <w:rFonts w:cs="Times New Roman"/>
                <w:sz w:val="21"/>
                <w:lang w:eastAsia="en-US"/>
              </w:rPr>
            </w:pPr>
          </w:p>
        </w:tc>
        <w:tc>
          <w:tcPr>
            <w:tcW w:w="422" w:type="pct"/>
            <w:vMerge w:val="continue"/>
            <w:tcBorders>
              <w:tl2br w:val="nil"/>
              <w:tr2bl w:val="nil"/>
            </w:tcBorders>
            <w:vAlign w:val="center"/>
          </w:tcPr>
          <w:p w14:paraId="65B9B82A">
            <w:pPr>
              <w:pStyle w:val="86"/>
              <w:widowControl w:val="0"/>
              <w:spacing w:after="0"/>
              <w:ind w:left="0" w:leftChars="0" w:firstLine="0" w:firstLineChars="0"/>
              <w:jc w:val="center"/>
              <w:rPr>
                <w:rFonts w:cs="Times New Roman"/>
                <w:sz w:val="21"/>
                <w:lang w:eastAsia="en-US"/>
              </w:rPr>
            </w:pPr>
          </w:p>
        </w:tc>
        <w:tc>
          <w:tcPr>
            <w:tcW w:w="244" w:type="pct"/>
            <w:vMerge w:val="continue"/>
            <w:tcBorders>
              <w:tl2br w:val="nil"/>
              <w:tr2bl w:val="nil"/>
            </w:tcBorders>
            <w:vAlign w:val="center"/>
          </w:tcPr>
          <w:p w14:paraId="20DB0198">
            <w:pPr>
              <w:pStyle w:val="86"/>
              <w:widowControl w:val="0"/>
              <w:spacing w:after="0"/>
              <w:ind w:left="0" w:leftChars="0" w:firstLine="0" w:firstLineChars="0"/>
              <w:jc w:val="center"/>
              <w:rPr>
                <w:rFonts w:cs="Times New Roman"/>
                <w:sz w:val="21"/>
                <w:lang w:eastAsia="en-US"/>
              </w:rPr>
            </w:pPr>
          </w:p>
        </w:tc>
        <w:tc>
          <w:tcPr>
            <w:tcW w:w="213" w:type="pct"/>
            <w:vMerge w:val="continue"/>
            <w:tcBorders>
              <w:tl2br w:val="nil"/>
              <w:tr2bl w:val="nil"/>
            </w:tcBorders>
            <w:vAlign w:val="center"/>
          </w:tcPr>
          <w:p w14:paraId="0CD8F1FF">
            <w:pPr>
              <w:pStyle w:val="86"/>
              <w:widowControl w:val="0"/>
              <w:spacing w:after="0"/>
              <w:ind w:left="0" w:leftChars="0" w:firstLine="0" w:firstLineChars="0"/>
              <w:jc w:val="center"/>
              <w:rPr>
                <w:rFonts w:cs="Times New Roman"/>
                <w:sz w:val="21"/>
                <w:lang w:eastAsia="en-US"/>
              </w:rPr>
            </w:pPr>
          </w:p>
        </w:tc>
        <w:tc>
          <w:tcPr>
            <w:tcW w:w="277" w:type="pct"/>
            <w:vMerge w:val="continue"/>
            <w:tcBorders>
              <w:tl2br w:val="nil"/>
              <w:tr2bl w:val="nil"/>
            </w:tcBorders>
            <w:vAlign w:val="center"/>
          </w:tcPr>
          <w:p w14:paraId="79C88BF0">
            <w:pPr>
              <w:pStyle w:val="86"/>
              <w:widowControl w:val="0"/>
              <w:spacing w:after="0"/>
              <w:ind w:left="0" w:leftChars="0" w:firstLine="0" w:firstLineChars="0"/>
              <w:jc w:val="center"/>
              <w:rPr>
                <w:rFonts w:cs="Times New Roman"/>
                <w:sz w:val="21"/>
                <w:lang w:eastAsia="en-US"/>
              </w:rPr>
            </w:pPr>
          </w:p>
        </w:tc>
        <w:tc>
          <w:tcPr>
            <w:tcW w:w="292" w:type="pct"/>
            <w:vMerge w:val="continue"/>
            <w:tcBorders>
              <w:tl2br w:val="nil"/>
              <w:tr2bl w:val="nil"/>
            </w:tcBorders>
            <w:vAlign w:val="center"/>
          </w:tcPr>
          <w:p w14:paraId="1DAD8142">
            <w:pPr>
              <w:pStyle w:val="86"/>
              <w:widowControl w:val="0"/>
              <w:spacing w:after="0"/>
              <w:ind w:left="0" w:leftChars="0" w:firstLine="0" w:firstLineChars="0"/>
              <w:jc w:val="center"/>
              <w:rPr>
                <w:rFonts w:cs="Times New Roman"/>
                <w:sz w:val="21"/>
                <w:lang w:eastAsia="en-US"/>
              </w:rPr>
            </w:pPr>
          </w:p>
        </w:tc>
        <w:tc>
          <w:tcPr>
            <w:tcW w:w="302" w:type="pct"/>
            <w:vMerge w:val="continue"/>
            <w:tcBorders>
              <w:tl2br w:val="nil"/>
              <w:tr2bl w:val="nil"/>
            </w:tcBorders>
            <w:vAlign w:val="center"/>
          </w:tcPr>
          <w:p w14:paraId="24447940">
            <w:pPr>
              <w:pStyle w:val="86"/>
              <w:widowControl w:val="0"/>
              <w:spacing w:after="0"/>
              <w:ind w:left="0" w:leftChars="0" w:firstLine="0" w:firstLineChars="0"/>
              <w:jc w:val="center"/>
              <w:rPr>
                <w:rFonts w:cs="Times New Roman"/>
                <w:sz w:val="21"/>
                <w:lang w:eastAsia="en-US"/>
              </w:rPr>
            </w:pPr>
          </w:p>
        </w:tc>
        <w:tc>
          <w:tcPr>
            <w:tcW w:w="239" w:type="pct"/>
            <w:tcBorders>
              <w:tl2br w:val="nil"/>
              <w:tr2bl w:val="nil"/>
            </w:tcBorders>
            <w:vAlign w:val="center"/>
          </w:tcPr>
          <w:p w14:paraId="71EC4F88">
            <w:pPr>
              <w:pStyle w:val="86"/>
              <w:widowControl w:val="0"/>
              <w:spacing w:after="0"/>
              <w:ind w:left="0" w:leftChars="0" w:firstLine="0" w:firstLineChars="0"/>
              <w:jc w:val="center"/>
              <w:rPr>
                <w:rFonts w:cs="Times New Roman"/>
                <w:sz w:val="21"/>
                <w:lang w:eastAsia="en-US"/>
              </w:rPr>
            </w:pPr>
            <w:r>
              <w:rPr>
                <w:rFonts w:cs="Times New Roman"/>
                <w:sz w:val="21"/>
                <w:lang w:eastAsia="en-US"/>
              </w:rPr>
              <w:t>贡献值/dB（A）</w:t>
            </w:r>
          </w:p>
        </w:tc>
        <w:tc>
          <w:tcPr>
            <w:tcW w:w="239" w:type="pct"/>
            <w:tcBorders>
              <w:tl2br w:val="nil"/>
              <w:tr2bl w:val="nil"/>
            </w:tcBorders>
            <w:vAlign w:val="center"/>
          </w:tcPr>
          <w:p w14:paraId="11B418F5">
            <w:pPr>
              <w:pStyle w:val="86"/>
              <w:widowControl w:val="0"/>
              <w:spacing w:after="0"/>
              <w:ind w:left="0" w:leftChars="0" w:firstLine="0" w:firstLineChars="0"/>
              <w:jc w:val="center"/>
              <w:rPr>
                <w:rFonts w:cs="Times New Roman"/>
                <w:sz w:val="21"/>
                <w:lang w:eastAsia="en-US"/>
              </w:rPr>
            </w:pPr>
            <w:r>
              <w:rPr>
                <w:rFonts w:cs="Times New Roman"/>
                <w:sz w:val="21"/>
                <w:lang w:eastAsia="en-US"/>
              </w:rPr>
              <w:t>预测值/dB（A）</w:t>
            </w:r>
          </w:p>
        </w:tc>
        <w:tc>
          <w:tcPr>
            <w:tcW w:w="239" w:type="pct"/>
            <w:tcBorders>
              <w:tl2br w:val="nil"/>
              <w:tr2bl w:val="nil"/>
            </w:tcBorders>
            <w:vAlign w:val="center"/>
          </w:tcPr>
          <w:p w14:paraId="452E2EEB">
            <w:pPr>
              <w:pStyle w:val="86"/>
              <w:widowControl w:val="0"/>
              <w:spacing w:after="0"/>
              <w:ind w:left="0" w:leftChars="0" w:firstLine="0" w:firstLineChars="0"/>
              <w:jc w:val="center"/>
              <w:rPr>
                <w:rFonts w:cs="Times New Roman"/>
                <w:sz w:val="21"/>
                <w:lang w:eastAsia="zh-CN"/>
              </w:rPr>
            </w:pPr>
            <w:r>
              <w:rPr>
                <w:rFonts w:cs="Times New Roman"/>
                <w:sz w:val="21"/>
                <w:lang w:eastAsia="zh-CN"/>
              </w:rPr>
              <w:t>较现状增量/dB（A）</w:t>
            </w:r>
          </w:p>
        </w:tc>
        <w:tc>
          <w:tcPr>
            <w:tcW w:w="272" w:type="pct"/>
            <w:tcBorders>
              <w:tl2br w:val="nil"/>
              <w:tr2bl w:val="nil"/>
            </w:tcBorders>
            <w:vAlign w:val="center"/>
          </w:tcPr>
          <w:p w14:paraId="17CAC4E4">
            <w:pPr>
              <w:pStyle w:val="86"/>
              <w:widowControl w:val="0"/>
              <w:spacing w:after="0"/>
              <w:ind w:left="0" w:leftChars="0" w:firstLine="0" w:firstLineChars="0"/>
              <w:jc w:val="center"/>
              <w:rPr>
                <w:rFonts w:cs="Times New Roman"/>
                <w:sz w:val="21"/>
                <w:lang w:eastAsia="en-US"/>
              </w:rPr>
            </w:pPr>
            <w:r>
              <w:rPr>
                <w:rFonts w:cs="Times New Roman"/>
                <w:sz w:val="21"/>
                <w:lang w:eastAsia="en-US"/>
              </w:rPr>
              <w:t>超标量/dB（A）</w:t>
            </w:r>
          </w:p>
        </w:tc>
        <w:tc>
          <w:tcPr>
            <w:tcW w:w="239" w:type="pct"/>
            <w:tcBorders>
              <w:tl2br w:val="nil"/>
              <w:tr2bl w:val="nil"/>
            </w:tcBorders>
            <w:vAlign w:val="center"/>
          </w:tcPr>
          <w:p w14:paraId="58F0184C">
            <w:pPr>
              <w:pStyle w:val="86"/>
              <w:widowControl w:val="0"/>
              <w:spacing w:after="0"/>
              <w:ind w:left="0" w:leftChars="0" w:firstLine="0" w:firstLineChars="0"/>
              <w:jc w:val="center"/>
              <w:rPr>
                <w:rFonts w:cs="Times New Roman"/>
                <w:sz w:val="21"/>
                <w:lang w:eastAsia="en-US"/>
              </w:rPr>
            </w:pPr>
            <w:r>
              <w:rPr>
                <w:rFonts w:cs="Times New Roman"/>
                <w:sz w:val="21"/>
                <w:lang w:eastAsia="en-US"/>
              </w:rPr>
              <w:t>贡献值/dB（A）</w:t>
            </w:r>
          </w:p>
        </w:tc>
        <w:tc>
          <w:tcPr>
            <w:tcW w:w="240" w:type="pct"/>
            <w:tcBorders>
              <w:tl2br w:val="nil"/>
              <w:tr2bl w:val="nil"/>
            </w:tcBorders>
            <w:vAlign w:val="center"/>
          </w:tcPr>
          <w:p w14:paraId="0DE101AA">
            <w:pPr>
              <w:pStyle w:val="86"/>
              <w:widowControl w:val="0"/>
              <w:spacing w:after="0"/>
              <w:ind w:left="0" w:leftChars="0" w:firstLine="0" w:firstLineChars="0"/>
              <w:jc w:val="center"/>
              <w:rPr>
                <w:rFonts w:cs="Times New Roman"/>
                <w:sz w:val="21"/>
                <w:lang w:eastAsia="en-US"/>
              </w:rPr>
            </w:pPr>
            <w:r>
              <w:rPr>
                <w:rFonts w:cs="Times New Roman"/>
                <w:sz w:val="21"/>
                <w:lang w:eastAsia="en-US"/>
              </w:rPr>
              <w:t>预测值/dB（A）</w:t>
            </w:r>
          </w:p>
        </w:tc>
        <w:tc>
          <w:tcPr>
            <w:tcW w:w="241" w:type="pct"/>
            <w:tcBorders>
              <w:tl2br w:val="nil"/>
              <w:tr2bl w:val="nil"/>
            </w:tcBorders>
            <w:vAlign w:val="center"/>
          </w:tcPr>
          <w:p w14:paraId="0C09995F">
            <w:pPr>
              <w:pStyle w:val="86"/>
              <w:widowControl w:val="0"/>
              <w:spacing w:after="0"/>
              <w:ind w:left="0" w:leftChars="0" w:firstLine="0" w:firstLineChars="0"/>
              <w:jc w:val="center"/>
              <w:rPr>
                <w:rFonts w:cs="Times New Roman"/>
                <w:sz w:val="21"/>
                <w:lang w:eastAsia="zh-CN"/>
              </w:rPr>
            </w:pPr>
            <w:r>
              <w:rPr>
                <w:rFonts w:cs="Times New Roman"/>
                <w:sz w:val="21"/>
                <w:lang w:eastAsia="zh-CN"/>
              </w:rPr>
              <w:t>较现状增量/dB（A）</w:t>
            </w:r>
          </w:p>
        </w:tc>
        <w:tc>
          <w:tcPr>
            <w:tcW w:w="266" w:type="pct"/>
            <w:tcBorders>
              <w:tl2br w:val="nil"/>
              <w:tr2bl w:val="nil"/>
            </w:tcBorders>
            <w:vAlign w:val="center"/>
          </w:tcPr>
          <w:p w14:paraId="674D9758">
            <w:pPr>
              <w:pStyle w:val="86"/>
              <w:widowControl w:val="0"/>
              <w:spacing w:after="0"/>
              <w:ind w:left="0" w:leftChars="0" w:firstLine="0" w:firstLineChars="0"/>
              <w:jc w:val="center"/>
              <w:rPr>
                <w:rFonts w:cs="Times New Roman"/>
                <w:sz w:val="21"/>
                <w:lang w:eastAsia="en-US"/>
              </w:rPr>
            </w:pPr>
            <w:r>
              <w:rPr>
                <w:rFonts w:cs="Times New Roman"/>
                <w:sz w:val="21"/>
                <w:lang w:eastAsia="en-US"/>
              </w:rPr>
              <w:t>超标量/dB（A）</w:t>
            </w:r>
          </w:p>
        </w:tc>
        <w:tc>
          <w:tcPr>
            <w:tcW w:w="241" w:type="pct"/>
            <w:tcBorders>
              <w:tl2br w:val="nil"/>
              <w:tr2bl w:val="nil"/>
            </w:tcBorders>
            <w:vAlign w:val="center"/>
          </w:tcPr>
          <w:p w14:paraId="26B3EFE6">
            <w:pPr>
              <w:pStyle w:val="86"/>
              <w:widowControl w:val="0"/>
              <w:spacing w:after="0"/>
              <w:ind w:left="0" w:leftChars="0" w:firstLine="0" w:firstLineChars="0"/>
              <w:jc w:val="center"/>
              <w:rPr>
                <w:rFonts w:cs="Times New Roman"/>
                <w:sz w:val="21"/>
                <w:lang w:eastAsia="en-US"/>
              </w:rPr>
            </w:pPr>
            <w:r>
              <w:rPr>
                <w:rFonts w:cs="Times New Roman"/>
                <w:sz w:val="21"/>
                <w:lang w:eastAsia="en-US"/>
              </w:rPr>
              <w:t>贡献值/dB（A）</w:t>
            </w:r>
          </w:p>
        </w:tc>
        <w:tc>
          <w:tcPr>
            <w:tcW w:w="241" w:type="pct"/>
            <w:tcBorders>
              <w:tl2br w:val="nil"/>
              <w:tr2bl w:val="nil"/>
            </w:tcBorders>
            <w:vAlign w:val="center"/>
          </w:tcPr>
          <w:p w14:paraId="600717BB">
            <w:pPr>
              <w:pStyle w:val="86"/>
              <w:widowControl w:val="0"/>
              <w:spacing w:after="0"/>
              <w:ind w:left="0" w:leftChars="0" w:firstLine="0" w:firstLineChars="0"/>
              <w:jc w:val="center"/>
              <w:rPr>
                <w:rFonts w:cs="Times New Roman"/>
                <w:sz w:val="21"/>
                <w:lang w:eastAsia="en-US"/>
              </w:rPr>
            </w:pPr>
            <w:r>
              <w:rPr>
                <w:rFonts w:cs="Times New Roman"/>
                <w:sz w:val="21"/>
                <w:lang w:eastAsia="en-US"/>
              </w:rPr>
              <w:t>预测值/dB（A）</w:t>
            </w:r>
          </w:p>
        </w:tc>
        <w:tc>
          <w:tcPr>
            <w:tcW w:w="241" w:type="pct"/>
            <w:tcBorders>
              <w:tl2br w:val="nil"/>
              <w:tr2bl w:val="nil"/>
            </w:tcBorders>
            <w:vAlign w:val="center"/>
          </w:tcPr>
          <w:p w14:paraId="0B263E39">
            <w:pPr>
              <w:pStyle w:val="86"/>
              <w:widowControl w:val="0"/>
              <w:spacing w:after="0"/>
              <w:ind w:left="0" w:leftChars="0" w:firstLine="0" w:firstLineChars="0"/>
              <w:jc w:val="center"/>
              <w:rPr>
                <w:rFonts w:cs="Times New Roman"/>
                <w:sz w:val="21"/>
                <w:lang w:eastAsia="zh-CN"/>
              </w:rPr>
            </w:pPr>
            <w:r>
              <w:rPr>
                <w:rFonts w:cs="Times New Roman"/>
                <w:sz w:val="21"/>
                <w:lang w:eastAsia="zh-CN"/>
              </w:rPr>
              <w:t>较现状增量/dB（A）</w:t>
            </w:r>
          </w:p>
        </w:tc>
        <w:tc>
          <w:tcPr>
            <w:tcW w:w="193" w:type="pct"/>
            <w:tcBorders>
              <w:tl2br w:val="nil"/>
              <w:tr2bl w:val="nil"/>
            </w:tcBorders>
            <w:vAlign w:val="center"/>
          </w:tcPr>
          <w:p w14:paraId="552DC9A7">
            <w:pPr>
              <w:pStyle w:val="86"/>
              <w:widowControl w:val="0"/>
              <w:spacing w:after="0"/>
              <w:ind w:left="0" w:leftChars="0" w:firstLine="0" w:firstLineChars="0"/>
              <w:jc w:val="center"/>
              <w:rPr>
                <w:rFonts w:cs="Times New Roman"/>
                <w:sz w:val="21"/>
                <w:lang w:eastAsia="en-US"/>
              </w:rPr>
            </w:pPr>
            <w:r>
              <w:rPr>
                <w:rFonts w:cs="Times New Roman"/>
                <w:sz w:val="21"/>
                <w:lang w:eastAsia="en-US"/>
              </w:rPr>
              <w:t>超标量/dB（A）</w:t>
            </w:r>
          </w:p>
        </w:tc>
      </w:tr>
      <w:tr w14:paraId="3F86D1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restart"/>
            <w:tcBorders>
              <w:tl2br w:val="nil"/>
              <w:tr2bl w:val="nil"/>
            </w:tcBorders>
            <w:vAlign w:val="center"/>
          </w:tcPr>
          <w:p w14:paraId="004F0C37">
            <w:pPr>
              <w:widowControl w:val="0"/>
              <w:jc w:val="center"/>
              <w:rPr>
                <w:rFonts w:cs="Times New Roman"/>
                <w:sz w:val="21"/>
                <w:lang w:eastAsia="en-US"/>
              </w:rPr>
            </w:pPr>
            <w:r>
              <w:rPr>
                <w:rFonts w:hint="eastAsia" w:cs="Times New Roman"/>
                <w:sz w:val="21"/>
                <w:lang w:eastAsia="en-US"/>
              </w:rPr>
              <w:t>克孜坎特村</w:t>
            </w:r>
          </w:p>
        </w:tc>
        <w:tc>
          <w:tcPr>
            <w:tcW w:w="422" w:type="pct"/>
            <w:vMerge w:val="restart"/>
            <w:tcBorders>
              <w:tl2br w:val="nil"/>
              <w:tr2bl w:val="nil"/>
            </w:tcBorders>
            <w:vAlign w:val="center"/>
          </w:tcPr>
          <w:p w14:paraId="739458D8">
            <w:pPr>
              <w:widowControl w:val="0"/>
              <w:jc w:val="center"/>
              <w:rPr>
                <w:rFonts w:cs="Times New Roman"/>
                <w:sz w:val="21"/>
                <w:lang w:eastAsia="en-US"/>
              </w:rPr>
            </w:pPr>
            <w:r>
              <w:rPr>
                <w:rFonts w:hint="eastAsia" w:cs="Times New Roman"/>
                <w:sz w:val="21"/>
                <w:lang w:eastAsia="en-US"/>
              </w:rPr>
              <w:t>1</w:t>
            </w:r>
            <w:r>
              <w:rPr>
                <w:rFonts w:cs="Times New Roman"/>
                <w:sz w:val="21"/>
                <w:lang w:eastAsia="en-US"/>
              </w:rPr>
              <w:t>.8</w:t>
            </w:r>
          </w:p>
        </w:tc>
        <w:tc>
          <w:tcPr>
            <w:tcW w:w="244" w:type="pct"/>
            <w:vMerge w:val="restart"/>
            <w:tcBorders>
              <w:tl2br w:val="nil"/>
              <w:tr2bl w:val="nil"/>
            </w:tcBorders>
            <w:vAlign w:val="center"/>
          </w:tcPr>
          <w:p w14:paraId="1D213F86">
            <w:pPr>
              <w:pStyle w:val="86"/>
              <w:widowControl w:val="0"/>
              <w:spacing w:after="0"/>
              <w:ind w:left="0" w:leftChars="0" w:firstLine="0" w:firstLineChars="0"/>
              <w:jc w:val="center"/>
              <w:rPr>
                <w:rFonts w:cs="Times New Roman"/>
                <w:sz w:val="21"/>
                <w:lang w:eastAsia="en-US"/>
              </w:rPr>
            </w:pPr>
            <w:r>
              <w:rPr>
                <w:rFonts w:cs="Times New Roman"/>
                <w:sz w:val="21"/>
                <w:lang w:eastAsia="en-US"/>
              </w:rPr>
              <w:t>4a</w:t>
            </w:r>
          </w:p>
        </w:tc>
        <w:tc>
          <w:tcPr>
            <w:tcW w:w="213" w:type="pct"/>
            <w:tcBorders>
              <w:tl2br w:val="nil"/>
              <w:tr2bl w:val="nil"/>
            </w:tcBorders>
            <w:vAlign w:val="center"/>
          </w:tcPr>
          <w:p w14:paraId="1F8EAC82">
            <w:pPr>
              <w:pStyle w:val="86"/>
              <w:widowControl w:val="0"/>
              <w:spacing w:after="0"/>
              <w:ind w:left="0" w:leftChars="0" w:firstLine="0" w:firstLineChars="0"/>
              <w:jc w:val="center"/>
              <w:rPr>
                <w:rFonts w:cs="Times New Roman"/>
                <w:sz w:val="21"/>
                <w:lang w:eastAsia="en-US"/>
              </w:rPr>
            </w:pPr>
            <w:r>
              <w:rPr>
                <w:rFonts w:cs="Times New Roman"/>
                <w:sz w:val="21"/>
                <w:lang w:eastAsia="en-US"/>
              </w:rPr>
              <w:t>昼间</w:t>
            </w:r>
          </w:p>
        </w:tc>
        <w:tc>
          <w:tcPr>
            <w:tcW w:w="277" w:type="pct"/>
            <w:tcBorders>
              <w:tl2br w:val="nil"/>
              <w:tr2bl w:val="nil"/>
            </w:tcBorders>
            <w:vAlign w:val="center"/>
          </w:tcPr>
          <w:p w14:paraId="3F7CACE0">
            <w:pPr>
              <w:pStyle w:val="86"/>
              <w:widowControl w:val="0"/>
              <w:spacing w:after="0"/>
              <w:ind w:left="0" w:leftChars="0" w:firstLine="0" w:firstLineChars="0"/>
              <w:jc w:val="center"/>
              <w:rPr>
                <w:rFonts w:cs="Times New Roman"/>
                <w:sz w:val="21"/>
                <w:lang w:eastAsia="en-US"/>
              </w:rPr>
            </w:pPr>
            <w:r>
              <w:rPr>
                <w:rFonts w:cs="Times New Roman"/>
                <w:sz w:val="21"/>
                <w:lang w:eastAsia="en-US"/>
              </w:rPr>
              <w:t>70</w:t>
            </w:r>
          </w:p>
        </w:tc>
        <w:tc>
          <w:tcPr>
            <w:tcW w:w="292" w:type="pct"/>
            <w:tcBorders>
              <w:tl2br w:val="nil"/>
              <w:tr2bl w:val="nil"/>
            </w:tcBorders>
            <w:vAlign w:val="center"/>
          </w:tcPr>
          <w:p w14:paraId="2D00E950">
            <w:pPr>
              <w:widowControl/>
              <w:jc w:val="center"/>
              <w:textAlignment w:val="bottom"/>
              <w:rPr>
                <w:rFonts w:cs="Times New Roman"/>
                <w:sz w:val="21"/>
                <w:lang w:eastAsia="zh-CN"/>
              </w:rPr>
            </w:pPr>
            <w:r>
              <w:rPr>
                <w:rFonts w:hint="eastAsia" w:cs="Times New Roman"/>
                <w:sz w:val="21"/>
                <w:lang w:eastAsia="zh-CN"/>
              </w:rPr>
              <w:t>5</w:t>
            </w:r>
            <w:r>
              <w:rPr>
                <w:rFonts w:cs="Times New Roman"/>
                <w:sz w:val="21"/>
                <w:lang w:eastAsia="zh-CN"/>
              </w:rPr>
              <w:t>0</w:t>
            </w:r>
          </w:p>
        </w:tc>
        <w:tc>
          <w:tcPr>
            <w:tcW w:w="302" w:type="pct"/>
            <w:tcBorders>
              <w:tl2br w:val="nil"/>
              <w:tr2bl w:val="nil"/>
            </w:tcBorders>
            <w:vAlign w:val="center"/>
          </w:tcPr>
          <w:p w14:paraId="17037709">
            <w:pPr>
              <w:widowControl/>
              <w:jc w:val="center"/>
              <w:textAlignment w:val="bottom"/>
              <w:rPr>
                <w:rFonts w:cs="Times New Roman"/>
                <w:sz w:val="21"/>
                <w:lang w:eastAsia="en-US"/>
              </w:rPr>
            </w:pPr>
            <w:r>
              <w:rPr>
                <w:rFonts w:hint="eastAsia" w:cs="Times New Roman"/>
                <w:sz w:val="21"/>
                <w:lang w:eastAsia="zh-CN"/>
              </w:rPr>
              <w:t>5</w:t>
            </w:r>
            <w:r>
              <w:rPr>
                <w:rFonts w:cs="Times New Roman"/>
                <w:sz w:val="21"/>
                <w:lang w:eastAsia="zh-CN"/>
              </w:rPr>
              <w:t>0</w:t>
            </w:r>
          </w:p>
        </w:tc>
        <w:tc>
          <w:tcPr>
            <w:tcW w:w="239" w:type="pct"/>
            <w:tcBorders>
              <w:tl2br w:val="nil"/>
              <w:tr2bl w:val="nil"/>
            </w:tcBorders>
            <w:vAlign w:val="center"/>
          </w:tcPr>
          <w:p w14:paraId="7AFA46FE">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4</w:t>
            </w:r>
            <w:r>
              <w:rPr>
                <w:rFonts w:cs="Times New Roman"/>
                <w:sz w:val="21"/>
                <w:lang w:eastAsia="zh-CN"/>
              </w:rPr>
              <w:t>4.05</w:t>
            </w:r>
          </w:p>
        </w:tc>
        <w:tc>
          <w:tcPr>
            <w:tcW w:w="239" w:type="pct"/>
            <w:tcBorders>
              <w:tl2br w:val="nil"/>
              <w:tr2bl w:val="nil"/>
            </w:tcBorders>
          </w:tcPr>
          <w:p w14:paraId="6E827D59">
            <w:pPr>
              <w:pStyle w:val="86"/>
              <w:widowControl w:val="0"/>
              <w:spacing w:after="0"/>
              <w:ind w:left="0" w:leftChars="0" w:firstLine="0" w:firstLineChars="0"/>
              <w:jc w:val="center"/>
              <w:rPr>
                <w:rFonts w:cs="Times New Roman"/>
                <w:sz w:val="21"/>
                <w:lang w:eastAsia="zh-CN"/>
              </w:rPr>
            </w:pPr>
            <w:r>
              <w:rPr>
                <w:lang w:eastAsia="en-US"/>
              </w:rPr>
              <w:t>51.09</w:t>
            </w:r>
          </w:p>
        </w:tc>
        <w:tc>
          <w:tcPr>
            <w:tcW w:w="239" w:type="pct"/>
            <w:tcBorders>
              <w:tl2br w:val="nil"/>
              <w:tr2bl w:val="nil"/>
            </w:tcBorders>
            <w:vAlign w:val="center"/>
          </w:tcPr>
          <w:p w14:paraId="1F0FC1EF">
            <w:pPr>
              <w:widowControl/>
              <w:jc w:val="center"/>
              <w:textAlignment w:val="bottom"/>
              <w:rPr>
                <w:rFonts w:cs="Times New Roman"/>
                <w:sz w:val="21"/>
                <w:lang w:eastAsia="zh-CN"/>
              </w:rPr>
            </w:pPr>
            <w:r>
              <w:rPr>
                <w:rFonts w:hint="eastAsia" w:cs="Times New Roman"/>
                <w:sz w:val="21"/>
                <w:lang w:eastAsia="zh-CN"/>
              </w:rPr>
              <w:t>1</w:t>
            </w:r>
            <w:r>
              <w:rPr>
                <w:rFonts w:cs="Times New Roman"/>
                <w:sz w:val="21"/>
                <w:lang w:eastAsia="zh-CN"/>
              </w:rPr>
              <w:t>.09</w:t>
            </w:r>
          </w:p>
        </w:tc>
        <w:tc>
          <w:tcPr>
            <w:tcW w:w="272" w:type="pct"/>
            <w:tcBorders>
              <w:tl2br w:val="nil"/>
              <w:tr2bl w:val="nil"/>
            </w:tcBorders>
            <w:vAlign w:val="center"/>
          </w:tcPr>
          <w:p w14:paraId="3A8FB861">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36A130D0">
            <w:pPr>
              <w:pStyle w:val="86"/>
              <w:widowControl w:val="0"/>
              <w:spacing w:after="0"/>
              <w:ind w:left="0" w:leftChars="0" w:firstLine="0" w:firstLineChars="0"/>
              <w:jc w:val="center"/>
              <w:rPr>
                <w:rFonts w:cs="Times New Roman"/>
                <w:sz w:val="21"/>
                <w:lang w:eastAsia="zh-CN"/>
              </w:rPr>
            </w:pPr>
            <w:r>
              <w:rPr>
                <w:rFonts w:cs="Times New Roman"/>
                <w:sz w:val="21"/>
                <w:lang w:eastAsia="zh-CN"/>
              </w:rPr>
              <w:t>46.13</w:t>
            </w:r>
          </w:p>
        </w:tc>
        <w:tc>
          <w:tcPr>
            <w:tcW w:w="240" w:type="pct"/>
            <w:tcBorders>
              <w:tl2br w:val="nil"/>
              <w:tr2bl w:val="nil"/>
            </w:tcBorders>
            <w:vAlign w:val="center"/>
          </w:tcPr>
          <w:p w14:paraId="60DA71A7">
            <w:pPr>
              <w:pStyle w:val="86"/>
              <w:widowControl w:val="0"/>
              <w:spacing w:after="0"/>
              <w:ind w:left="0" w:leftChars="0" w:firstLine="0" w:firstLineChars="0"/>
              <w:jc w:val="center"/>
              <w:rPr>
                <w:rFonts w:cs="Times New Roman"/>
                <w:sz w:val="21"/>
                <w:lang w:eastAsia="zh-CN"/>
              </w:rPr>
            </w:pPr>
            <w:r>
              <w:rPr>
                <w:rFonts w:cs="Times New Roman"/>
                <w:sz w:val="21"/>
                <w:lang w:eastAsia="zh-CN"/>
              </w:rPr>
              <w:t>51.49</w:t>
            </w:r>
          </w:p>
        </w:tc>
        <w:tc>
          <w:tcPr>
            <w:tcW w:w="241" w:type="pct"/>
            <w:tcBorders>
              <w:tl2br w:val="nil"/>
              <w:tr2bl w:val="nil"/>
            </w:tcBorders>
            <w:vAlign w:val="center"/>
          </w:tcPr>
          <w:p w14:paraId="3747088F">
            <w:pPr>
              <w:widowControl/>
              <w:jc w:val="center"/>
              <w:textAlignment w:val="bottom"/>
              <w:rPr>
                <w:rFonts w:cs="Times New Roman"/>
                <w:sz w:val="21"/>
                <w:lang w:eastAsia="zh-CN"/>
              </w:rPr>
            </w:pPr>
            <w:r>
              <w:rPr>
                <w:rFonts w:cs="Times New Roman"/>
                <w:sz w:val="21"/>
                <w:lang w:eastAsia="zh-CN"/>
              </w:rPr>
              <w:t>1.49</w:t>
            </w:r>
          </w:p>
        </w:tc>
        <w:tc>
          <w:tcPr>
            <w:tcW w:w="266" w:type="pct"/>
            <w:tcBorders>
              <w:tl2br w:val="nil"/>
              <w:tr2bl w:val="nil"/>
            </w:tcBorders>
            <w:vAlign w:val="center"/>
          </w:tcPr>
          <w:p w14:paraId="3B201736">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59275479">
            <w:pPr>
              <w:pStyle w:val="86"/>
              <w:widowControl w:val="0"/>
              <w:spacing w:after="0"/>
              <w:ind w:left="0" w:leftChars="0" w:firstLine="0" w:firstLineChars="0"/>
              <w:jc w:val="center"/>
              <w:rPr>
                <w:rFonts w:cs="Times New Roman"/>
                <w:sz w:val="21"/>
                <w:lang w:eastAsia="en-US"/>
              </w:rPr>
            </w:pPr>
            <w:r>
              <w:rPr>
                <w:rFonts w:cs="Times New Roman"/>
                <w:sz w:val="21"/>
                <w:lang w:eastAsia="en-US"/>
              </w:rPr>
              <w:t>47.89</w:t>
            </w:r>
          </w:p>
        </w:tc>
        <w:tc>
          <w:tcPr>
            <w:tcW w:w="241" w:type="pct"/>
            <w:tcBorders>
              <w:tl2br w:val="nil"/>
              <w:tr2bl w:val="nil"/>
            </w:tcBorders>
            <w:vAlign w:val="center"/>
          </w:tcPr>
          <w:p w14:paraId="54E08856">
            <w:pPr>
              <w:pStyle w:val="86"/>
              <w:widowControl w:val="0"/>
              <w:spacing w:after="0"/>
              <w:ind w:left="0" w:leftChars="0" w:firstLine="0" w:firstLineChars="0"/>
              <w:jc w:val="center"/>
              <w:rPr>
                <w:rFonts w:cs="Times New Roman"/>
                <w:sz w:val="21"/>
                <w:lang w:eastAsia="en-US"/>
              </w:rPr>
            </w:pPr>
            <w:r>
              <w:rPr>
                <w:rFonts w:cs="Times New Roman"/>
                <w:sz w:val="21"/>
                <w:lang w:eastAsia="en-US"/>
              </w:rPr>
              <w:t>52.08</w:t>
            </w:r>
          </w:p>
        </w:tc>
        <w:tc>
          <w:tcPr>
            <w:tcW w:w="241" w:type="pct"/>
            <w:tcBorders>
              <w:tl2br w:val="nil"/>
              <w:tr2bl w:val="nil"/>
            </w:tcBorders>
            <w:vAlign w:val="center"/>
          </w:tcPr>
          <w:p w14:paraId="44DB380A">
            <w:pPr>
              <w:widowControl/>
              <w:jc w:val="center"/>
              <w:textAlignment w:val="bottom"/>
              <w:rPr>
                <w:rFonts w:cs="Times New Roman"/>
                <w:sz w:val="21"/>
                <w:lang w:eastAsia="zh-CN"/>
              </w:rPr>
            </w:pPr>
            <w:r>
              <w:rPr>
                <w:rFonts w:hint="eastAsia" w:cs="Times New Roman"/>
                <w:sz w:val="21"/>
                <w:lang w:eastAsia="zh-CN"/>
              </w:rPr>
              <w:t>2</w:t>
            </w:r>
            <w:r>
              <w:rPr>
                <w:rFonts w:cs="Times New Roman"/>
                <w:sz w:val="21"/>
                <w:lang w:eastAsia="zh-CN"/>
              </w:rPr>
              <w:t>.08</w:t>
            </w:r>
          </w:p>
        </w:tc>
        <w:tc>
          <w:tcPr>
            <w:tcW w:w="193" w:type="pct"/>
            <w:tcBorders>
              <w:tl2br w:val="nil"/>
              <w:tr2bl w:val="nil"/>
            </w:tcBorders>
            <w:vAlign w:val="center"/>
          </w:tcPr>
          <w:p w14:paraId="2901A795">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2D0855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3227A050">
            <w:pPr>
              <w:widowControl/>
              <w:jc w:val="center"/>
              <w:textAlignment w:val="center"/>
              <w:rPr>
                <w:rFonts w:cs="Times New Roman"/>
                <w:sz w:val="21"/>
                <w:lang w:eastAsia="en-US"/>
              </w:rPr>
            </w:pPr>
          </w:p>
        </w:tc>
        <w:tc>
          <w:tcPr>
            <w:tcW w:w="422" w:type="pct"/>
            <w:vMerge w:val="continue"/>
            <w:tcBorders>
              <w:tl2br w:val="nil"/>
              <w:tr2bl w:val="nil"/>
            </w:tcBorders>
            <w:vAlign w:val="center"/>
          </w:tcPr>
          <w:p w14:paraId="353DE033">
            <w:pPr>
              <w:pStyle w:val="86"/>
              <w:widowControl w:val="0"/>
              <w:spacing w:after="0"/>
              <w:ind w:left="0" w:leftChars="0" w:firstLine="0" w:firstLineChars="0"/>
              <w:jc w:val="center"/>
              <w:rPr>
                <w:rFonts w:cs="Times New Roman"/>
                <w:sz w:val="21"/>
                <w:lang w:eastAsia="en-US"/>
              </w:rPr>
            </w:pPr>
          </w:p>
        </w:tc>
        <w:tc>
          <w:tcPr>
            <w:tcW w:w="244" w:type="pct"/>
            <w:vMerge w:val="continue"/>
            <w:tcBorders>
              <w:tl2br w:val="nil"/>
              <w:tr2bl w:val="nil"/>
            </w:tcBorders>
            <w:vAlign w:val="center"/>
          </w:tcPr>
          <w:p w14:paraId="21CED4C7">
            <w:pPr>
              <w:pStyle w:val="86"/>
              <w:widowControl w:val="0"/>
              <w:spacing w:after="0"/>
              <w:ind w:left="0" w:leftChars="0" w:firstLine="0" w:firstLineChars="0"/>
              <w:jc w:val="center"/>
              <w:rPr>
                <w:rFonts w:cs="Times New Roman"/>
                <w:sz w:val="21"/>
                <w:lang w:eastAsia="en-US"/>
              </w:rPr>
            </w:pPr>
          </w:p>
        </w:tc>
        <w:tc>
          <w:tcPr>
            <w:tcW w:w="213" w:type="pct"/>
            <w:tcBorders>
              <w:tl2br w:val="nil"/>
              <w:tr2bl w:val="nil"/>
            </w:tcBorders>
            <w:vAlign w:val="center"/>
          </w:tcPr>
          <w:p w14:paraId="16C59E60">
            <w:pPr>
              <w:pStyle w:val="86"/>
              <w:widowControl w:val="0"/>
              <w:spacing w:after="0"/>
              <w:ind w:left="0" w:leftChars="0" w:firstLine="0" w:firstLineChars="0"/>
              <w:jc w:val="center"/>
              <w:rPr>
                <w:rFonts w:cs="Times New Roman"/>
                <w:sz w:val="21"/>
                <w:lang w:eastAsia="en-US"/>
              </w:rPr>
            </w:pPr>
            <w:r>
              <w:rPr>
                <w:rFonts w:cs="Times New Roman"/>
                <w:sz w:val="21"/>
                <w:lang w:eastAsia="en-US"/>
              </w:rPr>
              <w:t>夜间</w:t>
            </w:r>
          </w:p>
        </w:tc>
        <w:tc>
          <w:tcPr>
            <w:tcW w:w="277" w:type="pct"/>
            <w:tcBorders>
              <w:tl2br w:val="nil"/>
              <w:tr2bl w:val="nil"/>
            </w:tcBorders>
            <w:vAlign w:val="center"/>
          </w:tcPr>
          <w:p w14:paraId="365998AD">
            <w:pPr>
              <w:pStyle w:val="86"/>
              <w:widowControl w:val="0"/>
              <w:spacing w:after="0"/>
              <w:ind w:left="0" w:leftChars="0" w:firstLine="0" w:firstLineChars="0"/>
              <w:jc w:val="center"/>
              <w:rPr>
                <w:rFonts w:cs="Times New Roman"/>
                <w:sz w:val="21"/>
                <w:lang w:eastAsia="en-US"/>
              </w:rPr>
            </w:pPr>
            <w:r>
              <w:rPr>
                <w:rFonts w:cs="Times New Roman"/>
                <w:sz w:val="21"/>
                <w:lang w:eastAsia="en-US"/>
              </w:rPr>
              <w:t>55</w:t>
            </w:r>
          </w:p>
        </w:tc>
        <w:tc>
          <w:tcPr>
            <w:tcW w:w="292" w:type="pct"/>
            <w:tcBorders>
              <w:tl2br w:val="nil"/>
              <w:tr2bl w:val="nil"/>
            </w:tcBorders>
            <w:vAlign w:val="center"/>
          </w:tcPr>
          <w:p w14:paraId="2642E97C">
            <w:pPr>
              <w:widowControl/>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4</w:t>
            </w:r>
          </w:p>
        </w:tc>
        <w:tc>
          <w:tcPr>
            <w:tcW w:w="302" w:type="pct"/>
            <w:tcBorders>
              <w:tl2br w:val="nil"/>
              <w:tr2bl w:val="nil"/>
            </w:tcBorders>
            <w:vAlign w:val="center"/>
          </w:tcPr>
          <w:p w14:paraId="7003FC35">
            <w:pPr>
              <w:widowControl/>
              <w:jc w:val="center"/>
              <w:textAlignment w:val="bottom"/>
              <w:rPr>
                <w:rFonts w:cs="Times New Roman"/>
                <w:sz w:val="21"/>
                <w:lang w:eastAsia="en-US"/>
              </w:rPr>
            </w:pPr>
            <w:r>
              <w:rPr>
                <w:rFonts w:hint="eastAsia" w:cs="Times New Roman"/>
                <w:sz w:val="21"/>
                <w:lang w:eastAsia="zh-CN"/>
              </w:rPr>
              <w:t>4</w:t>
            </w:r>
            <w:r>
              <w:rPr>
                <w:rFonts w:cs="Times New Roman"/>
                <w:sz w:val="21"/>
                <w:lang w:eastAsia="zh-CN"/>
              </w:rPr>
              <w:t>4</w:t>
            </w:r>
          </w:p>
        </w:tc>
        <w:tc>
          <w:tcPr>
            <w:tcW w:w="239" w:type="pct"/>
            <w:tcBorders>
              <w:tl2br w:val="nil"/>
              <w:tr2bl w:val="nil"/>
            </w:tcBorders>
            <w:vAlign w:val="center"/>
          </w:tcPr>
          <w:p w14:paraId="63EF6600">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4</w:t>
            </w:r>
            <w:r>
              <w:rPr>
                <w:rFonts w:cs="Times New Roman"/>
                <w:sz w:val="21"/>
                <w:lang w:eastAsia="zh-CN"/>
              </w:rPr>
              <w:t>2.25</w:t>
            </w:r>
          </w:p>
        </w:tc>
        <w:tc>
          <w:tcPr>
            <w:tcW w:w="239" w:type="pct"/>
            <w:tcBorders>
              <w:tl2br w:val="nil"/>
              <w:tr2bl w:val="nil"/>
            </w:tcBorders>
          </w:tcPr>
          <w:p w14:paraId="72290BCD">
            <w:pPr>
              <w:pStyle w:val="86"/>
              <w:widowControl w:val="0"/>
              <w:spacing w:after="0"/>
              <w:ind w:left="0" w:leftChars="0" w:firstLine="0" w:firstLineChars="0"/>
              <w:jc w:val="center"/>
              <w:rPr>
                <w:rFonts w:cs="Times New Roman"/>
                <w:sz w:val="21"/>
                <w:lang w:eastAsia="zh-CN"/>
              </w:rPr>
            </w:pPr>
            <w:r>
              <w:rPr>
                <w:lang w:eastAsia="en-US"/>
              </w:rPr>
              <w:t>46.22</w:t>
            </w:r>
          </w:p>
        </w:tc>
        <w:tc>
          <w:tcPr>
            <w:tcW w:w="239" w:type="pct"/>
            <w:tcBorders>
              <w:tl2br w:val="nil"/>
              <w:tr2bl w:val="nil"/>
            </w:tcBorders>
            <w:vAlign w:val="center"/>
          </w:tcPr>
          <w:p w14:paraId="2BB6B6B4">
            <w:pPr>
              <w:widowControl/>
              <w:jc w:val="center"/>
              <w:textAlignment w:val="bottom"/>
              <w:rPr>
                <w:rFonts w:cs="Times New Roman"/>
                <w:sz w:val="21"/>
                <w:lang w:eastAsia="zh-CN"/>
              </w:rPr>
            </w:pPr>
            <w:r>
              <w:rPr>
                <w:rFonts w:hint="eastAsia" w:cs="Times New Roman"/>
                <w:sz w:val="21"/>
                <w:lang w:eastAsia="zh-CN"/>
              </w:rPr>
              <w:t>2</w:t>
            </w:r>
            <w:r>
              <w:rPr>
                <w:rFonts w:cs="Times New Roman"/>
                <w:sz w:val="21"/>
                <w:lang w:eastAsia="zh-CN"/>
              </w:rPr>
              <w:t>.22</w:t>
            </w:r>
          </w:p>
        </w:tc>
        <w:tc>
          <w:tcPr>
            <w:tcW w:w="272" w:type="pct"/>
            <w:tcBorders>
              <w:tl2br w:val="nil"/>
              <w:tr2bl w:val="nil"/>
            </w:tcBorders>
            <w:vAlign w:val="center"/>
          </w:tcPr>
          <w:p w14:paraId="1B8BDB5A">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5F6ADBDE">
            <w:pPr>
              <w:pStyle w:val="86"/>
              <w:widowControl w:val="0"/>
              <w:spacing w:after="0"/>
              <w:ind w:left="0" w:leftChars="0" w:firstLine="0" w:firstLineChars="0"/>
              <w:jc w:val="center"/>
              <w:rPr>
                <w:rFonts w:cs="Times New Roman"/>
                <w:sz w:val="21"/>
                <w:lang w:eastAsia="zh-CN"/>
              </w:rPr>
            </w:pPr>
            <w:r>
              <w:rPr>
                <w:rFonts w:cs="Times New Roman"/>
                <w:sz w:val="21"/>
                <w:lang w:eastAsia="zh-CN"/>
              </w:rPr>
              <w:t>43.85</w:t>
            </w:r>
          </w:p>
        </w:tc>
        <w:tc>
          <w:tcPr>
            <w:tcW w:w="240" w:type="pct"/>
            <w:tcBorders>
              <w:tl2br w:val="nil"/>
              <w:tr2bl w:val="nil"/>
            </w:tcBorders>
            <w:vAlign w:val="center"/>
          </w:tcPr>
          <w:p w14:paraId="2181BB20">
            <w:pPr>
              <w:pStyle w:val="86"/>
              <w:widowControl w:val="0"/>
              <w:spacing w:after="0"/>
              <w:ind w:left="0" w:leftChars="0" w:firstLine="0" w:firstLineChars="0"/>
              <w:jc w:val="center"/>
              <w:rPr>
                <w:rFonts w:cs="Times New Roman"/>
                <w:sz w:val="21"/>
                <w:lang w:eastAsia="zh-CN"/>
              </w:rPr>
            </w:pPr>
            <w:r>
              <w:rPr>
                <w:rFonts w:cs="Times New Roman"/>
                <w:sz w:val="21"/>
                <w:lang w:eastAsia="zh-CN"/>
              </w:rPr>
              <w:t>46.94</w:t>
            </w:r>
          </w:p>
        </w:tc>
        <w:tc>
          <w:tcPr>
            <w:tcW w:w="241" w:type="pct"/>
            <w:tcBorders>
              <w:tl2br w:val="nil"/>
              <w:tr2bl w:val="nil"/>
            </w:tcBorders>
            <w:vAlign w:val="center"/>
          </w:tcPr>
          <w:p w14:paraId="08F48E8C">
            <w:pPr>
              <w:widowControl/>
              <w:jc w:val="center"/>
              <w:textAlignment w:val="bottom"/>
              <w:rPr>
                <w:rFonts w:cs="Times New Roman"/>
                <w:sz w:val="21"/>
                <w:lang w:eastAsia="zh-CN"/>
              </w:rPr>
            </w:pPr>
            <w:r>
              <w:rPr>
                <w:rFonts w:cs="Times New Roman"/>
                <w:sz w:val="21"/>
                <w:lang w:eastAsia="zh-CN"/>
              </w:rPr>
              <w:t>2.94</w:t>
            </w:r>
          </w:p>
        </w:tc>
        <w:tc>
          <w:tcPr>
            <w:tcW w:w="266" w:type="pct"/>
            <w:tcBorders>
              <w:tl2br w:val="nil"/>
              <w:tr2bl w:val="nil"/>
            </w:tcBorders>
            <w:vAlign w:val="center"/>
          </w:tcPr>
          <w:p w14:paraId="290D551F">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7F874BF1">
            <w:pPr>
              <w:pStyle w:val="86"/>
              <w:widowControl w:val="0"/>
              <w:spacing w:after="0"/>
              <w:ind w:left="0" w:leftChars="0" w:firstLine="0" w:firstLineChars="0"/>
              <w:jc w:val="center"/>
              <w:rPr>
                <w:rFonts w:cs="Times New Roman"/>
                <w:sz w:val="21"/>
                <w:lang w:eastAsia="en-US"/>
              </w:rPr>
            </w:pPr>
            <w:r>
              <w:rPr>
                <w:rFonts w:cs="Times New Roman"/>
                <w:sz w:val="21"/>
                <w:lang w:eastAsia="en-US"/>
              </w:rPr>
              <w:t>45.60</w:t>
            </w:r>
          </w:p>
        </w:tc>
        <w:tc>
          <w:tcPr>
            <w:tcW w:w="241" w:type="pct"/>
            <w:tcBorders>
              <w:tl2br w:val="nil"/>
              <w:tr2bl w:val="nil"/>
            </w:tcBorders>
            <w:vAlign w:val="center"/>
          </w:tcPr>
          <w:p w14:paraId="047959E9">
            <w:pPr>
              <w:pStyle w:val="86"/>
              <w:widowControl w:val="0"/>
              <w:spacing w:after="0"/>
              <w:ind w:left="0" w:leftChars="0" w:firstLine="0" w:firstLineChars="0"/>
              <w:jc w:val="center"/>
              <w:rPr>
                <w:rFonts w:cs="Times New Roman"/>
                <w:sz w:val="21"/>
                <w:lang w:eastAsia="en-US"/>
              </w:rPr>
            </w:pPr>
            <w:r>
              <w:rPr>
                <w:rFonts w:cs="Times New Roman"/>
                <w:sz w:val="21"/>
                <w:lang w:eastAsia="en-US"/>
              </w:rPr>
              <w:t>47.88</w:t>
            </w:r>
          </w:p>
        </w:tc>
        <w:tc>
          <w:tcPr>
            <w:tcW w:w="241" w:type="pct"/>
            <w:tcBorders>
              <w:tl2br w:val="nil"/>
              <w:tr2bl w:val="nil"/>
            </w:tcBorders>
            <w:vAlign w:val="center"/>
          </w:tcPr>
          <w:p w14:paraId="3E7AEEC6">
            <w:pPr>
              <w:widowControl/>
              <w:jc w:val="center"/>
              <w:textAlignment w:val="bottom"/>
              <w:rPr>
                <w:rFonts w:cs="Times New Roman"/>
                <w:sz w:val="21"/>
                <w:lang w:eastAsia="zh-CN"/>
              </w:rPr>
            </w:pPr>
            <w:r>
              <w:rPr>
                <w:rFonts w:hint="eastAsia" w:cs="Times New Roman"/>
                <w:sz w:val="21"/>
                <w:lang w:eastAsia="zh-CN"/>
              </w:rPr>
              <w:t>3</w:t>
            </w:r>
            <w:r>
              <w:rPr>
                <w:rFonts w:cs="Times New Roman"/>
                <w:sz w:val="21"/>
                <w:lang w:eastAsia="zh-CN"/>
              </w:rPr>
              <w:t>.88</w:t>
            </w:r>
          </w:p>
        </w:tc>
        <w:tc>
          <w:tcPr>
            <w:tcW w:w="193" w:type="pct"/>
            <w:tcBorders>
              <w:tl2br w:val="nil"/>
              <w:tr2bl w:val="nil"/>
            </w:tcBorders>
            <w:vAlign w:val="center"/>
          </w:tcPr>
          <w:p w14:paraId="0D270570">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37078E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33C70772">
            <w:pPr>
              <w:widowControl/>
              <w:jc w:val="center"/>
              <w:textAlignment w:val="center"/>
              <w:rPr>
                <w:rFonts w:cs="Times New Roman"/>
                <w:sz w:val="21"/>
                <w:lang w:eastAsia="en-US"/>
              </w:rPr>
            </w:pPr>
          </w:p>
        </w:tc>
        <w:tc>
          <w:tcPr>
            <w:tcW w:w="422" w:type="pct"/>
            <w:vMerge w:val="continue"/>
            <w:tcBorders>
              <w:tl2br w:val="nil"/>
              <w:tr2bl w:val="nil"/>
            </w:tcBorders>
            <w:vAlign w:val="center"/>
          </w:tcPr>
          <w:p w14:paraId="7575789A">
            <w:pPr>
              <w:pStyle w:val="86"/>
              <w:widowControl w:val="0"/>
              <w:spacing w:after="0"/>
              <w:ind w:left="0" w:leftChars="0" w:firstLine="0" w:firstLineChars="0"/>
              <w:jc w:val="center"/>
              <w:rPr>
                <w:rFonts w:cs="Times New Roman"/>
                <w:sz w:val="21"/>
                <w:lang w:eastAsia="en-US"/>
              </w:rPr>
            </w:pPr>
          </w:p>
        </w:tc>
        <w:tc>
          <w:tcPr>
            <w:tcW w:w="244" w:type="pct"/>
            <w:vMerge w:val="restart"/>
            <w:tcBorders>
              <w:tl2br w:val="nil"/>
              <w:tr2bl w:val="nil"/>
            </w:tcBorders>
            <w:vAlign w:val="center"/>
          </w:tcPr>
          <w:p w14:paraId="36A0A422">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2</w:t>
            </w:r>
          </w:p>
        </w:tc>
        <w:tc>
          <w:tcPr>
            <w:tcW w:w="213" w:type="pct"/>
            <w:tcBorders>
              <w:tl2br w:val="nil"/>
              <w:tr2bl w:val="nil"/>
            </w:tcBorders>
            <w:vAlign w:val="center"/>
          </w:tcPr>
          <w:p w14:paraId="4BC56D50">
            <w:pPr>
              <w:pStyle w:val="86"/>
              <w:widowControl w:val="0"/>
              <w:spacing w:after="0"/>
              <w:ind w:left="0" w:leftChars="0" w:firstLine="0" w:firstLineChars="0"/>
              <w:jc w:val="center"/>
              <w:rPr>
                <w:rFonts w:cs="Times New Roman"/>
                <w:sz w:val="21"/>
                <w:lang w:eastAsia="en-US"/>
              </w:rPr>
            </w:pPr>
            <w:r>
              <w:rPr>
                <w:rFonts w:cs="Times New Roman"/>
                <w:sz w:val="21"/>
                <w:lang w:eastAsia="en-US"/>
              </w:rPr>
              <w:t>昼间</w:t>
            </w:r>
          </w:p>
        </w:tc>
        <w:tc>
          <w:tcPr>
            <w:tcW w:w="277" w:type="pct"/>
            <w:tcBorders>
              <w:tl2br w:val="nil"/>
              <w:tr2bl w:val="nil"/>
            </w:tcBorders>
            <w:vAlign w:val="center"/>
          </w:tcPr>
          <w:p w14:paraId="6FFF8268">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60</w:t>
            </w:r>
          </w:p>
        </w:tc>
        <w:tc>
          <w:tcPr>
            <w:tcW w:w="292" w:type="pct"/>
            <w:tcBorders>
              <w:tl2br w:val="nil"/>
              <w:tr2bl w:val="nil"/>
            </w:tcBorders>
            <w:vAlign w:val="center"/>
          </w:tcPr>
          <w:p w14:paraId="383AC2A6">
            <w:pPr>
              <w:widowControl/>
              <w:jc w:val="center"/>
              <w:textAlignment w:val="bottom"/>
              <w:rPr>
                <w:rFonts w:cs="Times New Roman"/>
                <w:sz w:val="21"/>
                <w:lang w:eastAsia="en-US"/>
              </w:rPr>
            </w:pPr>
            <w:r>
              <w:rPr>
                <w:rFonts w:hint="eastAsia" w:cs="Times New Roman"/>
                <w:sz w:val="21"/>
                <w:lang w:eastAsia="zh-CN"/>
              </w:rPr>
              <w:t>5</w:t>
            </w:r>
            <w:r>
              <w:rPr>
                <w:rFonts w:cs="Times New Roman"/>
                <w:sz w:val="21"/>
                <w:lang w:eastAsia="zh-CN"/>
              </w:rPr>
              <w:t>0</w:t>
            </w:r>
          </w:p>
        </w:tc>
        <w:tc>
          <w:tcPr>
            <w:tcW w:w="302" w:type="pct"/>
            <w:tcBorders>
              <w:tl2br w:val="nil"/>
              <w:tr2bl w:val="nil"/>
            </w:tcBorders>
            <w:vAlign w:val="center"/>
          </w:tcPr>
          <w:p w14:paraId="414A1F50">
            <w:pPr>
              <w:widowControl/>
              <w:jc w:val="center"/>
              <w:textAlignment w:val="bottom"/>
              <w:rPr>
                <w:rFonts w:cs="Times New Roman"/>
                <w:sz w:val="21"/>
                <w:lang w:eastAsia="en-US"/>
              </w:rPr>
            </w:pPr>
            <w:r>
              <w:rPr>
                <w:rFonts w:hint="eastAsia" w:cs="Times New Roman"/>
                <w:sz w:val="21"/>
                <w:lang w:eastAsia="zh-CN"/>
              </w:rPr>
              <w:t>5</w:t>
            </w:r>
            <w:r>
              <w:rPr>
                <w:rFonts w:cs="Times New Roman"/>
                <w:sz w:val="21"/>
                <w:lang w:eastAsia="zh-CN"/>
              </w:rPr>
              <w:t>0</w:t>
            </w:r>
          </w:p>
        </w:tc>
        <w:tc>
          <w:tcPr>
            <w:tcW w:w="239" w:type="pct"/>
            <w:tcBorders>
              <w:tl2br w:val="nil"/>
              <w:tr2bl w:val="nil"/>
            </w:tcBorders>
            <w:vAlign w:val="center"/>
          </w:tcPr>
          <w:p w14:paraId="53A02511">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4</w:t>
            </w:r>
            <w:r>
              <w:rPr>
                <w:rFonts w:cs="Times New Roman"/>
                <w:sz w:val="21"/>
                <w:lang w:eastAsia="zh-CN"/>
              </w:rPr>
              <w:t>4.05</w:t>
            </w:r>
          </w:p>
        </w:tc>
        <w:tc>
          <w:tcPr>
            <w:tcW w:w="239" w:type="pct"/>
            <w:tcBorders>
              <w:tl2br w:val="nil"/>
              <w:tr2bl w:val="nil"/>
            </w:tcBorders>
          </w:tcPr>
          <w:p w14:paraId="41BAD152">
            <w:pPr>
              <w:pStyle w:val="86"/>
              <w:widowControl w:val="0"/>
              <w:spacing w:after="0"/>
              <w:ind w:left="0" w:leftChars="0" w:firstLine="0" w:firstLineChars="0"/>
              <w:jc w:val="center"/>
              <w:rPr>
                <w:rFonts w:cs="Times New Roman"/>
                <w:sz w:val="21"/>
                <w:lang w:eastAsia="en-US"/>
              </w:rPr>
            </w:pPr>
            <w:r>
              <w:rPr>
                <w:lang w:eastAsia="en-US"/>
              </w:rPr>
              <w:t>51.09</w:t>
            </w:r>
          </w:p>
        </w:tc>
        <w:tc>
          <w:tcPr>
            <w:tcW w:w="239" w:type="pct"/>
            <w:tcBorders>
              <w:tl2br w:val="nil"/>
              <w:tr2bl w:val="nil"/>
            </w:tcBorders>
            <w:vAlign w:val="center"/>
          </w:tcPr>
          <w:p w14:paraId="36FD0FF4">
            <w:pPr>
              <w:widowControl/>
              <w:jc w:val="center"/>
              <w:textAlignment w:val="bottom"/>
              <w:rPr>
                <w:rFonts w:cs="Times New Roman"/>
                <w:sz w:val="21"/>
                <w:lang w:eastAsia="en-US" w:bidi="ar"/>
              </w:rPr>
            </w:pPr>
            <w:r>
              <w:rPr>
                <w:rFonts w:hint="eastAsia" w:cs="Times New Roman"/>
                <w:sz w:val="21"/>
                <w:lang w:eastAsia="zh-CN"/>
              </w:rPr>
              <w:t>1</w:t>
            </w:r>
            <w:r>
              <w:rPr>
                <w:rFonts w:cs="Times New Roman"/>
                <w:sz w:val="21"/>
                <w:lang w:eastAsia="zh-CN"/>
              </w:rPr>
              <w:t>.09</w:t>
            </w:r>
          </w:p>
        </w:tc>
        <w:tc>
          <w:tcPr>
            <w:tcW w:w="272" w:type="pct"/>
            <w:tcBorders>
              <w:tl2br w:val="nil"/>
              <w:tr2bl w:val="nil"/>
            </w:tcBorders>
            <w:vAlign w:val="center"/>
          </w:tcPr>
          <w:p w14:paraId="2559E353">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0472BF46">
            <w:pPr>
              <w:pStyle w:val="86"/>
              <w:widowControl w:val="0"/>
              <w:spacing w:after="0"/>
              <w:ind w:left="0" w:leftChars="0" w:firstLine="0" w:firstLineChars="0"/>
              <w:jc w:val="center"/>
              <w:rPr>
                <w:rFonts w:cs="Times New Roman"/>
                <w:sz w:val="21"/>
                <w:lang w:eastAsia="en-US"/>
              </w:rPr>
            </w:pPr>
            <w:r>
              <w:rPr>
                <w:rFonts w:cs="Times New Roman"/>
                <w:sz w:val="21"/>
                <w:lang w:eastAsia="zh-CN"/>
              </w:rPr>
              <w:t>46.13</w:t>
            </w:r>
          </w:p>
        </w:tc>
        <w:tc>
          <w:tcPr>
            <w:tcW w:w="240" w:type="pct"/>
            <w:tcBorders>
              <w:tl2br w:val="nil"/>
              <w:tr2bl w:val="nil"/>
            </w:tcBorders>
            <w:vAlign w:val="center"/>
          </w:tcPr>
          <w:p w14:paraId="412084EC">
            <w:pPr>
              <w:pStyle w:val="86"/>
              <w:widowControl w:val="0"/>
              <w:spacing w:after="0"/>
              <w:ind w:left="0" w:leftChars="0" w:firstLine="0" w:firstLineChars="0"/>
              <w:jc w:val="center"/>
              <w:rPr>
                <w:rFonts w:cs="Times New Roman"/>
                <w:sz w:val="21"/>
                <w:lang w:eastAsia="en-US"/>
              </w:rPr>
            </w:pPr>
            <w:r>
              <w:rPr>
                <w:rFonts w:cs="Times New Roman"/>
                <w:sz w:val="21"/>
                <w:lang w:eastAsia="zh-CN"/>
              </w:rPr>
              <w:t>51.49</w:t>
            </w:r>
          </w:p>
        </w:tc>
        <w:tc>
          <w:tcPr>
            <w:tcW w:w="241" w:type="pct"/>
            <w:tcBorders>
              <w:tl2br w:val="nil"/>
              <w:tr2bl w:val="nil"/>
            </w:tcBorders>
            <w:vAlign w:val="center"/>
          </w:tcPr>
          <w:p w14:paraId="179816D2">
            <w:pPr>
              <w:widowControl/>
              <w:jc w:val="center"/>
              <w:textAlignment w:val="bottom"/>
              <w:rPr>
                <w:rFonts w:cs="Times New Roman"/>
                <w:sz w:val="21"/>
                <w:lang w:eastAsia="en-US" w:bidi="ar"/>
              </w:rPr>
            </w:pPr>
            <w:r>
              <w:rPr>
                <w:rFonts w:cs="Times New Roman"/>
                <w:sz w:val="21"/>
                <w:lang w:eastAsia="zh-CN"/>
              </w:rPr>
              <w:t>1.49</w:t>
            </w:r>
          </w:p>
        </w:tc>
        <w:tc>
          <w:tcPr>
            <w:tcW w:w="266" w:type="pct"/>
            <w:tcBorders>
              <w:tl2br w:val="nil"/>
              <w:tr2bl w:val="nil"/>
            </w:tcBorders>
            <w:vAlign w:val="center"/>
          </w:tcPr>
          <w:p w14:paraId="40B03BE6">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43F6B694">
            <w:pPr>
              <w:pStyle w:val="86"/>
              <w:widowControl w:val="0"/>
              <w:spacing w:after="0"/>
              <w:ind w:left="0" w:leftChars="0" w:firstLine="0" w:firstLineChars="0"/>
              <w:jc w:val="center"/>
              <w:rPr>
                <w:rFonts w:cs="Times New Roman"/>
                <w:sz w:val="21"/>
                <w:lang w:eastAsia="en-US"/>
              </w:rPr>
            </w:pPr>
            <w:r>
              <w:rPr>
                <w:rFonts w:cs="Times New Roman"/>
                <w:sz w:val="21"/>
                <w:lang w:eastAsia="en-US"/>
              </w:rPr>
              <w:t>47.89</w:t>
            </w:r>
          </w:p>
        </w:tc>
        <w:tc>
          <w:tcPr>
            <w:tcW w:w="241" w:type="pct"/>
            <w:tcBorders>
              <w:tl2br w:val="nil"/>
              <w:tr2bl w:val="nil"/>
            </w:tcBorders>
            <w:vAlign w:val="center"/>
          </w:tcPr>
          <w:p w14:paraId="6AC7254D">
            <w:pPr>
              <w:pStyle w:val="86"/>
              <w:widowControl w:val="0"/>
              <w:spacing w:after="0"/>
              <w:ind w:left="0" w:leftChars="0" w:firstLine="0" w:firstLineChars="0"/>
              <w:jc w:val="center"/>
              <w:rPr>
                <w:rFonts w:cs="Times New Roman"/>
                <w:sz w:val="21"/>
                <w:lang w:eastAsia="en-US"/>
              </w:rPr>
            </w:pPr>
            <w:r>
              <w:rPr>
                <w:rFonts w:cs="Times New Roman"/>
                <w:sz w:val="21"/>
                <w:lang w:eastAsia="en-US"/>
              </w:rPr>
              <w:t>52.08</w:t>
            </w:r>
          </w:p>
        </w:tc>
        <w:tc>
          <w:tcPr>
            <w:tcW w:w="241" w:type="pct"/>
            <w:tcBorders>
              <w:tl2br w:val="nil"/>
              <w:tr2bl w:val="nil"/>
            </w:tcBorders>
            <w:vAlign w:val="center"/>
          </w:tcPr>
          <w:p w14:paraId="74EEFD7F">
            <w:pPr>
              <w:widowControl/>
              <w:jc w:val="center"/>
              <w:textAlignment w:val="bottom"/>
              <w:rPr>
                <w:rFonts w:cs="Times New Roman"/>
                <w:sz w:val="21"/>
                <w:lang w:eastAsia="en-US" w:bidi="ar"/>
              </w:rPr>
            </w:pPr>
            <w:r>
              <w:rPr>
                <w:rFonts w:hint="eastAsia" w:cs="Times New Roman"/>
                <w:sz w:val="21"/>
                <w:lang w:eastAsia="zh-CN"/>
              </w:rPr>
              <w:t>2</w:t>
            </w:r>
            <w:r>
              <w:rPr>
                <w:rFonts w:cs="Times New Roman"/>
                <w:sz w:val="21"/>
                <w:lang w:eastAsia="zh-CN"/>
              </w:rPr>
              <w:t>.08</w:t>
            </w:r>
          </w:p>
        </w:tc>
        <w:tc>
          <w:tcPr>
            <w:tcW w:w="193" w:type="pct"/>
            <w:tcBorders>
              <w:tl2br w:val="nil"/>
              <w:tr2bl w:val="nil"/>
            </w:tcBorders>
            <w:vAlign w:val="center"/>
          </w:tcPr>
          <w:p w14:paraId="0F7FDB2A">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4F823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37F7B56B">
            <w:pPr>
              <w:widowControl/>
              <w:jc w:val="center"/>
              <w:textAlignment w:val="center"/>
              <w:rPr>
                <w:rFonts w:cs="Times New Roman"/>
                <w:sz w:val="21"/>
                <w:lang w:eastAsia="en-US"/>
              </w:rPr>
            </w:pPr>
          </w:p>
        </w:tc>
        <w:tc>
          <w:tcPr>
            <w:tcW w:w="422" w:type="pct"/>
            <w:vMerge w:val="continue"/>
            <w:tcBorders>
              <w:tl2br w:val="nil"/>
              <w:tr2bl w:val="nil"/>
            </w:tcBorders>
            <w:vAlign w:val="center"/>
          </w:tcPr>
          <w:p w14:paraId="34F7982C">
            <w:pPr>
              <w:pStyle w:val="86"/>
              <w:widowControl w:val="0"/>
              <w:spacing w:after="0"/>
              <w:ind w:left="0" w:leftChars="0" w:firstLine="0" w:firstLineChars="0"/>
              <w:jc w:val="center"/>
              <w:rPr>
                <w:rFonts w:cs="Times New Roman"/>
                <w:sz w:val="21"/>
                <w:lang w:eastAsia="en-US"/>
              </w:rPr>
            </w:pPr>
          </w:p>
        </w:tc>
        <w:tc>
          <w:tcPr>
            <w:tcW w:w="244" w:type="pct"/>
            <w:vMerge w:val="continue"/>
            <w:tcBorders>
              <w:tl2br w:val="nil"/>
              <w:tr2bl w:val="nil"/>
            </w:tcBorders>
            <w:vAlign w:val="center"/>
          </w:tcPr>
          <w:p w14:paraId="1995A2B5">
            <w:pPr>
              <w:pStyle w:val="86"/>
              <w:widowControl w:val="0"/>
              <w:spacing w:after="0"/>
              <w:ind w:left="0" w:leftChars="0" w:firstLine="0" w:firstLineChars="0"/>
              <w:jc w:val="center"/>
              <w:rPr>
                <w:rFonts w:cs="Times New Roman"/>
                <w:sz w:val="21"/>
                <w:lang w:eastAsia="en-US"/>
              </w:rPr>
            </w:pPr>
          </w:p>
        </w:tc>
        <w:tc>
          <w:tcPr>
            <w:tcW w:w="213" w:type="pct"/>
            <w:tcBorders>
              <w:tl2br w:val="nil"/>
              <w:tr2bl w:val="nil"/>
            </w:tcBorders>
            <w:vAlign w:val="center"/>
          </w:tcPr>
          <w:p w14:paraId="1C8FC19D">
            <w:pPr>
              <w:pStyle w:val="86"/>
              <w:widowControl w:val="0"/>
              <w:spacing w:after="0"/>
              <w:ind w:left="0" w:leftChars="0" w:firstLine="0" w:firstLineChars="0"/>
              <w:jc w:val="center"/>
              <w:rPr>
                <w:rFonts w:cs="Times New Roman"/>
                <w:sz w:val="21"/>
                <w:lang w:eastAsia="en-US"/>
              </w:rPr>
            </w:pPr>
            <w:r>
              <w:rPr>
                <w:rFonts w:cs="Times New Roman"/>
                <w:sz w:val="21"/>
                <w:lang w:eastAsia="en-US"/>
              </w:rPr>
              <w:t>夜间</w:t>
            </w:r>
          </w:p>
        </w:tc>
        <w:tc>
          <w:tcPr>
            <w:tcW w:w="277" w:type="pct"/>
            <w:tcBorders>
              <w:tl2br w:val="nil"/>
              <w:tr2bl w:val="nil"/>
            </w:tcBorders>
            <w:vAlign w:val="center"/>
          </w:tcPr>
          <w:p w14:paraId="52035EEE">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50</w:t>
            </w:r>
          </w:p>
        </w:tc>
        <w:tc>
          <w:tcPr>
            <w:tcW w:w="292" w:type="pct"/>
            <w:tcBorders>
              <w:tl2br w:val="nil"/>
              <w:tr2bl w:val="nil"/>
            </w:tcBorders>
            <w:vAlign w:val="center"/>
          </w:tcPr>
          <w:p w14:paraId="665DA175">
            <w:pPr>
              <w:widowControl/>
              <w:jc w:val="center"/>
              <w:textAlignment w:val="bottom"/>
              <w:rPr>
                <w:rFonts w:cs="Times New Roman"/>
                <w:sz w:val="21"/>
                <w:lang w:eastAsia="en-US"/>
              </w:rPr>
            </w:pPr>
            <w:r>
              <w:rPr>
                <w:rFonts w:hint="eastAsia" w:cs="Times New Roman"/>
                <w:sz w:val="21"/>
                <w:lang w:eastAsia="zh-CN"/>
              </w:rPr>
              <w:t>4</w:t>
            </w:r>
            <w:r>
              <w:rPr>
                <w:rFonts w:cs="Times New Roman"/>
                <w:sz w:val="21"/>
                <w:lang w:eastAsia="zh-CN"/>
              </w:rPr>
              <w:t>4</w:t>
            </w:r>
          </w:p>
        </w:tc>
        <w:tc>
          <w:tcPr>
            <w:tcW w:w="302" w:type="pct"/>
            <w:tcBorders>
              <w:tl2br w:val="nil"/>
              <w:tr2bl w:val="nil"/>
            </w:tcBorders>
            <w:vAlign w:val="center"/>
          </w:tcPr>
          <w:p w14:paraId="3107ECE8">
            <w:pPr>
              <w:widowControl/>
              <w:jc w:val="center"/>
              <w:textAlignment w:val="bottom"/>
              <w:rPr>
                <w:rFonts w:cs="Times New Roman"/>
                <w:sz w:val="21"/>
                <w:lang w:eastAsia="en-US"/>
              </w:rPr>
            </w:pPr>
            <w:r>
              <w:rPr>
                <w:rFonts w:hint="eastAsia" w:cs="Times New Roman"/>
                <w:sz w:val="21"/>
                <w:lang w:eastAsia="zh-CN"/>
              </w:rPr>
              <w:t>4</w:t>
            </w:r>
            <w:r>
              <w:rPr>
                <w:rFonts w:cs="Times New Roman"/>
                <w:sz w:val="21"/>
                <w:lang w:eastAsia="zh-CN"/>
              </w:rPr>
              <w:t>4</w:t>
            </w:r>
          </w:p>
        </w:tc>
        <w:tc>
          <w:tcPr>
            <w:tcW w:w="239" w:type="pct"/>
            <w:tcBorders>
              <w:tl2br w:val="nil"/>
              <w:tr2bl w:val="nil"/>
            </w:tcBorders>
            <w:vAlign w:val="center"/>
          </w:tcPr>
          <w:p w14:paraId="18184D3C">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4</w:t>
            </w:r>
            <w:r>
              <w:rPr>
                <w:rFonts w:cs="Times New Roman"/>
                <w:sz w:val="21"/>
                <w:lang w:eastAsia="zh-CN"/>
              </w:rPr>
              <w:t>2.25</w:t>
            </w:r>
          </w:p>
        </w:tc>
        <w:tc>
          <w:tcPr>
            <w:tcW w:w="239" w:type="pct"/>
            <w:tcBorders>
              <w:tl2br w:val="nil"/>
              <w:tr2bl w:val="nil"/>
            </w:tcBorders>
          </w:tcPr>
          <w:p w14:paraId="7757BF2D">
            <w:pPr>
              <w:pStyle w:val="86"/>
              <w:widowControl w:val="0"/>
              <w:spacing w:after="0"/>
              <w:ind w:left="0" w:leftChars="0" w:firstLine="0" w:firstLineChars="0"/>
              <w:jc w:val="center"/>
              <w:rPr>
                <w:rFonts w:cs="Times New Roman"/>
                <w:sz w:val="21"/>
                <w:lang w:eastAsia="en-US"/>
              </w:rPr>
            </w:pPr>
            <w:r>
              <w:rPr>
                <w:lang w:eastAsia="en-US"/>
              </w:rPr>
              <w:t>46.22</w:t>
            </w:r>
          </w:p>
        </w:tc>
        <w:tc>
          <w:tcPr>
            <w:tcW w:w="239" w:type="pct"/>
            <w:tcBorders>
              <w:tl2br w:val="nil"/>
              <w:tr2bl w:val="nil"/>
            </w:tcBorders>
            <w:vAlign w:val="center"/>
          </w:tcPr>
          <w:p w14:paraId="7C4E0D04">
            <w:pPr>
              <w:widowControl/>
              <w:jc w:val="center"/>
              <w:textAlignment w:val="bottom"/>
              <w:rPr>
                <w:rFonts w:cs="Times New Roman"/>
                <w:sz w:val="21"/>
                <w:lang w:eastAsia="en-US" w:bidi="ar"/>
              </w:rPr>
            </w:pPr>
            <w:r>
              <w:rPr>
                <w:rFonts w:hint="eastAsia" w:cs="Times New Roman"/>
                <w:sz w:val="21"/>
                <w:lang w:eastAsia="zh-CN"/>
              </w:rPr>
              <w:t>2</w:t>
            </w:r>
            <w:r>
              <w:rPr>
                <w:rFonts w:cs="Times New Roman"/>
                <w:sz w:val="21"/>
                <w:lang w:eastAsia="zh-CN"/>
              </w:rPr>
              <w:t>.22</w:t>
            </w:r>
          </w:p>
        </w:tc>
        <w:tc>
          <w:tcPr>
            <w:tcW w:w="272" w:type="pct"/>
            <w:tcBorders>
              <w:tl2br w:val="nil"/>
              <w:tr2bl w:val="nil"/>
            </w:tcBorders>
            <w:vAlign w:val="center"/>
          </w:tcPr>
          <w:p w14:paraId="59565367">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5FCA877C">
            <w:pPr>
              <w:pStyle w:val="86"/>
              <w:widowControl w:val="0"/>
              <w:spacing w:after="0"/>
              <w:ind w:left="0" w:leftChars="0" w:firstLine="0" w:firstLineChars="0"/>
              <w:jc w:val="center"/>
              <w:rPr>
                <w:rFonts w:cs="Times New Roman"/>
                <w:sz w:val="21"/>
                <w:lang w:eastAsia="en-US"/>
              </w:rPr>
            </w:pPr>
            <w:r>
              <w:rPr>
                <w:rFonts w:cs="Times New Roman"/>
                <w:sz w:val="21"/>
                <w:lang w:eastAsia="zh-CN"/>
              </w:rPr>
              <w:t>43.85</w:t>
            </w:r>
          </w:p>
        </w:tc>
        <w:tc>
          <w:tcPr>
            <w:tcW w:w="240" w:type="pct"/>
            <w:tcBorders>
              <w:tl2br w:val="nil"/>
              <w:tr2bl w:val="nil"/>
            </w:tcBorders>
            <w:vAlign w:val="center"/>
          </w:tcPr>
          <w:p w14:paraId="77BC7D8E">
            <w:pPr>
              <w:pStyle w:val="86"/>
              <w:widowControl w:val="0"/>
              <w:spacing w:after="0"/>
              <w:ind w:left="0" w:leftChars="0" w:firstLine="0" w:firstLineChars="0"/>
              <w:jc w:val="center"/>
              <w:rPr>
                <w:rFonts w:cs="Times New Roman"/>
                <w:sz w:val="21"/>
                <w:lang w:eastAsia="en-US"/>
              </w:rPr>
            </w:pPr>
            <w:r>
              <w:rPr>
                <w:rFonts w:cs="Times New Roman"/>
                <w:sz w:val="21"/>
                <w:lang w:eastAsia="zh-CN"/>
              </w:rPr>
              <w:t>46.94</w:t>
            </w:r>
          </w:p>
        </w:tc>
        <w:tc>
          <w:tcPr>
            <w:tcW w:w="241" w:type="pct"/>
            <w:tcBorders>
              <w:tl2br w:val="nil"/>
              <w:tr2bl w:val="nil"/>
            </w:tcBorders>
            <w:vAlign w:val="center"/>
          </w:tcPr>
          <w:p w14:paraId="1529A4CD">
            <w:pPr>
              <w:widowControl/>
              <w:jc w:val="center"/>
              <w:textAlignment w:val="bottom"/>
              <w:rPr>
                <w:rFonts w:cs="Times New Roman"/>
                <w:sz w:val="21"/>
                <w:lang w:eastAsia="en-US" w:bidi="ar"/>
              </w:rPr>
            </w:pPr>
            <w:r>
              <w:rPr>
                <w:rFonts w:cs="Times New Roman"/>
                <w:sz w:val="21"/>
                <w:lang w:eastAsia="zh-CN"/>
              </w:rPr>
              <w:t>2.94</w:t>
            </w:r>
          </w:p>
        </w:tc>
        <w:tc>
          <w:tcPr>
            <w:tcW w:w="266" w:type="pct"/>
            <w:tcBorders>
              <w:tl2br w:val="nil"/>
              <w:tr2bl w:val="nil"/>
            </w:tcBorders>
            <w:vAlign w:val="center"/>
          </w:tcPr>
          <w:p w14:paraId="79A41BD2">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27CC2ED7">
            <w:pPr>
              <w:pStyle w:val="86"/>
              <w:widowControl w:val="0"/>
              <w:spacing w:after="0"/>
              <w:ind w:left="0" w:leftChars="0" w:firstLine="0" w:firstLineChars="0"/>
              <w:jc w:val="center"/>
              <w:rPr>
                <w:rFonts w:cs="Times New Roman"/>
                <w:sz w:val="21"/>
                <w:lang w:eastAsia="en-US"/>
              </w:rPr>
            </w:pPr>
            <w:r>
              <w:rPr>
                <w:rFonts w:cs="Times New Roman"/>
                <w:sz w:val="21"/>
                <w:lang w:eastAsia="en-US"/>
              </w:rPr>
              <w:t>45.60</w:t>
            </w:r>
          </w:p>
        </w:tc>
        <w:tc>
          <w:tcPr>
            <w:tcW w:w="241" w:type="pct"/>
            <w:tcBorders>
              <w:tl2br w:val="nil"/>
              <w:tr2bl w:val="nil"/>
            </w:tcBorders>
            <w:vAlign w:val="center"/>
          </w:tcPr>
          <w:p w14:paraId="5F2DC924">
            <w:pPr>
              <w:pStyle w:val="86"/>
              <w:widowControl w:val="0"/>
              <w:spacing w:after="0"/>
              <w:ind w:left="0" w:leftChars="0" w:firstLine="0" w:firstLineChars="0"/>
              <w:jc w:val="center"/>
              <w:rPr>
                <w:rFonts w:cs="Times New Roman"/>
                <w:sz w:val="21"/>
                <w:lang w:eastAsia="en-US"/>
              </w:rPr>
            </w:pPr>
            <w:r>
              <w:rPr>
                <w:rFonts w:cs="Times New Roman"/>
                <w:sz w:val="21"/>
                <w:lang w:eastAsia="en-US"/>
              </w:rPr>
              <w:t>47.88</w:t>
            </w:r>
          </w:p>
        </w:tc>
        <w:tc>
          <w:tcPr>
            <w:tcW w:w="241" w:type="pct"/>
            <w:tcBorders>
              <w:tl2br w:val="nil"/>
              <w:tr2bl w:val="nil"/>
            </w:tcBorders>
            <w:vAlign w:val="center"/>
          </w:tcPr>
          <w:p w14:paraId="7A8A5E83">
            <w:pPr>
              <w:widowControl/>
              <w:jc w:val="center"/>
              <w:textAlignment w:val="bottom"/>
              <w:rPr>
                <w:rFonts w:cs="Times New Roman"/>
                <w:sz w:val="21"/>
                <w:lang w:eastAsia="en-US" w:bidi="ar"/>
              </w:rPr>
            </w:pPr>
            <w:r>
              <w:rPr>
                <w:rFonts w:hint="eastAsia" w:cs="Times New Roman"/>
                <w:sz w:val="21"/>
                <w:lang w:eastAsia="zh-CN"/>
              </w:rPr>
              <w:t>3</w:t>
            </w:r>
            <w:r>
              <w:rPr>
                <w:rFonts w:cs="Times New Roman"/>
                <w:sz w:val="21"/>
                <w:lang w:eastAsia="zh-CN"/>
              </w:rPr>
              <w:t>.88</w:t>
            </w:r>
          </w:p>
        </w:tc>
        <w:tc>
          <w:tcPr>
            <w:tcW w:w="193" w:type="pct"/>
            <w:tcBorders>
              <w:tl2br w:val="nil"/>
              <w:tr2bl w:val="nil"/>
            </w:tcBorders>
            <w:vAlign w:val="center"/>
          </w:tcPr>
          <w:p w14:paraId="2958D222">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18DD91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restart"/>
            <w:tcBorders>
              <w:tl2br w:val="nil"/>
              <w:tr2bl w:val="nil"/>
            </w:tcBorders>
            <w:vAlign w:val="center"/>
          </w:tcPr>
          <w:p w14:paraId="51773F0B">
            <w:pPr>
              <w:widowControl w:val="0"/>
              <w:jc w:val="center"/>
              <w:textAlignment w:val="center"/>
              <w:rPr>
                <w:rFonts w:cs="Times New Roman"/>
                <w:sz w:val="21"/>
                <w:lang w:eastAsia="en-US"/>
              </w:rPr>
            </w:pPr>
            <w:r>
              <w:rPr>
                <w:rFonts w:hint="eastAsia" w:cs="Times New Roman"/>
                <w:sz w:val="21"/>
                <w:lang w:eastAsia="en-US"/>
              </w:rPr>
              <w:t>阿克乌斯唐村</w:t>
            </w:r>
          </w:p>
        </w:tc>
        <w:tc>
          <w:tcPr>
            <w:tcW w:w="422" w:type="pct"/>
            <w:vMerge w:val="restart"/>
            <w:tcBorders>
              <w:tl2br w:val="nil"/>
              <w:tr2bl w:val="nil"/>
            </w:tcBorders>
            <w:vAlign w:val="center"/>
          </w:tcPr>
          <w:p w14:paraId="66BA606F">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1</w:t>
            </w:r>
            <w:r>
              <w:rPr>
                <w:rFonts w:cs="Times New Roman"/>
                <w:sz w:val="21"/>
                <w:lang w:eastAsia="en-US"/>
              </w:rPr>
              <w:t>.8</w:t>
            </w:r>
          </w:p>
        </w:tc>
        <w:tc>
          <w:tcPr>
            <w:tcW w:w="244" w:type="pct"/>
            <w:vMerge w:val="restart"/>
            <w:tcBorders>
              <w:tl2br w:val="nil"/>
              <w:tr2bl w:val="nil"/>
            </w:tcBorders>
            <w:vAlign w:val="center"/>
          </w:tcPr>
          <w:p w14:paraId="1712818E">
            <w:pPr>
              <w:pStyle w:val="86"/>
              <w:widowControl w:val="0"/>
              <w:spacing w:after="0"/>
              <w:ind w:left="0" w:leftChars="0" w:firstLine="0" w:firstLineChars="0"/>
              <w:jc w:val="center"/>
              <w:rPr>
                <w:rFonts w:cs="Times New Roman"/>
                <w:sz w:val="21"/>
                <w:lang w:eastAsia="en-US"/>
              </w:rPr>
            </w:pPr>
            <w:r>
              <w:rPr>
                <w:rFonts w:cs="Times New Roman"/>
                <w:sz w:val="21"/>
                <w:lang w:eastAsia="en-US"/>
              </w:rPr>
              <w:t>4a</w:t>
            </w:r>
          </w:p>
        </w:tc>
        <w:tc>
          <w:tcPr>
            <w:tcW w:w="213" w:type="pct"/>
            <w:tcBorders>
              <w:tl2br w:val="nil"/>
              <w:tr2bl w:val="nil"/>
            </w:tcBorders>
            <w:vAlign w:val="center"/>
          </w:tcPr>
          <w:p w14:paraId="3C00E866">
            <w:pPr>
              <w:pStyle w:val="86"/>
              <w:widowControl w:val="0"/>
              <w:spacing w:after="0"/>
              <w:ind w:left="0" w:leftChars="0" w:firstLine="0" w:firstLineChars="0"/>
              <w:jc w:val="center"/>
              <w:rPr>
                <w:rFonts w:cs="Times New Roman"/>
                <w:sz w:val="21"/>
                <w:lang w:eastAsia="en-US"/>
              </w:rPr>
            </w:pPr>
            <w:r>
              <w:rPr>
                <w:rFonts w:cs="Times New Roman"/>
                <w:sz w:val="21"/>
                <w:lang w:eastAsia="en-US"/>
              </w:rPr>
              <w:t>昼间</w:t>
            </w:r>
          </w:p>
        </w:tc>
        <w:tc>
          <w:tcPr>
            <w:tcW w:w="277" w:type="pct"/>
            <w:tcBorders>
              <w:tl2br w:val="nil"/>
              <w:tr2bl w:val="nil"/>
            </w:tcBorders>
            <w:vAlign w:val="center"/>
          </w:tcPr>
          <w:p w14:paraId="09E0534C">
            <w:pPr>
              <w:pStyle w:val="86"/>
              <w:widowControl w:val="0"/>
              <w:spacing w:after="0"/>
              <w:ind w:left="0" w:leftChars="0" w:firstLine="0" w:firstLineChars="0"/>
              <w:jc w:val="center"/>
              <w:rPr>
                <w:rFonts w:cs="Times New Roman"/>
                <w:sz w:val="21"/>
                <w:lang w:eastAsia="en-US"/>
              </w:rPr>
            </w:pPr>
            <w:r>
              <w:rPr>
                <w:rFonts w:cs="Times New Roman"/>
                <w:sz w:val="21"/>
                <w:lang w:eastAsia="en-US"/>
              </w:rPr>
              <w:t>70</w:t>
            </w:r>
          </w:p>
        </w:tc>
        <w:tc>
          <w:tcPr>
            <w:tcW w:w="292" w:type="pct"/>
            <w:tcBorders>
              <w:tl2br w:val="nil"/>
              <w:tr2bl w:val="nil"/>
            </w:tcBorders>
            <w:vAlign w:val="center"/>
          </w:tcPr>
          <w:p w14:paraId="7DE82D99">
            <w:pPr>
              <w:widowControl w:val="0"/>
              <w:jc w:val="center"/>
              <w:textAlignment w:val="bottom"/>
              <w:rPr>
                <w:rFonts w:cs="Times New Roman"/>
                <w:sz w:val="21"/>
                <w:lang w:eastAsia="zh-CN"/>
              </w:rPr>
            </w:pPr>
            <w:r>
              <w:rPr>
                <w:rFonts w:hint="eastAsia" w:cs="Times New Roman"/>
                <w:sz w:val="21"/>
                <w:lang w:eastAsia="zh-CN"/>
              </w:rPr>
              <w:t>5</w:t>
            </w:r>
            <w:r>
              <w:rPr>
                <w:rFonts w:cs="Times New Roman"/>
                <w:sz w:val="21"/>
                <w:lang w:eastAsia="zh-CN"/>
              </w:rPr>
              <w:t>1</w:t>
            </w:r>
          </w:p>
        </w:tc>
        <w:tc>
          <w:tcPr>
            <w:tcW w:w="302" w:type="pct"/>
            <w:tcBorders>
              <w:tl2br w:val="nil"/>
              <w:tr2bl w:val="nil"/>
            </w:tcBorders>
            <w:vAlign w:val="center"/>
          </w:tcPr>
          <w:p w14:paraId="4F2A401D">
            <w:pPr>
              <w:widowControl w:val="0"/>
              <w:jc w:val="center"/>
              <w:textAlignment w:val="bottom"/>
              <w:rPr>
                <w:rFonts w:cs="Times New Roman"/>
                <w:sz w:val="21"/>
                <w:lang w:eastAsia="zh-CN"/>
              </w:rPr>
            </w:pPr>
            <w:r>
              <w:rPr>
                <w:rFonts w:hint="eastAsia" w:cs="Times New Roman"/>
                <w:sz w:val="21"/>
                <w:lang w:eastAsia="zh-CN"/>
              </w:rPr>
              <w:t>5</w:t>
            </w:r>
            <w:r>
              <w:rPr>
                <w:rFonts w:cs="Times New Roman"/>
                <w:sz w:val="21"/>
                <w:lang w:eastAsia="zh-CN"/>
              </w:rPr>
              <w:t>1</w:t>
            </w:r>
          </w:p>
        </w:tc>
        <w:tc>
          <w:tcPr>
            <w:tcW w:w="239" w:type="pct"/>
            <w:tcBorders>
              <w:tl2br w:val="nil"/>
              <w:tr2bl w:val="nil"/>
            </w:tcBorders>
            <w:vAlign w:val="center"/>
          </w:tcPr>
          <w:p w14:paraId="22EA8A5A">
            <w:pPr>
              <w:pStyle w:val="86"/>
              <w:widowControl w:val="0"/>
              <w:spacing w:after="0"/>
              <w:ind w:left="0" w:leftChars="0" w:firstLine="0" w:firstLineChars="0"/>
              <w:jc w:val="center"/>
              <w:rPr>
                <w:rFonts w:cs="Times New Roman"/>
                <w:sz w:val="21"/>
                <w:lang w:eastAsia="en-US"/>
              </w:rPr>
            </w:pPr>
            <w:r>
              <w:rPr>
                <w:rFonts w:cs="Times New Roman"/>
                <w:sz w:val="21"/>
                <w:lang w:eastAsia="en-US"/>
              </w:rPr>
              <w:t>45.90</w:t>
            </w:r>
          </w:p>
        </w:tc>
        <w:tc>
          <w:tcPr>
            <w:tcW w:w="239" w:type="pct"/>
            <w:tcBorders>
              <w:tl2br w:val="nil"/>
              <w:tr2bl w:val="nil"/>
            </w:tcBorders>
            <w:vAlign w:val="center"/>
          </w:tcPr>
          <w:p w14:paraId="1ACA752A">
            <w:pPr>
              <w:pStyle w:val="86"/>
              <w:widowControl w:val="0"/>
              <w:spacing w:after="0"/>
              <w:ind w:left="0" w:leftChars="0" w:firstLine="0" w:firstLineChars="0"/>
              <w:jc w:val="center"/>
              <w:rPr>
                <w:rFonts w:cs="Times New Roman"/>
                <w:sz w:val="21"/>
                <w:lang w:eastAsia="en-US"/>
              </w:rPr>
            </w:pPr>
            <w:r>
              <w:rPr>
                <w:rFonts w:cs="Times New Roman"/>
                <w:sz w:val="21"/>
                <w:lang w:eastAsia="en-US"/>
              </w:rPr>
              <w:t>52.17</w:t>
            </w:r>
          </w:p>
        </w:tc>
        <w:tc>
          <w:tcPr>
            <w:tcW w:w="239" w:type="pct"/>
            <w:tcBorders>
              <w:tl2br w:val="nil"/>
              <w:tr2bl w:val="nil"/>
            </w:tcBorders>
            <w:vAlign w:val="center"/>
          </w:tcPr>
          <w:p w14:paraId="63FD9742">
            <w:pPr>
              <w:widowControl w:val="0"/>
              <w:jc w:val="center"/>
              <w:textAlignment w:val="bottom"/>
              <w:rPr>
                <w:rFonts w:cs="Times New Roman"/>
                <w:sz w:val="21"/>
                <w:lang w:eastAsia="en-US" w:bidi="ar"/>
              </w:rPr>
            </w:pPr>
            <w:r>
              <w:rPr>
                <w:rFonts w:cs="Times New Roman"/>
                <w:sz w:val="21"/>
                <w:lang w:eastAsia="en-US" w:bidi="ar"/>
              </w:rPr>
              <w:t>1.17</w:t>
            </w:r>
          </w:p>
        </w:tc>
        <w:tc>
          <w:tcPr>
            <w:tcW w:w="272" w:type="pct"/>
            <w:tcBorders>
              <w:tl2br w:val="nil"/>
              <w:tr2bl w:val="nil"/>
            </w:tcBorders>
            <w:vAlign w:val="center"/>
          </w:tcPr>
          <w:p w14:paraId="12A0B85D">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3ACD8527">
            <w:pPr>
              <w:pStyle w:val="86"/>
              <w:widowControl w:val="0"/>
              <w:spacing w:after="0"/>
              <w:ind w:left="0" w:leftChars="0" w:firstLine="0" w:firstLineChars="0"/>
              <w:jc w:val="center"/>
              <w:rPr>
                <w:rFonts w:cs="Times New Roman"/>
                <w:sz w:val="21"/>
                <w:lang w:eastAsia="zh-CN"/>
              </w:rPr>
            </w:pPr>
            <w:r>
              <w:rPr>
                <w:rFonts w:cs="Times New Roman"/>
                <w:sz w:val="21"/>
                <w:lang w:eastAsia="zh-CN"/>
              </w:rPr>
              <w:t>47.48</w:t>
            </w:r>
          </w:p>
        </w:tc>
        <w:tc>
          <w:tcPr>
            <w:tcW w:w="240" w:type="pct"/>
            <w:tcBorders>
              <w:tl2br w:val="nil"/>
              <w:tr2bl w:val="nil"/>
            </w:tcBorders>
            <w:vAlign w:val="center"/>
          </w:tcPr>
          <w:p w14:paraId="7979F9F0">
            <w:pPr>
              <w:pStyle w:val="86"/>
              <w:widowControl w:val="0"/>
              <w:spacing w:after="0"/>
              <w:ind w:left="0" w:leftChars="0" w:firstLine="0" w:firstLineChars="0"/>
              <w:jc w:val="center"/>
              <w:rPr>
                <w:rFonts w:cs="Times New Roman"/>
                <w:sz w:val="21"/>
                <w:lang w:eastAsia="zh-CN"/>
              </w:rPr>
            </w:pPr>
            <w:r>
              <w:rPr>
                <w:rFonts w:cs="Times New Roman"/>
                <w:sz w:val="21"/>
                <w:lang w:eastAsia="zh-CN"/>
              </w:rPr>
              <w:t>52.60</w:t>
            </w:r>
          </w:p>
        </w:tc>
        <w:tc>
          <w:tcPr>
            <w:tcW w:w="241" w:type="pct"/>
            <w:tcBorders>
              <w:tl2br w:val="nil"/>
              <w:tr2bl w:val="nil"/>
            </w:tcBorders>
            <w:vAlign w:val="center"/>
          </w:tcPr>
          <w:p w14:paraId="5776650C">
            <w:pPr>
              <w:widowControl w:val="0"/>
              <w:jc w:val="center"/>
              <w:textAlignment w:val="bottom"/>
              <w:rPr>
                <w:rFonts w:cs="Times New Roman"/>
                <w:sz w:val="21"/>
                <w:lang w:eastAsia="zh-CN" w:bidi="ar"/>
              </w:rPr>
            </w:pPr>
            <w:r>
              <w:rPr>
                <w:rFonts w:cs="Times New Roman"/>
                <w:sz w:val="21"/>
                <w:lang w:eastAsia="zh-CN" w:bidi="ar"/>
              </w:rPr>
              <w:t>1.60</w:t>
            </w:r>
          </w:p>
        </w:tc>
        <w:tc>
          <w:tcPr>
            <w:tcW w:w="266" w:type="pct"/>
            <w:tcBorders>
              <w:tl2br w:val="nil"/>
              <w:tr2bl w:val="nil"/>
            </w:tcBorders>
            <w:vAlign w:val="center"/>
          </w:tcPr>
          <w:p w14:paraId="740F56BF">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0B7FD1FB">
            <w:pPr>
              <w:pStyle w:val="86"/>
              <w:widowControl w:val="0"/>
              <w:spacing w:after="0"/>
              <w:ind w:left="0" w:leftChars="0" w:firstLine="0" w:firstLineChars="0"/>
              <w:jc w:val="center"/>
              <w:rPr>
                <w:rFonts w:cs="Times New Roman"/>
                <w:sz w:val="21"/>
                <w:lang w:eastAsia="en-US"/>
              </w:rPr>
            </w:pPr>
            <w:r>
              <w:rPr>
                <w:rFonts w:cs="Times New Roman"/>
                <w:sz w:val="21"/>
                <w:lang w:eastAsia="en-US"/>
              </w:rPr>
              <w:t>49.24</w:t>
            </w:r>
          </w:p>
        </w:tc>
        <w:tc>
          <w:tcPr>
            <w:tcW w:w="241" w:type="pct"/>
            <w:tcBorders>
              <w:tl2br w:val="nil"/>
              <w:tr2bl w:val="nil"/>
            </w:tcBorders>
            <w:vAlign w:val="center"/>
          </w:tcPr>
          <w:p w14:paraId="41A72F93">
            <w:pPr>
              <w:pStyle w:val="86"/>
              <w:widowControl w:val="0"/>
              <w:spacing w:after="0"/>
              <w:ind w:left="0" w:leftChars="0" w:firstLine="0" w:firstLineChars="0"/>
              <w:jc w:val="center"/>
              <w:rPr>
                <w:rFonts w:cs="Times New Roman"/>
                <w:sz w:val="21"/>
                <w:lang w:eastAsia="en-US"/>
              </w:rPr>
            </w:pPr>
            <w:r>
              <w:rPr>
                <w:rFonts w:cs="Times New Roman"/>
                <w:sz w:val="21"/>
                <w:lang w:eastAsia="en-US"/>
              </w:rPr>
              <w:t>53.22</w:t>
            </w:r>
          </w:p>
        </w:tc>
        <w:tc>
          <w:tcPr>
            <w:tcW w:w="241" w:type="pct"/>
            <w:tcBorders>
              <w:tl2br w:val="nil"/>
              <w:tr2bl w:val="nil"/>
            </w:tcBorders>
            <w:vAlign w:val="center"/>
          </w:tcPr>
          <w:p w14:paraId="45D8E661">
            <w:pPr>
              <w:widowControl w:val="0"/>
              <w:jc w:val="center"/>
              <w:textAlignment w:val="bottom"/>
              <w:rPr>
                <w:rFonts w:cs="Times New Roman"/>
                <w:sz w:val="21"/>
                <w:lang w:eastAsia="zh-CN" w:bidi="ar"/>
              </w:rPr>
            </w:pPr>
            <w:r>
              <w:rPr>
                <w:rFonts w:hint="eastAsia" w:cs="Times New Roman"/>
                <w:sz w:val="21"/>
                <w:lang w:eastAsia="zh-CN" w:bidi="ar"/>
              </w:rPr>
              <w:t>2</w:t>
            </w:r>
            <w:r>
              <w:rPr>
                <w:rFonts w:cs="Times New Roman"/>
                <w:sz w:val="21"/>
                <w:lang w:eastAsia="zh-CN" w:bidi="ar"/>
              </w:rPr>
              <w:t>.22</w:t>
            </w:r>
          </w:p>
        </w:tc>
        <w:tc>
          <w:tcPr>
            <w:tcW w:w="193" w:type="pct"/>
            <w:tcBorders>
              <w:tl2br w:val="nil"/>
              <w:tr2bl w:val="nil"/>
            </w:tcBorders>
            <w:vAlign w:val="center"/>
          </w:tcPr>
          <w:p w14:paraId="2D0AF81F">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0FE874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072E7B4E">
            <w:pPr>
              <w:widowControl w:val="0"/>
              <w:jc w:val="center"/>
              <w:textAlignment w:val="center"/>
              <w:rPr>
                <w:rFonts w:cs="Times New Roman"/>
                <w:sz w:val="21"/>
                <w:lang w:eastAsia="en-US"/>
              </w:rPr>
            </w:pPr>
          </w:p>
        </w:tc>
        <w:tc>
          <w:tcPr>
            <w:tcW w:w="422" w:type="pct"/>
            <w:vMerge w:val="continue"/>
            <w:tcBorders>
              <w:tl2br w:val="nil"/>
              <w:tr2bl w:val="nil"/>
            </w:tcBorders>
            <w:vAlign w:val="center"/>
          </w:tcPr>
          <w:p w14:paraId="1D3D040E">
            <w:pPr>
              <w:pStyle w:val="86"/>
              <w:widowControl w:val="0"/>
              <w:spacing w:after="0"/>
              <w:ind w:left="0" w:leftChars="0" w:firstLine="0" w:firstLineChars="0"/>
              <w:jc w:val="center"/>
              <w:rPr>
                <w:rFonts w:cs="Times New Roman"/>
                <w:sz w:val="21"/>
                <w:lang w:eastAsia="en-US"/>
              </w:rPr>
            </w:pPr>
          </w:p>
        </w:tc>
        <w:tc>
          <w:tcPr>
            <w:tcW w:w="244" w:type="pct"/>
            <w:vMerge w:val="continue"/>
            <w:tcBorders>
              <w:tl2br w:val="nil"/>
              <w:tr2bl w:val="nil"/>
            </w:tcBorders>
            <w:vAlign w:val="center"/>
          </w:tcPr>
          <w:p w14:paraId="48D140B6">
            <w:pPr>
              <w:pStyle w:val="86"/>
              <w:widowControl w:val="0"/>
              <w:spacing w:after="0"/>
              <w:ind w:left="0" w:leftChars="0" w:firstLine="0" w:firstLineChars="0"/>
              <w:jc w:val="center"/>
              <w:rPr>
                <w:rFonts w:cs="Times New Roman"/>
                <w:sz w:val="21"/>
                <w:lang w:eastAsia="en-US"/>
              </w:rPr>
            </w:pPr>
          </w:p>
        </w:tc>
        <w:tc>
          <w:tcPr>
            <w:tcW w:w="213" w:type="pct"/>
            <w:tcBorders>
              <w:tl2br w:val="nil"/>
              <w:tr2bl w:val="nil"/>
            </w:tcBorders>
            <w:vAlign w:val="center"/>
          </w:tcPr>
          <w:p w14:paraId="1EAC65BA">
            <w:pPr>
              <w:pStyle w:val="86"/>
              <w:widowControl w:val="0"/>
              <w:spacing w:after="0"/>
              <w:ind w:left="0" w:leftChars="0" w:firstLine="0" w:firstLineChars="0"/>
              <w:jc w:val="center"/>
              <w:rPr>
                <w:rFonts w:cs="Times New Roman"/>
                <w:sz w:val="21"/>
                <w:lang w:eastAsia="en-US"/>
              </w:rPr>
            </w:pPr>
            <w:r>
              <w:rPr>
                <w:rFonts w:cs="Times New Roman"/>
                <w:sz w:val="21"/>
                <w:lang w:eastAsia="en-US"/>
              </w:rPr>
              <w:t>夜间</w:t>
            </w:r>
          </w:p>
        </w:tc>
        <w:tc>
          <w:tcPr>
            <w:tcW w:w="277" w:type="pct"/>
            <w:tcBorders>
              <w:tl2br w:val="nil"/>
              <w:tr2bl w:val="nil"/>
            </w:tcBorders>
            <w:vAlign w:val="center"/>
          </w:tcPr>
          <w:p w14:paraId="56C761B7">
            <w:pPr>
              <w:pStyle w:val="86"/>
              <w:widowControl w:val="0"/>
              <w:spacing w:after="0"/>
              <w:ind w:left="0" w:leftChars="0" w:firstLine="0" w:firstLineChars="0"/>
              <w:jc w:val="center"/>
              <w:rPr>
                <w:rFonts w:cs="Times New Roman"/>
                <w:sz w:val="21"/>
                <w:lang w:eastAsia="en-US"/>
              </w:rPr>
            </w:pPr>
            <w:r>
              <w:rPr>
                <w:rFonts w:cs="Times New Roman"/>
                <w:sz w:val="21"/>
                <w:lang w:eastAsia="en-US"/>
              </w:rPr>
              <w:t>55</w:t>
            </w:r>
          </w:p>
        </w:tc>
        <w:tc>
          <w:tcPr>
            <w:tcW w:w="292" w:type="pct"/>
            <w:tcBorders>
              <w:tl2br w:val="nil"/>
              <w:tr2bl w:val="nil"/>
            </w:tcBorders>
            <w:vAlign w:val="center"/>
          </w:tcPr>
          <w:p w14:paraId="39FC9ED2">
            <w:pPr>
              <w:widowControl w:val="0"/>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1</w:t>
            </w:r>
          </w:p>
        </w:tc>
        <w:tc>
          <w:tcPr>
            <w:tcW w:w="302" w:type="pct"/>
            <w:tcBorders>
              <w:tl2br w:val="nil"/>
              <w:tr2bl w:val="nil"/>
            </w:tcBorders>
            <w:vAlign w:val="center"/>
          </w:tcPr>
          <w:p w14:paraId="2B65A300">
            <w:pPr>
              <w:widowControl w:val="0"/>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1</w:t>
            </w:r>
          </w:p>
        </w:tc>
        <w:tc>
          <w:tcPr>
            <w:tcW w:w="239" w:type="pct"/>
            <w:tcBorders>
              <w:tl2br w:val="nil"/>
              <w:tr2bl w:val="nil"/>
            </w:tcBorders>
            <w:vAlign w:val="center"/>
          </w:tcPr>
          <w:p w14:paraId="752B0021">
            <w:pPr>
              <w:pStyle w:val="86"/>
              <w:widowControl w:val="0"/>
              <w:spacing w:after="0"/>
              <w:ind w:left="0" w:leftChars="0" w:firstLine="0" w:firstLineChars="0"/>
              <w:jc w:val="center"/>
              <w:rPr>
                <w:rFonts w:cs="Times New Roman"/>
                <w:sz w:val="21"/>
                <w:lang w:eastAsia="en-US"/>
              </w:rPr>
            </w:pPr>
            <w:r>
              <w:rPr>
                <w:rFonts w:cs="Times New Roman"/>
                <w:sz w:val="21"/>
                <w:lang w:eastAsia="en-US"/>
              </w:rPr>
              <w:t>43.61</w:t>
            </w:r>
          </w:p>
        </w:tc>
        <w:tc>
          <w:tcPr>
            <w:tcW w:w="239" w:type="pct"/>
            <w:tcBorders>
              <w:tl2br w:val="nil"/>
              <w:tr2bl w:val="nil"/>
            </w:tcBorders>
            <w:vAlign w:val="center"/>
          </w:tcPr>
          <w:p w14:paraId="0DB0D69F">
            <w:pPr>
              <w:pStyle w:val="86"/>
              <w:widowControl w:val="0"/>
              <w:spacing w:after="0"/>
              <w:ind w:left="0" w:leftChars="0" w:firstLine="0" w:firstLineChars="0"/>
              <w:jc w:val="center"/>
              <w:rPr>
                <w:rFonts w:cs="Times New Roman"/>
                <w:sz w:val="21"/>
                <w:lang w:eastAsia="en-US"/>
              </w:rPr>
            </w:pPr>
            <w:r>
              <w:rPr>
                <w:rFonts w:cs="Times New Roman"/>
                <w:sz w:val="21"/>
                <w:lang w:eastAsia="en-US"/>
              </w:rPr>
              <w:t>45.51</w:t>
            </w:r>
          </w:p>
        </w:tc>
        <w:tc>
          <w:tcPr>
            <w:tcW w:w="239" w:type="pct"/>
            <w:tcBorders>
              <w:tl2br w:val="nil"/>
              <w:tr2bl w:val="nil"/>
            </w:tcBorders>
            <w:vAlign w:val="center"/>
          </w:tcPr>
          <w:p w14:paraId="54264323">
            <w:pPr>
              <w:widowControl w:val="0"/>
              <w:jc w:val="center"/>
              <w:textAlignment w:val="bottom"/>
              <w:rPr>
                <w:rFonts w:cs="Times New Roman"/>
                <w:sz w:val="21"/>
                <w:lang w:eastAsia="en-US" w:bidi="ar"/>
              </w:rPr>
            </w:pPr>
            <w:r>
              <w:rPr>
                <w:rFonts w:cs="Times New Roman"/>
                <w:sz w:val="21"/>
                <w:lang w:eastAsia="en-US" w:bidi="ar"/>
              </w:rPr>
              <w:t>4.51</w:t>
            </w:r>
          </w:p>
        </w:tc>
        <w:tc>
          <w:tcPr>
            <w:tcW w:w="272" w:type="pct"/>
            <w:tcBorders>
              <w:tl2br w:val="nil"/>
              <w:tr2bl w:val="nil"/>
            </w:tcBorders>
            <w:vAlign w:val="center"/>
          </w:tcPr>
          <w:p w14:paraId="5AEA8A74">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72CE5DD4">
            <w:pPr>
              <w:pStyle w:val="86"/>
              <w:widowControl w:val="0"/>
              <w:spacing w:after="0"/>
              <w:ind w:left="0" w:leftChars="0" w:firstLine="0" w:firstLineChars="0"/>
              <w:jc w:val="center"/>
              <w:rPr>
                <w:rFonts w:cs="Times New Roman"/>
                <w:sz w:val="21"/>
                <w:lang w:eastAsia="zh-CN"/>
              </w:rPr>
            </w:pPr>
            <w:r>
              <w:rPr>
                <w:rFonts w:cs="Times New Roman"/>
                <w:sz w:val="21"/>
                <w:lang w:eastAsia="zh-CN"/>
              </w:rPr>
              <w:t>45.21</w:t>
            </w:r>
          </w:p>
        </w:tc>
        <w:tc>
          <w:tcPr>
            <w:tcW w:w="240" w:type="pct"/>
            <w:tcBorders>
              <w:tl2br w:val="nil"/>
              <w:tr2bl w:val="nil"/>
            </w:tcBorders>
            <w:vAlign w:val="center"/>
          </w:tcPr>
          <w:p w14:paraId="71F2781D">
            <w:pPr>
              <w:pStyle w:val="86"/>
              <w:widowControl w:val="0"/>
              <w:spacing w:after="0"/>
              <w:ind w:left="0" w:leftChars="0" w:firstLine="0" w:firstLineChars="0"/>
              <w:jc w:val="center"/>
              <w:rPr>
                <w:rFonts w:cs="Times New Roman"/>
                <w:sz w:val="21"/>
                <w:lang w:eastAsia="zh-CN"/>
              </w:rPr>
            </w:pPr>
            <w:r>
              <w:rPr>
                <w:rFonts w:cs="Times New Roman"/>
                <w:sz w:val="21"/>
                <w:lang w:eastAsia="zh-CN"/>
              </w:rPr>
              <w:t>46.61</w:t>
            </w:r>
          </w:p>
        </w:tc>
        <w:tc>
          <w:tcPr>
            <w:tcW w:w="241" w:type="pct"/>
            <w:tcBorders>
              <w:tl2br w:val="nil"/>
              <w:tr2bl w:val="nil"/>
            </w:tcBorders>
            <w:vAlign w:val="center"/>
          </w:tcPr>
          <w:p w14:paraId="7DF6D22A">
            <w:pPr>
              <w:widowControl w:val="0"/>
              <w:jc w:val="center"/>
              <w:textAlignment w:val="bottom"/>
              <w:rPr>
                <w:rFonts w:cs="Times New Roman"/>
                <w:sz w:val="21"/>
                <w:lang w:eastAsia="zh-CN" w:bidi="ar"/>
              </w:rPr>
            </w:pPr>
            <w:r>
              <w:rPr>
                <w:rFonts w:cs="Times New Roman"/>
                <w:sz w:val="21"/>
                <w:lang w:eastAsia="zh-CN" w:bidi="ar"/>
              </w:rPr>
              <w:t>5.61</w:t>
            </w:r>
          </w:p>
        </w:tc>
        <w:tc>
          <w:tcPr>
            <w:tcW w:w="266" w:type="pct"/>
            <w:tcBorders>
              <w:tl2br w:val="nil"/>
              <w:tr2bl w:val="nil"/>
            </w:tcBorders>
            <w:vAlign w:val="center"/>
          </w:tcPr>
          <w:p w14:paraId="00E9892D">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1A4036D3">
            <w:pPr>
              <w:pStyle w:val="86"/>
              <w:widowControl w:val="0"/>
              <w:spacing w:after="0"/>
              <w:ind w:left="0" w:leftChars="0" w:firstLine="0" w:firstLineChars="0"/>
              <w:jc w:val="center"/>
              <w:rPr>
                <w:rFonts w:cs="Times New Roman"/>
                <w:sz w:val="21"/>
                <w:lang w:eastAsia="en-US"/>
              </w:rPr>
            </w:pPr>
            <w:r>
              <w:rPr>
                <w:rFonts w:cs="Times New Roman"/>
                <w:sz w:val="21"/>
                <w:lang w:eastAsia="en-US"/>
              </w:rPr>
              <w:t>46.95</w:t>
            </w:r>
          </w:p>
        </w:tc>
        <w:tc>
          <w:tcPr>
            <w:tcW w:w="241" w:type="pct"/>
            <w:tcBorders>
              <w:tl2br w:val="nil"/>
              <w:tr2bl w:val="nil"/>
            </w:tcBorders>
            <w:vAlign w:val="center"/>
          </w:tcPr>
          <w:p w14:paraId="2C840E54">
            <w:pPr>
              <w:pStyle w:val="86"/>
              <w:widowControl w:val="0"/>
              <w:spacing w:after="0"/>
              <w:ind w:left="0" w:leftChars="0" w:firstLine="0" w:firstLineChars="0"/>
              <w:jc w:val="center"/>
              <w:rPr>
                <w:rFonts w:cs="Times New Roman"/>
                <w:sz w:val="21"/>
                <w:lang w:eastAsia="en-US"/>
              </w:rPr>
            </w:pPr>
            <w:r>
              <w:rPr>
                <w:rFonts w:cs="Times New Roman"/>
                <w:sz w:val="21"/>
                <w:lang w:eastAsia="en-US"/>
              </w:rPr>
              <w:t>47.93</w:t>
            </w:r>
          </w:p>
        </w:tc>
        <w:tc>
          <w:tcPr>
            <w:tcW w:w="241" w:type="pct"/>
            <w:tcBorders>
              <w:tl2br w:val="nil"/>
              <w:tr2bl w:val="nil"/>
            </w:tcBorders>
            <w:vAlign w:val="center"/>
          </w:tcPr>
          <w:p w14:paraId="61266B0B">
            <w:pPr>
              <w:widowControl w:val="0"/>
              <w:jc w:val="center"/>
              <w:textAlignment w:val="bottom"/>
              <w:rPr>
                <w:rFonts w:cs="Times New Roman"/>
                <w:sz w:val="21"/>
                <w:lang w:eastAsia="zh-CN" w:bidi="ar"/>
              </w:rPr>
            </w:pPr>
            <w:r>
              <w:rPr>
                <w:rFonts w:hint="eastAsia" w:cs="Times New Roman"/>
                <w:sz w:val="21"/>
                <w:lang w:eastAsia="zh-CN" w:bidi="ar"/>
              </w:rPr>
              <w:t>6</w:t>
            </w:r>
            <w:r>
              <w:rPr>
                <w:rFonts w:cs="Times New Roman"/>
                <w:sz w:val="21"/>
                <w:lang w:eastAsia="zh-CN" w:bidi="ar"/>
              </w:rPr>
              <w:t>.93</w:t>
            </w:r>
          </w:p>
        </w:tc>
        <w:tc>
          <w:tcPr>
            <w:tcW w:w="193" w:type="pct"/>
            <w:tcBorders>
              <w:tl2br w:val="nil"/>
              <w:tr2bl w:val="nil"/>
            </w:tcBorders>
            <w:vAlign w:val="center"/>
          </w:tcPr>
          <w:p w14:paraId="19E561DF">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33E0A0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63BC5188">
            <w:pPr>
              <w:widowControl w:val="0"/>
              <w:jc w:val="center"/>
              <w:textAlignment w:val="center"/>
              <w:rPr>
                <w:rFonts w:cs="Times New Roman"/>
                <w:sz w:val="21"/>
                <w:lang w:eastAsia="en-US"/>
              </w:rPr>
            </w:pPr>
          </w:p>
        </w:tc>
        <w:tc>
          <w:tcPr>
            <w:tcW w:w="422" w:type="pct"/>
            <w:vMerge w:val="continue"/>
            <w:tcBorders>
              <w:tl2br w:val="nil"/>
              <w:tr2bl w:val="nil"/>
            </w:tcBorders>
            <w:vAlign w:val="center"/>
          </w:tcPr>
          <w:p w14:paraId="4A90C10C">
            <w:pPr>
              <w:pStyle w:val="86"/>
              <w:widowControl w:val="0"/>
              <w:spacing w:after="0"/>
              <w:ind w:left="0" w:leftChars="0" w:firstLine="0" w:firstLineChars="0"/>
              <w:jc w:val="center"/>
              <w:rPr>
                <w:rFonts w:cs="Times New Roman"/>
                <w:sz w:val="21"/>
                <w:lang w:eastAsia="en-US"/>
              </w:rPr>
            </w:pPr>
          </w:p>
        </w:tc>
        <w:tc>
          <w:tcPr>
            <w:tcW w:w="244" w:type="pct"/>
            <w:vMerge w:val="restart"/>
            <w:tcBorders>
              <w:tl2br w:val="nil"/>
              <w:tr2bl w:val="nil"/>
            </w:tcBorders>
            <w:vAlign w:val="center"/>
          </w:tcPr>
          <w:p w14:paraId="2E4ABFC1">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2</w:t>
            </w:r>
          </w:p>
        </w:tc>
        <w:tc>
          <w:tcPr>
            <w:tcW w:w="213" w:type="pct"/>
            <w:tcBorders>
              <w:tl2br w:val="nil"/>
              <w:tr2bl w:val="nil"/>
            </w:tcBorders>
            <w:vAlign w:val="center"/>
          </w:tcPr>
          <w:p w14:paraId="04AB1327">
            <w:pPr>
              <w:pStyle w:val="86"/>
              <w:widowControl w:val="0"/>
              <w:spacing w:after="0"/>
              <w:ind w:left="0" w:leftChars="0" w:firstLine="0" w:firstLineChars="0"/>
              <w:jc w:val="center"/>
              <w:rPr>
                <w:rFonts w:cs="Times New Roman"/>
                <w:sz w:val="21"/>
                <w:lang w:eastAsia="en-US"/>
              </w:rPr>
            </w:pPr>
            <w:r>
              <w:rPr>
                <w:rFonts w:cs="Times New Roman"/>
                <w:sz w:val="21"/>
                <w:lang w:eastAsia="en-US"/>
              </w:rPr>
              <w:t>昼间</w:t>
            </w:r>
          </w:p>
        </w:tc>
        <w:tc>
          <w:tcPr>
            <w:tcW w:w="277" w:type="pct"/>
            <w:tcBorders>
              <w:tl2br w:val="nil"/>
              <w:tr2bl w:val="nil"/>
            </w:tcBorders>
            <w:vAlign w:val="center"/>
          </w:tcPr>
          <w:p w14:paraId="320A6FF3">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60</w:t>
            </w:r>
          </w:p>
        </w:tc>
        <w:tc>
          <w:tcPr>
            <w:tcW w:w="292" w:type="pct"/>
            <w:tcBorders>
              <w:tl2br w:val="nil"/>
              <w:tr2bl w:val="nil"/>
            </w:tcBorders>
            <w:vAlign w:val="center"/>
          </w:tcPr>
          <w:p w14:paraId="55757A45">
            <w:pPr>
              <w:widowControl w:val="0"/>
              <w:jc w:val="center"/>
              <w:textAlignment w:val="bottom"/>
              <w:rPr>
                <w:rFonts w:cs="Times New Roman"/>
                <w:sz w:val="21"/>
                <w:lang w:eastAsia="en-US"/>
              </w:rPr>
            </w:pPr>
            <w:r>
              <w:rPr>
                <w:rFonts w:hint="eastAsia" w:cs="Times New Roman"/>
                <w:sz w:val="21"/>
                <w:lang w:eastAsia="zh-CN"/>
              </w:rPr>
              <w:t>5</w:t>
            </w:r>
            <w:r>
              <w:rPr>
                <w:rFonts w:cs="Times New Roman"/>
                <w:sz w:val="21"/>
                <w:lang w:eastAsia="zh-CN"/>
              </w:rPr>
              <w:t>1</w:t>
            </w:r>
          </w:p>
        </w:tc>
        <w:tc>
          <w:tcPr>
            <w:tcW w:w="302" w:type="pct"/>
            <w:tcBorders>
              <w:tl2br w:val="nil"/>
              <w:tr2bl w:val="nil"/>
            </w:tcBorders>
            <w:vAlign w:val="center"/>
          </w:tcPr>
          <w:p w14:paraId="16E07D5D">
            <w:pPr>
              <w:widowControl w:val="0"/>
              <w:jc w:val="center"/>
              <w:textAlignment w:val="bottom"/>
              <w:rPr>
                <w:rFonts w:cs="Times New Roman"/>
                <w:sz w:val="21"/>
                <w:lang w:eastAsia="en-US"/>
              </w:rPr>
            </w:pPr>
            <w:r>
              <w:rPr>
                <w:rFonts w:hint="eastAsia" w:cs="Times New Roman"/>
                <w:sz w:val="21"/>
                <w:lang w:eastAsia="zh-CN"/>
              </w:rPr>
              <w:t>5</w:t>
            </w:r>
            <w:r>
              <w:rPr>
                <w:rFonts w:cs="Times New Roman"/>
                <w:sz w:val="21"/>
                <w:lang w:eastAsia="zh-CN"/>
              </w:rPr>
              <w:t>1</w:t>
            </w:r>
          </w:p>
        </w:tc>
        <w:tc>
          <w:tcPr>
            <w:tcW w:w="239" w:type="pct"/>
            <w:tcBorders>
              <w:tl2br w:val="nil"/>
              <w:tr2bl w:val="nil"/>
            </w:tcBorders>
            <w:vAlign w:val="center"/>
          </w:tcPr>
          <w:p w14:paraId="3D361986">
            <w:pPr>
              <w:pStyle w:val="86"/>
              <w:widowControl w:val="0"/>
              <w:spacing w:after="0"/>
              <w:ind w:left="0" w:leftChars="0" w:firstLine="0" w:firstLineChars="0"/>
              <w:jc w:val="center"/>
              <w:rPr>
                <w:rFonts w:cs="Times New Roman"/>
                <w:sz w:val="21"/>
                <w:lang w:eastAsia="en-US"/>
              </w:rPr>
            </w:pPr>
            <w:r>
              <w:rPr>
                <w:rFonts w:cs="Times New Roman"/>
                <w:sz w:val="21"/>
                <w:lang w:eastAsia="en-US"/>
              </w:rPr>
              <w:t>45.90</w:t>
            </w:r>
          </w:p>
        </w:tc>
        <w:tc>
          <w:tcPr>
            <w:tcW w:w="239" w:type="pct"/>
            <w:tcBorders>
              <w:tl2br w:val="nil"/>
              <w:tr2bl w:val="nil"/>
            </w:tcBorders>
            <w:vAlign w:val="center"/>
          </w:tcPr>
          <w:p w14:paraId="5F7E011F">
            <w:pPr>
              <w:pStyle w:val="86"/>
              <w:widowControl w:val="0"/>
              <w:spacing w:after="0"/>
              <w:ind w:left="0" w:leftChars="0" w:firstLine="0" w:firstLineChars="0"/>
              <w:jc w:val="center"/>
              <w:rPr>
                <w:rFonts w:cs="Times New Roman"/>
                <w:sz w:val="21"/>
                <w:lang w:eastAsia="en-US"/>
              </w:rPr>
            </w:pPr>
            <w:r>
              <w:rPr>
                <w:rFonts w:cs="Times New Roman"/>
                <w:sz w:val="21"/>
                <w:lang w:eastAsia="en-US"/>
              </w:rPr>
              <w:t>52.17</w:t>
            </w:r>
          </w:p>
        </w:tc>
        <w:tc>
          <w:tcPr>
            <w:tcW w:w="239" w:type="pct"/>
            <w:tcBorders>
              <w:tl2br w:val="nil"/>
              <w:tr2bl w:val="nil"/>
            </w:tcBorders>
            <w:vAlign w:val="center"/>
          </w:tcPr>
          <w:p w14:paraId="7FFDDB20">
            <w:pPr>
              <w:widowControl w:val="0"/>
              <w:jc w:val="center"/>
              <w:textAlignment w:val="bottom"/>
              <w:rPr>
                <w:rFonts w:cs="Times New Roman"/>
                <w:sz w:val="21"/>
                <w:lang w:eastAsia="en-US" w:bidi="ar"/>
              </w:rPr>
            </w:pPr>
            <w:r>
              <w:rPr>
                <w:rFonts w:cs="Times New Roman"/>
                <w:sz w:val="21"/>
                <w:lang w:eastAsia="en-US" w:bidi="ar"/>
              </w:rPr>
              <w:t>1.17</w:t>
            </w:r>
          </w:p>
        </w:tc>
        <w:tc>
          <w:tcPr>
            <w:tcW w:w="272" w:type="pct"/>
            <w:tcBorders>
              <w:tl2br w:val="nil"/>
              <w:tr2bl w:val="nil"/>
            </w:tcBorders>
            <w:vAlign w:val="center"/>
          </w:tcPr>
          <w:p w14:paraId="48CC44CC">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5F782EC8">
            <w:pPr>
              <w:pStyle w:val="86"/>
              <w:widowControl w:val="0"/>
              <w:spacing w:after="0"/>
              <w:ind w:left="0" w:leftChars="0" w:firstLine="0" w:firstLineChars="0"/>
              <w:jc w:val="center"/>
              <w:rPr>
                <w:rFonts w:cs="Times New Roman"/>
                <w:sz w:val="21"/>
                <w:lang w:eastAsia="en-US"/>
              </w:rPr>
            </w:pPr>
            <w:r>
              <w:rPr>
                <w:rFonts w:cs="Times New Roman"/>
                <w:sz w:val="21"/>
                <w:lang w:eastAsia="zh-CN"/>
              </w:rPr>
              <w:t>47.48</w:t>
            </w:r>
          </w:p>
        </w:tc>
        <w:tc>
          <w:tcPr>
            <w:tcW w:w="240" w:type="pct"/>
            <w:tcBorders>
              <w:tl2br w:val="nil"/>
              <w:tr2bl w:val="nil"/>
            </w:tcBorders>
            <w:vAlign w:val="center"/>
          </w:tcPr>
          <w:p w14:paraId="20A7A558">
            <w:pPr>
              <w:pStyle w:val="86"/>
              <w:widowControl w:val="0"/>
              <w:spacing w:after="0"/>
              <w:ind w:left="0" w:leftChars="0" w:firstLine="0" w:firstLineChars="0"/>
              <w:jc w:val="center"/>
              <w:rPr>
                <w:rFonts w:cs="Times New Roman"/>
                <w:sz w:val="21"/>
                <w:lang w:eastAsia="en-US"/>
              </w:rPr>
            </w:pPr>
            <w:r>
              <w:rPr>
                <w:rFonts w:cs="Times New Roman"/>
                <w:sz w:val="21"/>
                <w:lang w:eastAsia="zh-CN"/>
              </w:rPr>
              <w:t>52.60</w:t>
            </w:r>
          </w:p>
        </w:tc>
        <w:tc>
          <w:tcPr>
            <w:tcW w:w="241" w:type="pct"/>
            <w:tcBorders>
              <w:tl2br w:val="nil"/>
              <w:tr2bl w:val="nil"/>
            </w:tcBorders>
            <w:vAlign w:val="center"/>
          </w:tcPr>
          <w:p w14:paraId="5A7EF004">
            <w:pPr>
              <w:widowControl w:val="0"/>
              <w:jc w:val="center"/>
              <w:textAlignment w:val="bottom"/>
              <w:rPr>
                <w:rFonts w:cs="Times New Roman"/>
                <w:sz w:val="21"/>
                <w:lang w:eastAsia="en-US" w:bidi="ar"/>
              </w:rPr>
            </w:pPr>
            <w:r>
              <w:rPr>
                <w:rFonts w:cs="Times New Roman"/>
                <w:sz w:val="21"/>
                <w:lang w:eastAsia="zh-CN" w:bidi="ar"/>
              </w:rPr>
              <w:t>1.60</w:t>
            </w:r>
          </w:p>
        </w:tc>
        <w:tc>
          <w:tcPr>
            <w:tcW w:w="266" w:type="pct"/>
            <w:tcBorders>
              <w:tl2br w:val="nil"/>
              <w:tr2bl w:val="nil"/>
            </w:tcBorders>
            <w:vAlign w:val="center"/>
          </w:tcPr>
          <w:p w14:paraId="52CABB7E">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4687BC25">
            <w:pPr>
              <w:pStyle w:val="86"/>
              <w:widowControl w:val="0"/>
              <w:spacing w:after="0"/>
              <w:ind w:left="0" w:leftChars="0" w:firstLine="0" w:firstLineChars="0"/>
              <w:jc w:val="center"/>
              <w:rPr>
                <w:rFonts w:cs="Times New Roman"/>
                <w:sz w:val="21"/>
                <w:lang w:eastAsia="en-US"/>
              </w:rPr>
            </w:pPr>
            <w:r>
              <w:rPr>
                <w:rFonts w:cs="Times New Roman"/>
                <w:sz w:val="21"/>
                <w:lang w:eastAsia="en-US"/>
              </w:rPr>
              <w:t>49.24</w:t>
            </w:r>
          </w:p>
        </w:tc>
        <w:tc>
          <w:tcPr>
            <w:tcW w:w="241" w:type="pct"/>
            <w:tcBorders>
              <w:tl2br w:val="nil"/>
              <w:tr2bl w:val="nil"/>
            </w:tcBorders>
            <w:vAlign w:val="center"/>
          </w:tcPr>
          <w:p w14:paraId="6049BC71">
            <w:pPr>
              <w:pStyle w:val="86"/>
              <w:widowControl w:val="0"/>
              <w:spacing w:after="0"/>
              <w:ind w:left="0" w:leftChars="0" w:firstLine="0" w:firstLineChars="0"/>
              <w:jc w:val="center"/>
              <w:rPr>
                <w:rFonts w:cs="Times New Roman"/>
                <w:sz w:val="21"/>
                <w:lang w:eastAsia="en-US"/>
              </w:rPr>
            </w:pPr>
            <w:r>
              <w:rPr>
                <w:rFonts w:cs="Times New Roman"/>
                <w:sz w:val="21"/>
                <w:lang w:eastAsia="en-US"/>
              </w:rPr>
              <w:t>53.22</w:t>
            </w:r>
          </w:p>
        </w:tc>
        <w:tc>
          <w:tcPr>
            <w:tcW w:w="241" w:type="pct"/>
            <w:tcBorders>
              <w:tl2br w:val="nil"/>
              <w:tr2bl w:val="nil"/>
            </w:tcBorders>
            <w:vAlign w:val="center"/>
          </w:tcPr>
          <w:p w14:paraId="07CF3590">
            <w:pPr>
              <w:widowControl w:val="0"/>
              <w:jc w:val="center"/>
              <w:textAlignment w:val="bottom"/>
              <w:rPr>
                <w:rFonts w:cs="Times New Roman"/>
                <w:sz w:val="21"/>
                <w:lang w:eastAsia="en-US" w:bidi="ar"/>
              </w:rPr>
            </w:pPr>
            <w:r>
              <w:rPr>
                <w:rFonts w:hint="eastAsia" w:cs="Times New Roman"/>
                <w:sz w:val="21"/>
                <w:lang w:eastAsia="zh-CN" w:bidi="ar"/>
              </w:rPr>
              <w:t>2</w:t>
            </w:r>
            <w:r>
              <w:rPr>
                <w:rFonts w:cs="Times New Roman"/>
                <w:sz w:val="21"/>
                <w:lang w:eastAsia="zh-CN" w:bidi="ar"/>
              </w:rPr>
              <w:t>.22</w:t>
            </w:r>
          </w:p>
        </w:tc>
        <w:tc>
          <w:tcPr>
            <w:tcW w:w="193" w:type="pct"/>
            <w:tcBorders>
              <w:tl2br w:val="nil"/>
              <w:tr2bl w:val="nil"/>
            </w:tcBorders>
            <w:vAlign w:val="center"/>
          </w:tcPr>
          <w:p w14:paraId="3346881D">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57A6B4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4B6F5C76">
            <w:pPr>
              <w:widowControl w:val="0"/>
              <w:jc w:val="center"/>
              <w:textAlignment w:val="center"/>
              <w:rPr>
                <w:rFonts w:cs="Times New Roman"/>
                <w:sz w:val="21"/>
                <w:lang w:eastAsia="en-US"/>
              </w:rPr>
            </w:pPr>
          </w:p>
        </w:tc>
        <w:tc>
          <w:tcPr>
            <w:tcW w:w="422" w:type="pct"/>
            <w:vMerge w:val="continue"/>
            <w:tcBorders>
              <w:tl2br w:val="nil"/>
              <w:tr2bl w:val="nil"/>
            </w:tcBorders>
            <w:vAlign w:val="center"/>
          </w:tcPr>
          <w:p w14:paraId="0A3AE5B9">
            <w:pPr>
              <w:pStyle w:val="86"/>
              <w:widowControl w:val="0"/>
              <w:spacing w:after="0"/>
              <w:ind w:left="0" w:leftChars="0" w:firstLine="0" w:firstLineChars="0"/>
              <w:jc w:val="center"/>
              <w:rPr>
                <w:rFonts w:cs="Times New Roman"/>
                <w:sz w:val="21"/>
                <w:lang w:eastAsia="en-US"/>
              </w:rPr>
            </w:pPr>
          </w:p>
        </w:tc>
        <w:tc>
          <w:tcPr>
            <w:tcW w:w="244" w:type="pct"/>
            <w:vMerge w:val="continue"/>
            <w:tcBorders>
              <w:tl2br w:val="nil"/>
              <w:tr2bl w:val="nil"/>
            </w:tcBorders>
            <w:vAlign w:val="center"/>
          </w:tcPr>
          <w:p w14:paraId="108BAF4B">
            <w:pPr>
              <w:pStyle w:val="86"/>
              <w:widowControl w:val="0"/>
              <w:spacing w:after="0"/>
              <w:ind w:left="0" w:leftChars="0" w:firstLine="0" w:firstLineChars="0"/>
              <w:jc w:val="center"/>
              <w:rPr>
                <w:rFonts w:cs="Times New Roman"/>
                <w:sz w:val="21"/>
                <w:lang w:eastAsia="en-US"/>
              </w:rPr>
            </w:pPr>
          </w:p>
        </w:tc>
        <w:tc>
          <w:tcPr>
            <w:tcW w:w="213" w:type="pct"/>
            <w:tcBorders>
              <w:tl2br w:val="nil"/>
              <w:tr2bl w:val="nil"/>
            </w:tcBorders>
            <w:vAlign w:val="center"/>
          </w:tcPr>
          <w:p w14:paraId="59D095DA">
            <w:pPr>
              <w:pStyle w:val="86"/>
              <w:widowControl w:val="0"/>
              <w:spacing w:after="0"/>
              <w:ind w:left="0" w:leftChars="0" w:firstLine="0" w:firstLineChars="0"/>
              <w:jc w:val="center"/>
              <w:rPr>
                <w:rFonts w:cs="Times New Roman"/>
                <w:sz w:val="21"/>
                <w:lang w:eastAsia="en-US"/>
              </w:rPr>
            </w:pPr>
            <w:r>
              <w:rPr>
                <w:rFonts w:cs="Times New Roman"/>
                <w:sz w:val="21"/>
                <w:lang w:eastAsia="en-US"/>
              </w:rPr>
              <w:t>夜间</w:t>
            </w:r>
          </w:p>
        </w:tc>
        <w:tc>
          <w:tcPr>
            <w:tcW w:w="277" w:type="pct"/>
            <w:tcBorders>
              <w:tl2br w:val="nil"/>
              <w:tr2bl w:val="nil"/>
            </w:tcBorders>
            <w:vAlign w:val="center"/>
          </w:tcPr>
          <w:p w14:paraId="3211C295">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50</w:t>
            </w:r>
          </w:p>
        </w:tc>
        <w:tc>
          <w:tcPr>
            <w:tcW w:w="292" w:type="pct"/>
            <w:tcBorders>
              <w:tl2br w:val="nil"/>
              <w:tr2bl w:val="nil"/>
            </w:tcBorders>
            <w:vAlign w:val="center"/>
          </w:tcPr>
          <w:p w14:paraId="6E62A7AA">
            <w:pPr>
              <w:widowControl w:val="0"/>
              <w:jc w:val="center"/>
              <w:textAlignment w:val="bottom"/>
              <w:rPr>
                <w:rFonts w:cs="Times New Roman"/>
                <w:sz w:val="21"/>
                <w:lang w:eastAsia="en-US"/>
              </w:rPr>
            </w:pPr>
            <w:r>
              <w:rPr>
                <w:rFonts w:hint="eastAsia" w:cs="Times New Roman"/>
                <w:sz w:val="21"/>
                <w:lang w:eastAsia="zh-CN"/>
              </w:rPr>
              <w:t>4</w:t>
            </w:r>
            <w:r>
              <w:rPr>
                <w:rFonts w:cs="Times New Roman"/>
                <w:sz w:val="21"/>
                <w:lang w:eastAsia="zh-CN"/>
              </w:rPr>
              <w:t>1</w:t>
            </w:r>
          </w:p>
        </w:tc>
        <w:tc>
          <w:tcPr>
            <w:tcW w:w="302" w:type="pct"/>
            <w:tcBorders>
              <w:tl2br w:val="nil"/>
              <w:tr2bl w:val="nil"/>
            </w:tcBorders>
            <w:vAlign w:val="center"/>
          </w:tcPr>
          <w:p w14:paraId="59C72748">
            <w:pPr>
              <w:widowControl w:val="0"/>
              <w:jc w:val="center"/>
              <w:textAlignment w:val="bottom"/>
              <w:rPr>
                <w:rFonts w:cs="Times New Roman"/>
                <w:sz w:val="21"/>
                <w:lang w:eastAsia="en-US"/>
              </w:rPr>
            </w:pPr>
            <w:r>
              <w:rPr>
                <w:rFonts w:hint="eastAsia" w:cs="Times New Roman"/>
                <w:sz w:val="21"/>
                <w:lang w:eastAsia="zh-CN"/>
              </w:rPr>
              <w:t>4</w:t>
            </w:r>
            <w:r>
              <w:rPr>
                <w:rFonts w:cs="Times New Roman"/>
                <w:sz w:val="21"/>
                <w:lang w:eastAsia="zh-CN"/>
              </w:rPr>
              <w:t>1</w:t>
            </w:r>
          </w:p>
        </w:tc>
        <w:tc>
          <w:tcPr>
            <w:tcW w:w="239" w:type="pct"/>
            <w:tcBorders>
              <w:tl2br w:val="nil"/>
              <w:tr2bl w:val="nil"/>
            </w:tcBorders>
            <w:vAlign w:val="center"/>
          </w:tcPr>
          <w:p w14:paraId="483ADF2E">
            <w:pPr>
              <w:pStyle w:val="86"/>
              <w:widowControl w:val="0"/>
              <w:spacing w:after="0"/>
              <w:ind w:left="0" w:leftChars="0" w:firstLine="0" w:firstLineChars="0"/>
              <w:jc w:val="center"/>
              <w:rPr>
                <w:rFonts w:cs="Times New Roman"/>
                <w:sz w:val="21"/>
                <w:lang w:eastAsia="en-US"/>
              </w:rPr>
            </w:pPr>
            <w:r>
              <w:rPr>
                <w:rFonts w:cs="Times New Roman"/>
                <w:sz w:val="21"/>
                <w:lang w:eastAsia="en-US"/>
              </w:rPr>
              <w:t>43.61</w:t>
            </w:r>
          </w:p>
        </w:tc>
        <w:tc>
          <w:tcPr>
            <w:tcW w:w="239" w:type="pct"/>
            <w:tcBorders>
              <w:tl2br w:val="nil"/>
              <w:tr2bl w:val="nil"/>
            </w:tcBorders>
            <w:vAlign w:val="center"/>
          </w:tcPr>
          <w:p w14:paraId="1590C261">
            <w:pPr>
              <w:pStyle w:val="86"/>
              <w:widowControl w:val="0"/>
              <w:spacing w:after="0"/>
              <w:ind w:left="0" w:leftChars="0" w:firstLine="0" w:firstLineChars="0"/>
              <w:jc w:val="center"/>
              <w:rPr>
                <w:rFonts w:cs="Times New Roman"/>
                <w:sz w:val="21"/>
                <w:lang w:eastAsia="en-US"/>
              </w:rPr>
            </w:pPr>
            <w:r>
              <w:rPr>
                <w:rFonts w:cs="Times New Roman"/>
                <w:sz w:val="21"/>
                <w:lang w:eastAsia="en-US"/>
              </w:rPr>
              <w:t>45.51</w:t>
            </w:r>
          </w:p>
        </w:tc>
        <w:tc>
          <w:tcPr>
            <w:tcW w:w="239" w:type="pct"/>
            <w:tcBorders>
              <w:tl2br w:val="nil"/>
              <w:tr2bl w:val="nil"/>
            </w:tcBorders>
            <w:vAlign w:val="center"/>
          </w:tcPr>
          <w:p w14:paraId="6D7DAE78">
            <w:pPr>
              <w:widowControl w:val="0"/>
              <w:jc w:val="center"/>
              <w:textAlignment w:val="bottom"/>
              <w:rPr>
                <w:rFonts w:cs="Times New Roman"/>
                <w:sz w:val="21"/>
                <w:lang w:eastAsia="en-US" w:bidi="ar"/>
              </w:rPr>
            </w:pPr>
            <w:r>
              <w:rPr>
                <w:rFonts w:cs="Times New Roman"/>
                <w:sz w:val="21"/>
                <w:lang w:eastAsia="en-US" w:bidi="ar"/>
              </w:rPr>
              <w:t>4.51</w:t>
            </w:r>
          </w:p>
        </w:tc>
        <w:tc>
          <w:tcPr>
            <w:tcW w:w="272" w:type="pct"/>
            <w:tcBorders>
              <w:tl2br w:val="nil"/>
              <w:tr2bl w:val="nil"/>
            </w:tcBorders>
            <w:vAlign w:val="center"/>
          </w:tcPr>
          <w:p w14:paraId="099B2A62">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20B59D96">
            <w:pPr>
              <w:pStyle w:val="86"/>
              <w:widowControl w:val="0"/>
              <w:spacing w:after="0"/>
              <w:ind w:left="0" w:leftChars="0" w:firstLine="0" w:firstLineChars="0"/>
              <w:jc w:val="center"/>
              <w:rPr>
                <w:rFonts w:cs="Times New Roman"/>
                <w:sz w:val="21"/>
                <w:lang w:eastAsia="en-US"/>
              </w:rPr>
            </w:pPr>
            <w:r>
              <w:rPr>
                <w:rFonts w:cs="Times New Roman"/>
                <w:sz w:val="21"/>
                <w:lang w:eastAsia="zh-CN"/>
              </w:rPr>
              <w:t>45.21</w:t>
            </w:r>
          </w:p>
        </w:tc>
        <w:tc>
          <w:tcPr>
            <w:tcW w:w="240" w:type="pct"/>
            <w:tcBorders>
              <w:tl2br w:val="nil"/>
              <w:tr2bl w:val="nil"/>
            </w:tcBorders>
            <w:vAlign w:val="center"/>
          </w:tcPr>
          <w:p w14:paraId="726B4EDE">
            <w:pPr>
              <w:pStyle w:val="86"/>
              <w:widowControl w:val="0"/>
              <w:spacing w:after="0"/>
              <w:ind w:left="0" w:leftChars="0" w:firstLine="0" w:firstLineChars="0"/>
              <w:jc w:val="center"/>
              <w:rPr>
                <w:rFonts w:cs="Times New Roman"/>
                <w:sz w:val="21"/>
                <w:lang w:eastAsia="en-US"/>
              </w:rPr>
            </w:pPr>
            <w:r>
              <w:rPr>
                <w:rFonts w:cs="Times New Roman"/>
                <w:sz w:val="21"/>
                <w:lang w:eastAsia="zh-CN"/>
              </w:rPr>
              <w:t>46.61</w:t>
            </w:r>
          </w:p>
        </w:tc>
        <w:tc>
          <w:tcPr>
            <w:tcW w:w="241" w:type="pct"/>
            <w:tcBorders>
              <w:tl2br w:val="nil"/>
              <w:tr2bl w:val="nil"/>
            </w:tcBorders>
            <w:vAlign w:val="center"/>
          </w:tcPr>
          <w:p w14:paraId="19BD9083">
            <w:pPr>
              <w:widowControl w:val="0"/>
              <w:jc w:val="center"/>
              <w:textAlignment w:val="bottom"/>
              <w:rPr>
                <w:rFonts w:cs="Times New Roman"/>
                <w:sz w:val="21"/>
                <w:lang w:eastAsia="en-US" w:bidi="ar"/>
              </w:rPr>
            </w:pPr>
            <w:r>
              <w:rPr>
                <w:rFonts w:cs="Times New Roman"/>
                <w:sz w:val="21"/>
                <w:lang w:eastAsia="zh-CN" w:bidi="ar"/>
              </w:rPr>
              <w:t>5.61</w:t>
            </w:r>
          </w:p>
        </w:tc>
        <w:tc>
          <w:tcPr>
            <w:tcW w:w="266" w:type="pct"/>
            <w:tcBorders>
              <w:tl2br w:val="nil"/>
              <w:tr2bl w:val="nil"/>
            </w:tcBorders>
            <w:vAlign w:val="center"/>
          </w:tcPr>
          <w:p w14:paraId="185DC0CB">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vAlign w:val="center"/>
          </w:tcPr>
          <w:p w14:paraId="5FB9DEFF">
            <w:pPr>
              <w:pStyle w:val="86"/>
              <w:widowControl w:val="0"/>
              <w:spacing w:after="0"/>
              <w:ind w:left="0" w:leftChars="0" w:firstLine="0" w:firstLineChars="0"/>
              <w:jc w:val="center"/>
              <w:rPr>
                <w:rFonts w:cs="Times New Roman"/>
                <w:sz w:val="21"/>
                <w:lang w:eastAsia="en-US"/>
              </w:rPr>
            </w:pPr>
            <w:r>
              <w:rPr>
                <w:rFonts w:cs="Times New Roman"/>
                <w:sz w:val="21"/>
                <w:lang w:eastAsia="en-US"/>
              </w:rPr>
              <w:t>46.95</w:t>
            </w:r>
          </w:p>
        </w:tc>
        <w:tc>
          <w:tcPr>
            <w:tcW w:w="241" w:type="pct"/>
            <w:tcBorders>
              <w:tl2br w:val="nil"/>
              <w:tr2bl w:val="nil"/>
            </w:tcBorders>
            <w:vAlign w:val="center"/>
          </w:tcPr>
          <w:p w14:paraId="78ACBFC4">
            <w:pPr>
              <w:pStyle w:val="86"/>
              <w:widowControl w:val="0"/>
              <w:spacing w:after="0"/>
              <w:ind w:left="0" w:leftChars="0" w:firstLine="0" w:firstLineChars="0"/>
              <w:jc w:val="center"/>
              <w:rPr>
                <w:rFonts w:cs="Times New Roman"/>
                <w:sz w:val="21"/>
                <w:lang w:eastAsia="en-US"/>
              </w:rPr>
            </w:pPr>
            <w:r>
              <w:rPr>
                <w:rFonts w:cs="Times New Roman"/>
                <w:sz w:val="21"/>
                <w:lang w:eastAsia="en-US"/>
              </w:rPr>
              <w:t>47.93</w:t>
            </w:r>
          </w:p>
        </w:tc>
        <w:tc>
          <w:tcPr>
            <w:tcW w:w="241" w:type="pct"/>
            <w:tcBorders>
              <w:tl2br w:val="nil"/>
              <w:tr2bl w:val="nil"/>
            </w:tcBorders>
            <w:vAlign w:val="center"/>
          </w:tcPr>
          <w:p w14:paraId="1645A7F5">
            <w:pPr>
              <w:widowControl w:val="0"/>
              <w:jc w:val="center"/>
              <w:textAlignment w:val="bottom"/>
              <w:rPr>
                <w:rFonts w:cs="Times New Roman"/>
                <w:sz w:val="21"/>
                <w:lang w:eastAsia="en-US" w:bidi="ar"/>
              </w:rPr>
            </w:pPr>
            <w:r>
              <w:rPr>
                <w:rFonts w:hint="eastAsia" w:cs="Times New Roman"/>
                <w:sz w:val="21"/>
                <w:lang w:eastAsia="zh-CN" w:bidi="ar"/>
              </w:rPr>
              <w:t>6</w:t>
            </w:r>
            <w:r>
              <w:rPr>
                <w:rFonts w:cs="Times New Roman"/>
                <w:sz w:val="21"/>
                <w:lang w:eastAsia="zh-CN" w:bidi="ar"/>
              </w:rPr>
              <w:t>.93</w:t>
            </w:r>
          </w:p>
        </w:tc>
        <w:tc>
          <w:tcPr>
            <w:tcW w:w="193" w:type="pct"/>
            <w:tcBorders>
              <w:tl2br w:val="nil"/>
              <w:tr2bl w:val="nil"/>
            </w:tcBorders>
            <w:vAlign w:val="center"/>
          </w:tcPr>
          <w:p w14:paraId="09492F42">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1D5978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restart"/>
            <w:tcBorders>
              <w:tl2br w:val="nil"/>
              <w:tr2bl w:val="nil"/>
            </w:tcBorders>
            <w:vAlign w:val="center"/>
          </w:tcPr>
          <w:p w14:paraId="317583D6">
            <w:pPr>
              <w:widowControl w:val="0"/>
              <w:jc w:val="center"/>
              <w:rPr>
                <w:rFonts w:cs="Times New Roman"/>
                <w:sz w:val="21"/>
                <w:lang w:eastAsia="en-US"/>
              </w:rPr>
            </w:pPr>
            <w:r>
              <w:rPr>
                <w:rFonts w:hint="eastAsia" w:cs="Times New Roman"/>
                <w:sz w:val="21"/>
                <w:lang w:eastAsia="en-US"/>
              </w:rPr>
              <w:t>喀拉乌斯唐村</w:t>
            </w:r>
          </w:p>
        </w:tc>
        <w:tc>
          <w:tcPr>
            <w:tcW w:w="422" w:type="pct"/>
            <w:vMerge w:val="restart"/>
            <w:tcBorders>
              <w:tl2br w:val="nil"/>
              <w:tr2bl w:val="nil"/>
            </w:tcBorders>
            <w:vAlign w:val="center"/>
          </w:tcPr>
          <w:p w14:paraId="044F84C2">
            <w:pPr>
              <w:widowControl w:val="0"/>
              <w:jc w:val="center"/>
              <w:rPr>
                <w:rFonts w:cs="Times New Roman"/>
                <w:sz w:val="21"/>
                <w:lang w:eastAsia="en-US"/>
              </w:rPr>
            </w:pPr>
            <w:r>
              <w:rPr>
                <w:rFonts w:hint="eastAsia" w:cs="Times New Roman"/>
                <w:sz w:val="21"/>
                <w:lang w:eastAsia="en-US"/>
              </w:rPr>
              <w:t>1</w:t>
            </w:r>
            <w:r>
              <w:rPr>
                <w:rFonts w:cs="Times New Roman"/>
                <w:sz w:val="21"/>
                <w:lang w:eastAsia="en-US"/>
              </w:rPr>
              <w:t>.8</w:t>
            </w:r>
          </w:p>
          <w:p w14:paraId="79A4BC0C">
            <w:pPr>
              <w:pStyle w:val="86"/>
              <w:widowControl w:val="0"/>
              <w:spacing w:after="0"/>
              <w:ind w:left="480"/>
              <w:jc w:val="center"/>
              <w:rPr>
                <w:rFonts w:cs="Times New Roman"/>
                <w:sz w:val="21"/>
                <w:lang w:eastAsia="en-US"/>
              </w:rPr>
            </w:pPr>
          </w:p>
        </w:tc>
        <w:tc>
          <w:tcPr>
            <w:tcW w:w="244" w:type="pct"/>
            <w:vMerge w:val="restart"/>
            <w:tcBorders>
              <w:tl2br w:val="nil"/>
              <w:tr2bl w:val="nil"/>
            </w:tcBorders>
            <w:vAlign w:val="center"/>
          </w:tcPr>
          <w:p w14:paraId="3FCF13B1">
            <w:pPr>
              <w:pStyle w:val="86"/>
              <w:widowControl w:val="0"/>
              <w:spacing w:after="0"/>
              <w:ind w:left="0" w:leftChars="0" w:firstLine="0" w:firstLineChars="0"/>
              <w:jc w:val="center"/>
              <w:rPr>
                <w:rFonts w:cs="Times New Roman"/>
                <w:sz w:val="21"/>
                <w:lang w:eastAsia="en-US"/>
              </w:rPr>
            </w:pPr>
            <w:r>
              <w:rPr>
                <w:rFonts w:cs="Times New Roman"/>
                <w:sz w:val="21"/>
                <w:lang w:eastAsia="en-US"/>
              </w:rPr>
              <w:t>4a</w:t>
            </w:r>
          </w:p>
        </w:tc>
        <w:tc>
          <w:tcPr>
            <w:tcW w:w="213" w:type="pct"/>
            <w:tcBorders>
              <w:tl2br w:val="nil"/>
              <w:tr2bl w:val="nil"/>
            </w:tcBorders>
            <w:vAlign w:val="center"/>
          </w:tcPr>
          <w:p w14:paraId="0633468B">
            <w:pPr>
              <w:pStyle w:val="86"/>
              <w:widowControl w:val="0"/>
              <w:spacing w:after="0"/>
              <w:ind w:left="0" w:leftChars="0" w:firstLine="0" w:firstLineChars="0"/>
              <w:jc w:val="center"/>
              <w:rPr>
                <w:rFonts w:cs="Times New Roman"/>
                <w:sz w:val="21"/>
                <w:lang w:eastAsia="en-US"/>
              </w:rPr>
            </w:pPr>
            <w:r>
              <w:rPr>
                <w:rFonts w:cs="Times New Roman"/>
                <w:sz w:val="21"/>
                <w:lang w:eastAsia="en-US"/>
              </w:rPr>
              <w:t>昼间</w:t>
            </w:r>
          </w:p>
        </w:tc>
        <w:tc>
          <w:tcPr>
            <w:tcW w:w="277" w:type="pct"/>
            <w:tcBorders>
              <w:tl2br w:val="nil"/>
              <w:tr2bl w:val="nil"/>
            </w:tcBorders>
            <w:vAlign w:val="center"/>
          </w:tcPr>
          <w:p w14:paraId="782602C8">
            <w:pPr>
              <w:pStyle w:val="86"/>
              <w:widowControl w:val="0"/>
              <w:spacing w:after="0"/>
              <w:ind w:left="0" w:leftChars="0" w:firstLine="0" w:firstLineChars="0"/>
              <w:jc w:val="center"/>
              <w:rPr>
                <w:rFonts w:cs="Times New Roman"/>
                <w:sz w:val="21"/>
                <w:lang w:eastAsia="en-US"/>
              </w:rPr>
            </w:pPr>
            <w:r>
              <w:rPr>
                <w:rFonts w:cs="Times New Roman"/>
                <w:sz w:val="21"/>
                <w:lang w:eastAsia="en-US"/>
              </w:rPr>
              <w:t>70</w:t>
            </w:r>
          </w:p>
        </w:tc>
        <w:tc>
          <w:tcPr>
            <w:tcW w:w="292" w:type="pct"/>
            <w:tcBorders>
              <w:tl2br w:val="nil"/>
              <w:tr2bl w:val="nil"/>
            </w:tcBorders>
            <w:vAlign w:val="center"/>
          </w:tcPr>
          <w:p w14:paraId="6545AD03">
            <w:pPr>
              <w:widowControl/>
              <w:jc w:val="center"/>
              <w:textAlignment w:val="bottom"/>
              <w:rPr>
                <w:rFonts w:cs="Times New Roman"/>
                <w:sz w:val="21"/>
                <w:lang w:eastAsia="zh-CN"/>
              </w:rPr>
            </w:pPr>
            <w:r>
              <w:rPr>
                <w:rFonts w:hint="eastAsia" w:cs="Times New Roman"/>
                <w:sz w:val="21"/>
                <w:lang w:eastAsia="zh-CN"/>
              </w:rPr>
              <w:t>5</w:t>
            </w:r>
            <w:r>
              <w:rPr>
                <w:rFonts w:cs="Times New Roman"/>
                <w:sz w:val="21"/>
                <w:lang w:eastAsia="zh-CN"/>
              </w:rPr>
              <w:t>2</w:t>
            </w:r>
          </w:p>
        </w:tc>
        <w:tc>
          <w:tcPr>
            <w:tcW w:w="302" w:type="pct"/>
            <w:tcBorders>
              <w:tl2br w:val="nil"/>
              <w:tr2bl w:val="nil"/>
            </w:tcBorders>
            <w:vAlign w:val="center"/>
          </w:tcPr>
          <w:p w14:paraId="3D0B3DC2">
            <w:pPr>
              <w:widowControl/>
              <w:jc w:val="center"/>
              <w:textAlignment w:val="bottom"/>
              <w:rPr>
                <w:rFonts w:cs="Times New Roman"/>
                <w:sz w:val="21"/>
                <w:lang w:eastAsia="zh-CN"/>
              </w:rPr>
            </w:pPr>
            <w:r>
              <w:rPr>
                <w:rFonts w:hint="eastAsia" w:cs="Times New Roman"/>
                <w:sz w:val="21"/>
                <w:lang w:eastAsia="zh-CN"/>
              </w:rPr>
              <w:t>5</w:t>
            </w:r>
            <w:r>
              <w:rPr>
                <w:rFonts w:cs="Times New Roman"/>
                <w:sz w:val="21"/>
                <w:lang w:eastAsia="zh-CN"/>
              </w:rPr>
              <w:t>2</w:t>
            </w:r>
          </w:p>
        </w:tc>
        <w:tc>
          <w:tcPr>
            <w:tcW w:w="239" w:type="pct"/>
            <w:tcBorders>
              <w:tl2br w:val="nil"/>
              <w:tr2bl w:val="nil"/>
            </w:tcBorders>
            <w:vAlign w:val="center"/>
          </w:tcPr>
          <w:p w14:paraId="734D0401">
            <w:pPr>
              <w:pStyle w:val="86"/>
              <w:widowControl w:val="0"/>
              <w:spacing w:after="0"/>
              <w:ind w:left="0" w:leftChars="0" w:firstLine="0" w:firstLineChars="0"/>
              <w:jc w:val="center"/>
              <w:rPr>
                <w:rFonts w:cs="Times New Roman"/>
                <w:sz w:val="21"/>
                <w:lang w:eastAsia="en-US"/>
              </w:rPr>
            </w:pPr>
            <w:r>
              <w:rPr>
                <w:rFonts w:cs="Times New Roman"/>
                <w:sz w:val="21"/>
                <w:lang w:eastAsia="en-US"/>
              </w:rPr>
              <w:t>44.23</w:t>
            </w:r>
          </w:p>
        </w:tc>
        <w:tc>
          <w:tcPr>
            <w:tcW w:w="239" w:type="pct"/>
            <w:tcBorders>
              <w:tl2br w:val="nil"/>
              <w:tr2bl w:val="nil"/>
            </w:tcBorders>
            <w:vAlign w:val="center"/>
          </w:tcPr>
          <w:p w14:paraId="6C9F93F8">
            <w:pPr>
              <w:pStyle w:val="86"/>
              <w:widowControl w:val="0"/>
              <w:spacing w:after="0"/>
              <w:ind w:left="0" w:leftChars="0" w:firstLine="0" w:firstLineChars="0"/>
              <w:jc w:val="center"/>
              <w:rPr>
                <w:rFonts w:cs="Times New Roman"/>
                <w:sz w:val="21"/>
                <w:lang w:eastAsia="en-US"/>
              </w:rPr>
            </w:pPr>
            <w:r>
              <w:rPr>
                <w:rFonts w:cs="Times New Roman"/>
                <w:sz w:val="21"/>
                <w:lang w:eastAsia="en-US"/>
              </w:rPr>
              <w:t>52.67</w:t>
            </w:r>
          </w:p>
        </w:tc>
        <w:tc>
          <w:tcPr>
            <w:tcW w:w="239" w:type="pct"/>
            <w:tcBorders>
              <w:tl2br w:val="nil"/>
              <w:tr2bl w:val="nil"/>
            </w:tcBorders>
            <w:vAlign w:val="center"/>
          </w:tcPr>
          <w:p w14:paraId="40FC89CE">
            <w:pPr>
              <w:widowControl/>
              <w:jc w:val="center"/>
              <w:textAlignment w:val="bottom"/>
              <w:rPr>
                <w:rFonts w:cs="Times New Roman"/>
                <w:sz w:val="21"/>
                <w:lang w:eastAsia="en-US"/>
              </w:rPr>
            </w:pPr>
            <w:r>
              <w:rPr>
                <w:rFonts w:cs="Times New Roman"/>
                <w:sz w:val="21"/>
                <w:lang w:eastAsia="en-US"/>
              </w:rPr>
              <w:t>0.67</w:t>
            </w:r>
          </w:p>
        </w:tc>
        <w:tc>
          <w:tcPr>
            <w:tcW w:w="272" w:type="pct"/>
            <w:tcBorders>
              <w:tl2br w:val="nil"/>
              <w:tr2bl w:val="nil"/>
            </w:tcBorders>
            <w:vAlign w:val="center"/>
          </w:tcPr>
          <w:p w14:paraId="333F6F4A">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239D405A">
            <w:pPr>
              <w:pStyle w:val="86"/>
              <w:widowControl w:val="0"/>
              <w:spacing w:after="0"/>
              <w:ind w:left="0" w:leftChars="0" w:firstLine="0" w:firstLineChars="0"/>
              <w:jc w:val="center"/>
              <w:rPr>
                <w:rFonts w:cs="Times New Roman"/>
                <w:sz w:val="21"/>
                <w:lang w:eastAsia="en-US"/>
              </w:rPr>
            </w:pPr>
            <w:r>
              <w:rPr>
                <w:rFonts w:cs="Times New Roman"/>
                <w:sz w:val="21"/>
                <w:lang w:eastAsia="en-US"/>
              </w:rPr>
              <w:t>45.81</w:t>
            </w:r>
          </w:p>
        </w:tc>
        <w:tc>
          <w:tcPr>
            <w:tcW w:w="240" w:type="pct"/>
            <w:tcBorders>
              <w:tl2br w:val="nil"/>
              <w:tr2bl w:val="nil"/>
            </w:tcBorders>
            <w:vAlign w:val="center"/>
          </w:tcPr>
          <w:p w14:paraId="62BA87B2">
            <w:pPr>
              <w:pStyle w:val="86"/>
              <w:widowControl w:val="0"/>
              <w:spacing w:after="0"/>
              <w:ind w:left="0" w:leftChars="0" w:firstLine="0" w:firstLineChars="0"/>
              <w:jc w:val="center"/>
              <w:rPr>
                <w:rFonts w:cs="Times New Roman"/>
                <w:sz w:val="21"/>
                <w:lang w:eastAsia="en-US"/>
              </w:rPr>
            </w:pPr>
            <w:r>
              <w:rPr>
                <w:rFonts w:cs="Times New Roman"/>
                <w:sz w:val="21"/>
                <w:lang w:eastAsia="en-US"/>
              </w:rPr>
              <w:t>52.94</w:t>
            </w:r>
          </w:p>
        </w:tc>
        <w:tc>
          <w:tcPr>
            <w:tcW w:w="241" w:type="pct"/>
            <w:tcBorders>
              <w:tl2br w:val="nil"/>
              <w:tr2bl w:val="nil"/>
            </w:tcBorders>
            <w:vAlign w:val="center"/>
          </w:tcPr>
          <w:p w14:paraId="28F4B10D">
            <w:pPr>
              <w:widowControl/>
              <w:jc w:val="center"/>
              <w:textAlignment w:val="bottom"/>
              <w:rPr>
                <w:rFonts w:cs="Times New Roman"/>
                <w:sz w:val="21"/>
                <w:lang w:eastAsia="en-US"/>
              </w:rPr>
            </w:pPr>
            <w:r>
              <w:rPr>
                <w:rFonts w:cs="Times New Roman"/>
                <w:sz w:val="21"/>
                <w:lang w:eastAsia="en-US"/>
              </w:rPr>
              <w:t>0.94</w:t>
            </w:r>
          </w:p>
        </w:tc>
        <w:tc>
          <w:tcPr>
            <w:tcW w:w="266" w:type="pct"/>
            <w:tcBorders>
              <w:tl2br w:val="nil"/>
              <w:tr2bl w:val="nil"/>
            </w:tcBorders>
            <w:vAlign w:val="center"/>
          </w:tcPr>
          <w:p w14:paraId="4E38FD17">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tcPr>
          <w:p w14:paraId="7B522C20">
            <w:pPr>
              <w:pStyle w:val="86"/>
              <w:widowControl w:val="0"/>
              <w:spacing w:after="0"/>
              <w:ind w:left="0" w:leftChars="0" w:firstLine="0" w:firstLineChars="0"/>
              <w:jc w:val="center"/>
              <w:rPr>
                <w:rFonts w:cs="Times New Roman"/>
                <w:sz w:val="21"/>
                <w:lang w:eastAsia="en-US"/>
              </w:rPr>
            </w:pPr>
            <w:r>
              <w:rPr>
                <w:lang w:eastAsia="en-US"/>
              </w:rPr>
              <w:t>47.57</w:t>
            </w:r>
          </w:p>
        </w:tc>
        <w:tc>
          <w:tcPr>
            <w:tcW w:w="241" w:type="pct"/>
            <w:tcBorders>
              <w:tl2br w:val="nil"/>
              <w:tr2bl w:val="nil"/>
            </w:tcBorders>
          </w:tcPr>
          <w:p w14:paraId="1A73C07D">
            <w:pPr>
              <w:pStyle w:val="86"/>
              <w:widowControl w:val="0"/>
              <w:spacing w:after="0"/>
              <w:ind w:left="0" w:leftChars="0" w:firstLine="0" w:firstLineChars="0"/>
              <w:jc w:val="center"/>
              <w:rPr>
                <w:rFonts w:cs="Times New Roman"/>
                <w:sz w:val="21"/>
                <w:lang w:eastAsia="en-US"/>
              </w:rPr>
            </w:pPr>
            <w:r>
              <w:rPr>
                <w:lang w:eastAsia="en-US"/>
              </w:rPr>
              <w:t>53.34</w:t>
            </w:r>
          </w:p>
        </w:tc>
        <w:tc>
          <w:tcPr>
            <w:tcW w:w="241" w:type="pct"/>
            <w:tcBorders>
              <w:tl2br w:val="nil"/>
              <w:tr2bl w:val="nil"/>
            </w:tcBorders>
            <w:vAlign w:val="center"/>
          </w:tcPr>
          <w:p w14:paraId="65AC2E6F">
            <w:pPr>
              <w:widowControl/>
              <w:jc w:val="center"/>
              <w:textAlignment w:val="bottom"/>
              <w:rPr>
                <w:rFonts w:cs="Times New Roman"/>
                <w:sz w:val="21"/>
                <w:lang w:eastAsia="zh-CN"/>
              </w:rPr>
            </w:pPr>
            <w:r>
              <w:rPr>
                <w:rFonts w:hint="eastAsia" w:cs="Times New Roman"/>
                <w:sz w:val="21"/>
                <w:lang w:eastAsia="zh-CN"/>
              </w:rPr>
              <w:t>1</w:t>
            </w:r>
            <w:r>
              <w:rPr>
                <w:rFonts w:cs="Times New Roman"/>
                <w:sz w:val="21"/>
                <w:lang w:eastAsia="zh-CN"/>
              </w:rPr>
              <w:t>.34</w:t>
            </w:r>
          </w:p>
        </w:tc>
        <w:tc>
          <w:tcPr>
            <w:tcW w:w="193" w:type="pct"/>
            <w:tcBorders>
              <w:tl2br w:val="nil"/>
              <w:tr2bl w:val="nil"/>
            </w:tcBorders>
            <w:vAlign w:val="center"/>
          </w:tcPr>
          <w:p w14:paraId="197E4CEA">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3209FE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0C7A9CD2">
            <w:pPr>
              <w:widowControl/>
              <w:jc w:val="center"/>
              <w:textAlignment w:val="center"/>
              <w:rPr>
                <w:rFonts w:cs="Times New Roman"/>
                <w:sz w:val="21"/>
                <w:lang w:eastAsia="en-US"/>
              </w:rPr>
            </w:pPr>
          </w:p>
        </w:tc>
        <w:tc>
          <w:tcPr>
            <w:tcW w:w="422" w:type="pct"/>
            <w:vMerge w:val="continue"/>
            <w:tcBorders>
              <w:tl2br w:val="nil"/>
              <w:tr2bl w:val="nil"/>
            </w:tcBorders>
            <w:vAlign w:val="center"/>
          </w:tcPr>
          <w:p w14:paraId="56DEDECF">
            <w:pPr>
              <w:pStyle w:val="86"/>
              <w:widowControl w:val="0"/>
              <w:spacing w:after="0"/>
              <w:ind w:left="480"/>
              <w:jc w:val="center"/>
              <w:rPr>
                <w:rFonts w:cs="Times New Roman"/>
                <w:sz w:val="21"/>
                <w:lang w:eastAsia="en-US"/>
              </w:rPr>
            </w:pPr>
          </w:p>
        </w:tc>
        <w:tc>
          <w:tcPr>
            <w:tcW w:w="244" w:type="pct"/>
            <w:vMerge w:val="continue"/>
            <w:tcBorders>
              <w:tl2br w:val="nil"/>
              <w:tr2bl w:val="nil"/>
            </w:tcBorders>
            <w:vAlign w:val="center"/>
          </w:tcPr>
          <w:p w14:paraId="3F167FB8">
            <w:pPr>
              <w:pStyle w:val="86"/>
              <w:widowControl w:val="0"/>
              <w:spacing w:after="0"/>
              <w:ind w:left="0" w:leftChars="0" w:firstLine="0" w:firstLineChars="0"/>
              <w:jc w:val="center"/>
              <w:rPr>
                <w:rFonts w:cs="Times New Roman"/>
                <w:sz w:val="21"/>
                <w:lang w:eastAsia="en-US"/>
              </w:rPr>
            </w:pPr>
          </w:p>
        </w:tc>
        <w:tc>
          <w:tcPr>
            <w:tcW w:w="213" w:type="pct"/>
            <w:tcBorders>
              <w:tl2br w:val="nil"/>
              <w:tr2bl w:val="nil"/>
            </w:tcBorders>
            <w:vAlign w:val="center"/>
          </w:tcPr>
          <w:p w14:paraId="5D2E8B7C">
            <w:pPr>
              <w:pStyle w:val="86"/>
              <w:widowControl w:val="0"/>
              <w:spacing w:after="0"/>
              <w:ind w:left="0" w:leftChars="0" w:firstLine="0" w:firstLineChars="0"/>
              <w:jc w:val="center"/>
              <w:rPr>
                <w:rFonts w:cs="Times New Roman"/>
                <w:sz w:val="21"/>
                <w:lang w:eastAsia="en-US"/>
              </w:rPr>
            </w:pPr>
            <w:r>
              <w:rPr>
                <w:rFonts w:cs="Times New Roman"/>
                <w:sz w:val="21"/>
                <w:lang w:eastAsia="en-US"/>
              </w:rPr>
              <w:t>夜间</w:t>
            </w:r>
          </w:p>
        </w:tc>
        <w:tc>
          <w:tcPr>
            <w:tcW w:w="277" w:type="pct"/>
            <w:tcBorders>
              <w:tl2br w:val="nil"/>
              <w:tr2bl w:val="nil"/>
            </w:tcBorders>
            <w:vAlign w:val="center"/>
          </w:tcPr>
          <w:p w14:paraId="5DAA057D">
            <w:pPr>
              <w:pStyle w:val="86"/>
              <w:widowControl w:val="0"/>
              <w:spacing w:after="0"/>
              <w:ind w:left="0" w:leftChars="0" w:firstLine="0" w:firstLineChars="0"/>
              <w:jc w:val="center"/>
              <w:rPr>
                <w:rFonts w:cs="Times New Roman"/>
                <w:sz w:val="21"/>
                <w:lang w:eastAsia="en-US"/>
              </w:rPr>
            </w:pPr>
            <w:r>
              <w:rPr>
                <w:rFonts w:cs="Times New Roman"/>
                <w:sz w:val="21"/>
                <w:lang w:eastAsia="en-US"/>
              </w:rPr>
              <w:t>55</w:t>
            </w:r>
          </w:p>
        </w:tc>
        <w:tc>
          <w:tcPr>
            <w:tcW w:w="292" w:type="pct"/>
            <w:tcBorders>
              <w:tl2br w:val="nil"/>
              <w:tr2bl w:val="nil"/>
            </w:tcBorders>
            <w:vAlign w:val="center"/>
          </w:tcPr>
          <w:p w14:paraId="5EA16666">
            <w:pPr>
              <w:widowControl/>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2</w:t>
            </w:r>
          </w:p>
        </w:tc>
        <w:tc>
          <w:tcPr>
            <w:tcW w:w="302" w:type="pct"/>
            <w:tcBorders>
              <w:tl2br w:val="nil"/>
              <w:tr2bl w:val="nil"/>
            </w:tcBorders>
            <w:vAlign w:val="center"/>
          </w:tcPr>
          <w:p w14:paraId="70E236A9">
            <w:pPr>
              <w:widowControl/>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2</w:t>
            </w:r>
          </w:p>
        </w:tc>
        <w:tc>
          <w:tcPr>
            <w:tcW w:w="239" w:type="pct"/>
            <w:tcBorders>
              <w:tl2br w:val="nil"/>
              <w:tr2bl w:val="nil"/>
            </w:tcBorders>
            <w:vAlign w:val="center"/>
          </w:tcPr>
          <w:p w14:paraId="3157E8E8">
            <w:pPr>
              <w:pStyle w:val="86"/>
              <w:widowControl w:val="0"/>
              <w:spacing w:after="0"/>
              <w:ind w:left="0" w:leftChars="0" w:firstLine="0" w:firstLineChars="0"/>
              <w:jc w:val="center"/>
              <w:rPr>
                <w:rFonts w:cs="Times New Roman"/>
                <w:sz w:val="21"/>
                <w:lang w:eastAsia="en-US"/>
              </w:rPr>
            </w:pPr>
            <w:r>
              <w:rPr>
                <w:rFonts w:cs="Times New Roman"/>
                <w:sz w:val="21"/>
                <w:lang w:eastAsia="en-US"/>
              </w:rPr>
              <w:t>41.93</w:t>
            </w:r>
          </w:p>
        </w:tc>
        <w:tc>
          <w:tcPr>
            <w:tcW w:w="239" w:type="pct"/>
            <w:tcBorders>
              <w:tl2br w:val="nil"/>
              <w:tr2bl w:val="nil"/>
            </w:tcBorders>
            <w:vAlign w:val="center"/>
          </w:tcPr>
          <w:p w14:paraId="148EDB55">
            <w:pPr>
              <w:pStyle w:val="86"/>
              <w:widowControl w:val="0"/>
              <w:spacing w:after="0"/>
              <w:ind w:left="0" w:leftChars="0" w:firstLine="0" w:firstLineChars="0"/>
              <w:jc w:val="center"/>
              <w:rPr>
                <w:rFonts w:cs="Times New Roman"/>
                <w:sz w:val="21"/>
                <w:lang w:eastAsia="en-US"/>
              </w:rPr>
            </w:pPr>
            <w:r>
              <w:rPr>
                <w:rFonts w:cs="Times New Roman"/>
                <w:sz w:val="21"/>
                <w:lang w:eastAsia="en-US"/>
              </w:rPr>
              <w:t>44.98</w:t>
            </w:r>
          </w:p>
        </w:tc>
        <w:tc>
          <w:tcPr>
            <w:tcW w:w="239" w:type="pct"/>
            <w:tcBorders>
              <w:tl2br w:val="nil"/>
              <w:tr2bl w:val="nil"/>
            </w:tcBorders>
            <w:vAlign w:val="center"/>
          </w:tcPr>
          <w:p w14:paraId="4781178E">
            <w:pPr>
              <w:widowControl/>
              <w:jc w:val="center"/>
              <w:textAlignment w:val="bottom"/>
              <w:rPr>
                <w:rFonts w:cs="Times New Roman"/>
                <w:sz w:val="21"/>
                <w:lang w:eastAsia="en-US"/>
              </w:rPr>
            </w:pPr>
            <w:r>
              <w:rPr>
                <w:rFonts w:cs="Times New Roman"/>
                <w:sz w:val="21"/>
                <w:lang w:eastAsia="en-US"/>
              </w:rPr>
              <w:t>2.98</w:t>
            </w:r>
          </w:p>
        </w:tc>
        <w:tc>
          <w:tcPr>
            <w:tcW w:w="272" w:type="pct"/>
            <w:tcBorders>
              <w:tl2br w:val="nil"/>
              <w:tr2bl w:val="nil"/>
            </w:tcBorders>
            <w:vAlign w:val="center"/>
          </w:tcPr>
          <w:p w14:paraId="3E718DF5">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255FD502">
            <w:pPr>
              <w:pStyle w:val="86"/>
              <w:widowControl w:val="0"/>
              <w:spacing w:after="0"/>
              <w:ind w:left="0" w:leftChars="0" w:firstLine="0" w:firstLineChars="0"/>
              <w:jc w:val="center"/>
              <w:rPr>
                <w:rFonts w:cs="Times New Roman"/>
                <w:sz w:val="21"/>
                <w:lang w:eastAsia="en-US"/>
              </w:rPr>
            </w:pPr>
            <w:r>
              <w:rPr>
                <w:rFonts w:cs="Times New Roman"/>
                <w:sz w:val="21"/>
                <w:lang w:eastAsia="en-US"/>
              </w:rPr>
              <w:t>43.53</w:t>
            </w:r>
          </w:p>
        </w:tc>
        <w:tc>
          <w:tcPr>
            <w:tcW w:w="240" w:type="pct"/>
            <w:tcBorders>
              <w:tl2br w:val="nil"/>
              <w:tr2bl w:val="nil"/>
            </w:tcBorders>
            <w:vAlign w:val="center"/>
          </w:tcPr>
          <w:p w14:paraId="687B81DE">
            <w:pPr>
              <w:pStyle w:val="86"/>
              <w:widowControl w:val="0"/>
              <w:spacing w:after="0"/>
              <w:ind w:left="0" w:leftChars="0" w:firstLine="0" w:firstLineChars="0"/>
              <w:jc w:val="center"/>
              <w:rPr>
                <w:rFonts w:cs="Times New Roman"/>
                <w:sz w:val="21"/>
                <w:lang w:eastAsia="en-US"/>
              </w:rPr>
            </w:pPr>
            <w:r>
              <w:rPr>
                <w:rFonts w:cs="Times New Roman"/>
                <w:sz w:val="21"/>
                <w:lang w:eastAsia="en-US"/>
              </w:rPr>
              <w:t>45.84</w:t>
            </w:r>
          </w:p>
        </w:tc>
        <w:tc>
          <w:tcPr>
            <w:tcW w:w="241" w:type="pct"/>
            <w:tcBorders>
              <w:tl2br w:val="nil"/>
              <w:tr2bl w:val="nil"/>
            </w:tcBorders>
            <w:vAlign w:val="center"/>
          </w:tcPr>
          <w:p w14:paraId="6532212D">
            <w:pPr>
              <w:widowControl/>
              <w:jc w:val="center"/>
              <w:textAlignment w:val="bottom"/>
              <w:rPr>
                <w:rFonts w:cs="Times New Roman"/>
                <w:sz w:val="21"/>
                <w:lang w:eastAsia="en-US"/>
              </w:rPr>
            </w:pPr>
            <w:r>
              <w:rPr>
                <w:rFonts w:cs="Times New Roman"/>
                <w:sz w:val="21"/>
                <w:lang w:eastAsia="en-US"/>
              </w:rPr>
              <w:t>3.84</w:t>
            </w:r>
          </w:p>
        </w:tc>
        <w:tc>
          <w:tcPr>
            <w:tcW w:w="266" w:type="pct"/>
            <w:tcBorders>
              <w:tl2br w:val="nil"/>
              <w:tr2bl w:val="nil"/>
            </w:tcBorders>
            <w:vAlign w:val="center"/>
          </w:tcPr>
          <w:p w14:paraId="4F2F9B08">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tcPr>
          <w:p w14:paraId="705B5A05">
            <w:pPr>
              <w:pStyle w:val="86"/>
              <w:widowControl w:val="0"/>
              <w:spacing w:after="0"/>
              <w:ind w:left="0" w:leftChars="0" w:firstLine="0" w:firstLineChars="0"/>
              <w:jc w:val="center"/>
              <w:rPr>
                <w:rFonts w:cs="Times New Roman"/>
                <w:sz w:val="21"/>
                <w:lang w:eastAsia="en-US"/>
              </w:rPr>
            </w:pPr>
            <w:r>
              <w:rPr>
                <w:lang w:eastAsia="en-US"/>
              </w:rPr>
              <w:t>45.27</w:t>
            </w:r>
          </w:p>
        </w:tc>
        <w:tc>
          <w:tcPr>
            <w:tcW w:w="241" w:type="pct"/>
            <w:tcBorders>
              <w:tl2br w:val="nil"/>
              <w:tr2bl w:val="nil"/>
            </w:tcBorders>
          </w:tcPr>
          <w:p w14:paraId="7B996308">
            <w:pPr>
              <w:pStyle w:val="86"/>
              <w:widowControl w:val="0"/>
              <w:spacing w:after="0"/>
              <w:ind w:left="0" w:leftChars="0" w:firstLine="0" w:firstLineChars="0"/>
              <w:jc w:val="center"/>
              <w:rPr>
                <w:rFonts w:cs="Times New Roman"/>
                <w:sz w:val="21"/>
                <w:lang w:eastAsia="en-US"/>
              </w:rPr>
            </w:pPr>
            <w:r>
              <w:rPr>
                <w:lang w:eastAsia="en-US"/>
              </w:rPr>
              <w:t>46.95</w:t>
            </w:r>
          </w:p>
        </w:tc>
        <w:tc>
          <w:tcPr>
            <w:tcW w:w="241" w:type="pct"/>
            <w:tcBorders>
              <w:tl2br w:val="nil"/>
              <w:tr2bl w:val="nil"/>
            </w:tcBorders>
            <w:vAlign w:val="center"/>
          </w:tcPr>
          <w:p w14:paraId="4679156E">
            <w:pPr>
              <w:widowControl/>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.95</w:t>
            </w:r>
          </w:p>
        </w:tc>
        <w:tc>
          <w:tcPr>
            <w:tcW w:w="193" w:type="pct"/>
            <w:tcBorders>
              <w:tl2br w:val="nil"/>
              <w:tr2bl w:val="nil"/>
            </w:tcBorders>
            <w:vAlign w:val="center"/>
          </w:tcPr>
          <w:p w14:paraId="2E37E99D">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23975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4484E013">
            <w:pPr>
              <w:widowControl w:val="0"/>
              <w:jc w:val="center"/>
              <w:rPr>
                <w:rFonts w:cs="Times New Roman"/>
                <w:sz w:val="21"/>
                <w:lang w:eastAsia="en-US"/>
              </w:rPr>
            </w:pPr>
          </w:p>
        </w:tc>
        <w:tc>
          <w:tcPr>
            <w:tcW w:w="422" w:type="pct"/>
            <w:vMerge w:val="continue"/>
            <w:tcBorders>
              <w:tl2br w:val="nil"/>
              <w:tr2bl w:val="nil"/>
            </w:tcBorders>
            <w:vAlign w:val="center"/>
          </w:tcPr>
          <w:p w14:paraId="389511EB">
            <w:pPr>
              <w:pStyle w:val="86"/>
              <w:widowControl w:val="0"/>
              <w:spacing w:after="0"/>
              <w:ind w:left="0" w:leftChars="0" w:firstLine="0" w:firstLineChars="0"/>
              <w:jc w:val="center"/>
              <w:rPr>
                <w:rFonts w:cs="Times New Roman"/>
                <w:sz w:val="21"/>
                <w:lang w:eastAsia="en-US"/>
              </w:rPr>
            </w:pPr>
          </w:p>
        </w:tc>
        <w:tc>
          <w:tcPr>
            <w:tcW w:w="244" w:type="pct"/>
            <w:vMerge w:val="restart"/>
            <w:tcBorders>
              <w:tl2br w:val="nil"/>
              <w:tr2bl w:val="nil"/>
            </w:tcBorders>
            <w:vAlign w:val="center"/>
          </w:tcPr>
          <w:p w14:paraId="49DD361E">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2</w:t>
            </w:r>
          </w:p>
        </w:tc>
        <w:tc>
          <w:tcPr>
            <w:tcW w:w="213" w:type="pct"/>
            <w:tcBorders>
              <w:tl2br w:val="nil"/>
              <w:tr2bl w:val="nil"/>
            </w:tcBorders>
            <w:vAlign w:val="center"/>
          </w:tcPr>
          <w:p w14:paraId="4671FD42">
            <w:pPr>
              <w:pStyle w:val="86"/>
              <w:widowControl w:val="0"/>
              <w:spacing w:after="0"/>
              <w:ind w:left="0" w:leftChars="0" w:firstLine="0" w:firstLineChars="0"/>
              <w:jc w:val="center"/>
              <w:rPr>
                <w:rFonts w:cs="Times New Roman"/>
                <w:sz w:val="21"/>
                <w:lang w:eastAsia="en-US"/>
              </w:rPr>
            </w:pPr>
            <w:r>
              <w:rPr>
                <w:rFonts w:cs="Times New Roman"/>
                <w:sz w:val="21"/>
                <w:lang w:eastAsia="en-US"/>
              </w:rPr>
              <w:t>昼间</w:t>
            </w:r>
          </w:p>
        </w:tc>
        <w:tc>
          <w:tcPr>
            <w:tcW w:w="277" w:type="pct"/>
            <w:tcBorders>
              <w:tl2br w:val="nil"/>
              <w:tr2bl w:val="nil"/>
            </w:tcBorders>
            <w:vAlign w:val="center"/>
          </w:tcPr>
          <w:p w14:paraId="1E0D9715">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60</w:t>
            </w:r>
          </w:p>
        </w:tc>
        <w:tc>
          <w:tcPr>
            <w:tcW w:w="292" w:type="pct"/>
            <w:tcBorders>
              <w:tl2br w:val="nil"/>
              <w:tr2bl w:val="nil"/>
            </w:tcBorders>
            <w:vAlign w:val="center"/>
          </w:tcPr>
          <w:p w14:paraId="0A69CCC2">
            <w:pPr>
              <w:widowControl/>
              <w:jc w:val="center"/>
              <w:textAlignment w:val="bottom"/>
              <w:rPr>
                <w:rFonts w:cs="Times New Roman"/>
                <w:sz w:val="21"/>
                <w:lang w:eastAsia="zh-CN"/>
              </w:rPr>
            </w:pPr>
            <w:r>
              <w:rPr>
                <w:rFonts w:hint="eastAsia" w:cs="Times New Roman"/>
                <w:sz w:val="21"/>
                <w:lang w:eastAsia="zh-CN"/>
              </w:rPr>
              <w:t>5</w:t>
            </w:r>
            <w:r>
              <w:rPr>
                <w:rFonts w:cs="Times New Roman"/>
                <w:sz w:val="21"/>
                <w:lang w:eastAsia="zh-CN"/>
              </w:rPr>
              <w:t>2</w:t>
            </w:r>
          </w:p>
        </w:tc>
        <w:tc>
          <w:tcPr>
            <w:tcW w:w="302" w:type="pct"/>
            <w:tcBorders>
              <w:tl2br w:val="nil"/>
              <w:tr2bl w:val="nil"/>
            </w:tcBorders>
            <w:vAlign w:val="center"/>
          </w:tcPr>
          <w:p w14:paraId="17E0F6EF">
            <w:pPr>
              <w:widowControl/>
              <w:jc w:val="center"/>
              <w:textAlignment w:val="bottom"/>
              <w:rPr>
                <w:rFonts w:cs="Times New Roman"/>
                <w:sz w:val="21"/>
                <w:lang w:eastAsia="zh-CN"/>
              </w:rPr>
            </w:pPr>
            <w:r>
              <w:rPr>
                <w:rFonts w:cs="Times New Roman"/>
                <w:sz w:val="21"/>
                <w:lang w:eastAsia="zh-CN"/>
              </w:rPr>
              <w:t>52</w:t>
            </w:r>
          </w:p>
        </w:tc>
        <w:tc>
          <w:tcPr>
            <w:tcW w:w="239" w:type="pct"/>
            <w:tcBorders>
              <w:tl2br w:val="nil"/>
              <w:tr2bl w:val="nil"/>
            </w:tcBorders>
            <w:vAlign w:val="center"/>
          </w:tcPr>
          <w:p w14:paraId="2C6DFB1A">
            <w:pPr>
              <w:pStyle w:val="86"/>
              <w:widowControl w:val="0"/>
              <w:spacing w:after="0"/>
              <w:ind w:left="0" w:leftChars="0" w:firstLine="0" w:firstLineChars="0"/>
              <w:jc w:val="center"/>
              <w:rPr>
                <w:rFonts w:cs="Times New Roman"/>
                <w:sz w:val="21"/>
                <w:lang w:eastAsia="en-US"/>
              </w:rPr>
            </w:pPr>
            <w:r>
              <w:rPr>
                <w:rFonts w:cs="Times New Roman"/>
                <w:sz w:val="21"/>
                <w:lang w:eastAsia="en-US"/>
              </w:rPr>
              <w:t>44.23</w:t>
            </w:r>
          </w:p>
        </w:tc>
        <w:tc>
          <w:tcPr>
            <w:tcW w:w="239" w:type="pct"/>
            <w:tcBorders>
              <w:tl2br w:val="nil"/>
              <w:tr2bl w:val="nil"/>
            </w:tcBorders>
            <w:vAlign w:val="center"/>
          </w:tcPr>
          <w:p w14:paraId="1246EAD7">
            <w:pPr>
              <w:pStyle w:val="86"/>
              <w:widowControl w:val="0"/>
              <w:spacing w:after="0"/>
              <w:ind w:left="0" w:leftChars="0" w:firstLine="0" w:firstLineChars="0"/>
              <w:jc w:val="center"/>
              <w:rPr>
                <w:rFonts w:cs="Times New Roman"/>
                <w:sz w:val="21"/>
                <w:lang w:eastAsia="en-US"/>
              </w:rPr>
            </w:pPr>
            <w:r>
              <w:rPr>
                <w:rFonts w:cs="Times New Roman"/>
                <w:sz w:val="21"/>
                <w:lang w:eastAsia="en-US"/>
              </w:rPr>
              <w:t>52.67</w:t>
            </w:r>
          </w:p>
        </w:tc>
        <w:tc>
          <w:tcPr>
            <w:tcW w:w="239" w:type="pct"/>
            <w:tcBorders>
              <w:tl2br w:val="nil"/>
              <w:tr2bl w:val="nil"/>
            </w:tcBorders>
            <w:vAlign w:val="center"/>
          </w:tcPr>
          <w:p w14:paraId="45ABFE24">
            <w:pPr>
              <w:widowControl/>
              <w:jc w:val="center"/>
              <w:textAlignment w:val="bottom"/>
              <w:rPr>
                <w:rFonts w:cs="Times New Roman"/>
                <w:sz w:val="21"/>
                <w:lang w:eastAsia="en-US"/>
              </w:rPr>
            </w:pPr>
            <w:r>
              <w:rPr>
                <w:rFonts w:cs="Times New Roman"/>
                <w:sz w:val="21"/>
                <w:lang w:eastAsia="en-US"/>
              </w:rPr>
              <w:t>0.67</w:t>
            </w:r>
          </w:p>
        </w:tc>
        <w:tc>
          <w:tcPr>
            <w:tcW w:w="272" w:type="pct"/>
            <w:tcBorders>
              <w:tl2br w:val="nil"/>
              <w:tr2bl w:val="nil"/>
            </w:tcBorders>
            <w:vAlign w:val="center"/>
          </w:tcPr>
          <w:p w14:paraId="72418238">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562D81B3">
            <w:pPr>
              <w:pStyle w:val="86"/>
              <w:widowControl w:val="0"/>
              <w:spacing w:after="0"/>
              <w:ind w:left="0" w:leftChars="0" w:firstLine="0" w:firstLineChars="0"/>
              <w:jc w:val="center"/>
              <w:rPr>
                <w:rFonts w:cs="Times New Roman"/>
                <w:sz w:val="21"/>
                <w:lang w:eastAsia="en-US"/>
              </w:rPr>
            </w:pPr>
            <w:r>
              <w:rPr>
                <w:rFonts w:cs="Times New Roman"/>
                <w:sz w:val="21"/>
                <w:lang w:eastAsia="en-US"/>
              </w:rPr>
              <w:t>45.81</w:t>
            </w:r>
          </w:p>
        </w:tc>
        <w:tc>
          <w:tcPr>
            <w:tcW w:w="240" w:type="pct"/>
            <w:tcBorders>
              <w:tl2br w:val="nil"/>
              <w:tr2bl w:val="nil"/>
            </w:tcBorders>
            <w:vAlign w:val="center"/>
          </w:tcPr>
          <w:p w14:paraId="2AD58479">
            <w:pPr>
              <w:pStyle w:val="86"/>
              <w:widowControl w:val="0"/>
              <w:spacing w:after="0"/>
              <w:ind w:left="0" w:leftChars="0" w:firstLine="0" w:firstLineChars="0"/>
              <w:jc w:val="center"/>
              <w:rPr>
                <w:rFonts w:cs="Times New Roman"/>
                <w:sz w:val="21"/>
                <w:lang w:eastAsia="en-US"/>
              </w:rPr>
            </w:pPr>
            <w:r>
              <w:rPr>
                <w:rFonts w:cs="Times New Roman"/>
                <w:sz w:val="21"/>
                <w:lang w:eastAsia="en-US"/>
              </w:rPr>
              <w:t>52.94</w:t>
            </w:r>
          </w:p>
        </w:tc>
        <w:tc>
          <w:tcPr>
            <w:tcW w:w="241" w:type="pct"/>
            <w:tcBorders>
              <w:tl2br w:val="nil"/>
              <w:tr2bl w:val="nil"/>
            </w:tcBorders>
            <w:vAlign w:val="center"/>
          </w:tcPr>
          <w:p w14:paraId="5C47E4A1">
            <w:pPr>
              <w:widowControl/>
              <w:jc w:val="center"/>
              <w:textAlignment w:val="bottom"/>
              <w:rPr>
                <w:rFonts w:cs="Times New Roman"/>
                <w:sz w:val="21"/>
                <w:lang w:eastAsia="en-US"/>
              </w:rPr>
            </w:pPr>
            <w:r>
              <w:rPr>
                <w:rFonts w:cs="Times New Roman"/>
                <w:sz w:val="21"/>
                <w:lang w:eastAsia="en-US"/>
              </w:rPr>
              <w:t>0.94</w:t>
            </w:r>
          </w:p>
        </w:tc>
        <w:tc>
          <w:tcPr>
            <w:tcW w:w="266" w:type="pct"/>
            <w:tcBorders>
              <w:tl2br w:val="nil"/>
              <w:tr2bl w:val="nil"/>
            </w:tcBorders>
            <w:vAlign w:val="center"/>
          </w:tcPr>
          <w:p w14:paraId="4D1AEA0D">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tcPr>
          <w:p w14:paraId="1C91CE57">
            <w:pPr>
              <w:pStyle w:val="86"/>
              <w:widowControl w:val="0"/>
              <w:spacing w:after="0"/>
              <w:ind w:left="0" w:leftChars="0" w:firstLine="0" w:firstLineChars="0"/>
              <w:jc w:val="center"/>
              <w:rPr>
                <w:rFonts w:cs="Times New Roman"/>
                <w:sz w:val="21"/>
                <w:lang w:eastAsia="en-US"/>
              </w:rPr>
            </w:pPr>
            <w:r>
              <w:rPr>
                <w:lang w:eastAsia="en-US"/>
              </w:rPr>
              <w:t>47.57</w:t>
            </w:r>
          </w:p>
        </w:tc>
        <w:tc>
          <w:tcPr>
            <w:tcW w:w="241" w:type="pct"/>
            <w:tcBorders>
              <w:tl2br w:val="nil"/>
              <w:tr2bl w:val="nil"/>
            </w:tcBorders>
          </w:tcPr>
          <w:p w14:paraId="20A59C60">
            <w:pPr>
              <w:pStyle w:val="86"/>
              <w:widowControl w:val="0"/>
              <w:spacing w:after="0"/>
              <w:ind w:left="0" w:leftChars="0" w:firstLine="0" w:firstLineChars="0"/>
              <w:jc w:val="center"/>
              <w:rPr>
                <w:rFonts w:cs="Times New Roman"/>
                <w:sz w:val="21"/>
                <w:lang w:eastAsia="en-US"/>
              </w:rPr>
            </w:pPr>
            <w:r>
              <w:rPr>
                <w:lang w:eastAsia="en-US"/>
              </w:rPr>
              <w:t>53.34</w:t>
            </w:r>
          </w:p>
        </w:tc>
        <w:tc>
          <w:tcPr>
            <w:tcW w:w="241" w:type="pct"/>
            <w:tcBorders>
              <w:tl2br w:val="nil"/>
              <w:tr2bl w:val="nil"/>
            </w:tcBorders>
            <w:vAlign w:val="center"/>
          </w:tcPr>
          <w:p w14:paraId="0C6CCE45">
            <w:pPr>
              <w:widowControl/>
              <w:jc w:val="center"/>
              <w:textAlignment w:val="bottom"/>
              <w:rPr>
                <w:rFonts w:cs="Times New Roman"/>
                <w:sz w:val="21"/>
                <w:lang w:eastAsia="en-US"/>
              </w:rPr>
            </w:pPr>
            <w:r>
              <w:rPr>
                <w:rFonts w:hint="eastAsia" w:cs="Times New Roman"/>
                <w:sz w:val="21"/>
                <w:lang w:eastAsia="zh-CN"/>
              </w:rPr>
              <w:t>1</w:t>
            </w:r>
            <w:r>
              <w:rPr>
                <w:rFonts w:cs="Times New Roman"/>
                <w:sz w:val="21"/>
                <w:lang w:eastAsia="zh-CN"/>
              </w:rPr>
              <w:t>.34</w:t>
            </w:r>
          </w:p>
        </w:tc>
        <w:tc>
          <w:tcPr>
            <w:tcW w:w="193" w:type="pct"/>
            <w:tcBorders>
              <w:tl2br w:val="nil"/>
              <w:tr2bl w:val="nil"/>
            </w:tcBorders>
            <w:vAlign w:val="center"/>
          </w:tcPr>
          <w:p w14:paraId="4531D3CE">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r w14:paraId="36757F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359" w:type="pct"/>
            <w:vMerge w:val="continue"/>
            <w:tcBorders>
              <w:tl2br w:val="nil"/>
              <w:tr2bl w:val="nil"/>
            </w:tcBorders>
            <w:vAlign w:val="center"/>
          </w:tcPr>
          <w:p w14:paraId="00B7279A">
            <w:pPr>
              <w:widowControl/>
              <w:jc w:val="center"/>
              <w:textAlignment w:val="center"/>
              <w:rPr>
                <w:rFonts w:cs="Times New Roman"/>
                <w:sz w:val="21"/>
                <w:lang w:eastAsia="en-US"/>
              </w:rPr>
            </w:pPr>
          </w:p>
        </w:tc>
        <w:tc>
          <w:tcPr>
            <w:tcW w:w="422" w:type="pct"/>
            <w:vMerge w:val="continue"/>
            <w:tcBorders>
              <w:tl2br w:val="nil"/>
              <w:tr2bl w:val="nil"/>
            </w:tcBorders>
            <w:vAlign w:val="center"/>
          </w:tcPr>
          <w:p w14:paraId="0D76F3D9">
            <w:pPr>
              <w:pStyle w:val="86"/>
              <w:widowControl w:val="0"/>
              <w:spacing w:after="0"/>
              <w:ind w:left="0" w:leftChars="0" w:firstLine="0" w:firstLineChars="0"/>
              <w:jc w:val="center"/>
              <w:rPr>
                <w:rFonts w:cs="Times New Roman"/>
                <w:sz w:val="21"/>
                <w:lang w:eastAsia="en-US"/>
              </w:rPr>
            </w:pPr>
          </w:p>
        </w:tc>
        <w:tc>
          <w:tcPr>
            <w:tcW w:w="244" w:type="pct"/>
            <w:vMerge w:val="continue"/>
            <w:tcBorders>
              <w:tl2br w:val="nil"/>
              <w:tr2bl w:val="nil"/>
            </w:tcBorders>
            <w:vAlign w:val="center"/>
          </w:tcPr>
          <w:p w14:paraId="27758874">
            <w:pPr>
              <w:pStyle w:val="86"/>
              <w:widowControl w:val="0"/>
              <w:spacing w:after="0"/>
              <w:ind w:left="0" w:leftChars="0" w:firstLine="0" w:firstLineChars="0"/>
              <w:jc w:val="center"/>
              <w:rPr>
                <w:rFonts w:cs="Times New Roman"/>
                <w:sz w:val="21"/>
                <w:lang w:eastAsia="en-US"/>
              </w:rPr>
            </w:pPr>
          </w:p>
        </w:tc>
        <w:tc>
          <w:tcPr>
            <w:tcW w:w="213" w:type="pct"/>
            <w:tcBorders>
              <w:tl2br w:val="nil"/>
              <w:tr2bl w:val="nil"/>
            </w:tcBorders>
            <w:vAlign w:val="center"/>
          </w:tcPr>
          <w:p w14:paraId="63008718">
            <w:pPr>
              <w:pStyle w:val="86"/>
              <w:widowControl w:val="0"/>
              <w:spacing w:after="0"/>
              <w:ind w:left="0" w:leftChars="0" w:firstLine="0" w:firstLineChars="0"/>
              <w:jc w:val="center"/>
              <w:rPr>
                <w:rFonts w:cs="Times New Roman"/>
                <w:sz w:val="21"/>
                <w:lang w:eastAsia="en-US"/>
              </w:rPr>
            </w:pPr>
            <w:r>
              <w:rPr>
                <w:rFonts w:cs="Times New Roman"/>
                <w:sz w:val="21"/>
                <w:lang w:eastAsia="en-US"/>
              </w:rPr>
              <w:t>夜间</w:t>
            </w:r>
          </w:p>
        </w:tc>
        <w:tc>
          <w:tcPr>
            <w:tcW w:w="277" w:type="pct"/>
            <w:tcBorders>
              <w:tl2br w:val="nil"/>
              <w:tr2bl w:val="nil"/>
            </w:tcBorders>
            <w:vAlign w:val="center"/>
          </w:tcPr>
          <w:p w14:paraId="264B87B6">
            <w:pPr>
              <w:pStyle w:val="86"/>
              <w:widowControl w:val="0"/>
              <w:spacing w:after="0"/>
              <w:ind w:left="0" w:leftChars="0" w:firstLine="0" w:firstLineChars="0"/>
              <w:jc w:val="center"/>
              <w:rPr>
                <w:rFonts w:cs="Times New Roman"/>
                <w:sz w:val="21"/>
                <w:lang w:eastAsia="en-US"/>
              </w:rPr>
            </w:pPr>
            <w:r>
              <w:rPr>
                <w:rFonts w:hint="eastAsia" w:cs="Times New Roman"/>
                <w:sz w:val="21"/>
                <w:lang w:eastAsia="en-US"/>
              </w:rPr>
              <w:t>50</w:t>
            </w:r>
          </w:p>
        </w:tc>
        <w:tc>
          <w:tcPr>
            <w:tcW w:w="292" w:type="pct"/>
            <w:tcBorders>
              <w:tl2br w:val="nil"/>
              <w:tr2bl w:val="nil"/>
            </w:tcBorders>
            <w:vAlign w:val="center"/>
          </w:tcPr>
          <w:p w14:paraId="3AA22723">
            <w:pPr>
              <w:widowControl/>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2</w:t>
            </w:r>
          </w:p>
        </w:tc>
        <w:tc>
          <w:tcPr>
            <w:tcW w:w="302" w:type="pct"/>
            <w:tcBorders>
              <w:tl2br w:val="nil"/>
              <w:tr2bl w:val="nil"/>
            </w:tcBorders>
            <w:vAlign w:val="center"/>
          </w:tcPr>
          <w:p w14:paraId="79C43145">
            <w:pPr>
              <w:widowControl/>
              <w:jc w:val="center"/>
              <w:textAlignment w:val="bottom"/>
              <w:rPr>
                <w:rFonts w:cs="Times New Roman"/>
                <w:sz w:val="21"/>
                <w:lang w:eastAsia="zh-CN"/>
              </w:rPr>
            </w:pPr>
            <w:r>
              <w:rPr>
                <w:rFonts w:hint="eastAsia" w:cs="Times New Roman"/>
                <w:sz w:val="21"/>
                <w:lang w:eastAsia="zh-CN"/>
              </w:rPr>
              <w:t>4</w:t>
            </w:r>
            <w:r>
              <w:rPr>
                <w:rFonts w:cs="Times New Roman"/>
                <w:sz w:val="21"/>
                <w:lang w:eastAsia="zh-CN"/>
              </w:rPr>
              <w:t>2</w:t>
            </w:r>
          </w:p>
        </w:tc>
        <w:tc>
          <w:tcPr>
            <w:tcW w:w="239" w:type="pct"/>
            <w:tcBorders>
              <w:tl2br w:val="nil"/>
              <w:tr2bl w:val="nil"/>
            </w:tcBorders>
            <w:vAlign w:val="center"/>
          </w:tcPr>
          <w:p w14:paraId="76A30FCF">
            <w:pPr>
              <w:pStyle w:val="86"/>
              <w:widowControl w:val="0"/>
              <w:spacing w:after="0"/>
              <w:ind w:left="0" w:leftChars="0" w:firstLine="0" w:firstLineChars="0"/>
              <w:jc w:val="center"/>
              <w:rPr>
                <w:rFonts w:cs="Times New Roman"/>
                <w:sz w:val="21"/>
                <w:lang w:eastAsia="en-US"/>
              </w:rPr>
            </w:pPr>
            <w:r>
              <w:rPr>
                <w:rFonts w:cs="Times New Roman"/>
                <w:sz w:val="21"/>
                <w:lang w:eastAsia="en-US"/>
              </w:rPr>
              <w:t>41.93</w:t>
            </w:r>
          </w:p>
        </w:tc>
        <w:tc>
          <w:tcPr>
            <w:tcW w:w="239" w:type="pct"/>
            <w:tcBorders>
              <w:tl2br w:val="nil"/>
              <w:tr2bl w:val="nil"/>
            </w:tcBorders>
            <w:vAlign w:val="center"/>
          </w:tcPr>
          <w:p w14:paraId="68A28031">
            <w:pPr>
              <w:pStyle w:val="86"/>
              <w:widowControl w:val="0"/>
              <w:spacing w:after="0"/>
              <w:ind w:left="0" w:leftChars="0" w:firstLine="0" w:firstLineChars="0"/>
              <w:jc w:val="center"/>
              <w:rPr>
                <w:rFonts w:cs="Times New Roman"/>
                <w:sz w:val="21"/>
                <w:lang w:eastAsia="en-US"/>
              </w:rPr>
            </w:pPr>
            <w:r>
              <w:rPr>
                <w:rFonts w:cs="Times New Roman"/>
                <w:sz w:val="21"/>
                <w:lang w:eastAsia="en-US"/>
              </w:rPr>
              <w:t>44.98</w:t>
            </w:r>
          </w:p>
        </w:tc>
        <w:tc>
          <w:tcPr>
            <w:tcW w:w="239" w:type="pct"/>
            <w:tcBorders>
              <w:tl2br w:val="nil"/>
              <w:tr2bl w:val="nil"/>
            </w:tcBorders>
            <w:vAlign w:val="center"/>
          </w:tcPr>
          <w:p w14:paraId="3D1CCBB7">
            <w:pPr>
              <w:widowControl/>
              <w:jc w:val="center"/>
              <w:textAlignment w:val="bottom"/>
              <w:rPr>
                <w:rFonts w:cs="Times New Roman"/>
                <w:sz w:val="21"/>
                <w:lang w:eastAsia="en-US"/>
              </w:rPr>
            </w:pPr>
            <w:r>
              <w:rPr>
                <w:rFonts w:cs="Times New Roman"/>
                <w:sz w:val="21"/>
                <w:lang w:eastAsia="en-US"/>
              </w:rPr>
              <w:t>2.98</w:t>
            </w:r>
          </w:p>
        </w:tc>
        <w:tc>
          <w:tcPr>
            <w:tcW w:w="272" w:type="pct"/>
            <w:tcBorders>
              <w:tl2br w:val="nil"/>
              <w:tr2bl w:val="nil"/>
            </w:tcBorders>
            <w:vAlign w:val="center"/>
          </w:tcPr>
          <w:p w14:paraId="14C0053F">
            <w:pPr>
              <w:pStyle w:val="86"/>
              <w:widowControl w:val="0"/>
              <w:spacing w:after="0"/>
              <w:ind w:left="0" w:leftChars="0" w:firstLine="0" w:firstLineChars="0"/>
              <w:jc w:val="center"/>
              <w:rPr>
                <w:rFonts w:cs="Times New Roman"/>
                <w:sz w:val="21"/>
                <w:lang w:eastAsia="zh-CN"/>
              </w:rPr>
            </w:pPr>
            <w:r>
              <w:rPr>
                <w:rFonts w:hint="eastAsia" w:cs="Times New Roman"/>
                <w:sz w:val="21"/>
                <w:lang w:eastAsia="zh-CN"/>
              </w:rPr>
              <w:t>/</w:t>
            </w:r>
          </w:p>
        </w:tc>
        <w:tc>
          <w:tcPr>
            <w:tcW w:w="239" w:type="pct"/>
            <w:tcBorders>
              <w:tl2br w:val="nil"/>
              <w:tr2bl w:val="nil"/>
            </w:tcBorders>
            <w:vAlign w:val="center"/>
          </w:tcPr>
          <w:p w14:paraId="25960C98">
            <w:pPr>
              <w:pStyle w:val="86"/>
              <w:widowControl w:val="0"/>
              <w:spacing w:after="0"/>
              <w:ind w:left="0" w:leftChars="0" w:firstLine="0" w:firstLineChars="0"/>
              <w:jc w:val="center"/>
              <w:rPr>
                <w:rFonts w:cs="Times New Roman"/>
                <w:sz w:val="21"/>
                <w:lang w:eastAsia="en-US"/>
              </w:rPr>
            </w:pPr>
            <w:r>
              <w:rPr>
                <w:rFonts w:cs="Times New Roman"/>
                <w:sz w:val="21"/>
                <w:lang w:eastAsia="en-US"/>
              </w:rPr>
              <w:t>43.53</w:t>
            </w:r>
          </w:p>
        </w:tc>
        <w:tc>
          <w:tcPr>
            <w:tcW w:w="240" w:type="pct"/>
            <w:tcBorders>
              <w:tl2br w:val="nil"/>
              <w:tr2bl w:val="nil"/>
            </w:tcBorders>
            <w:vAlign w:val="center"/>
          </w:tcPr>
          <w:p w14:paraId="086DDA5F">
            <w:pPr>
              <w:pStyle w:val="86"/>
              <w:widowControl w:val="0"/>
              <w:spacing w:after="0"/>
              <w:ind w:left="0" w:leftChars="0" w:firstLine="0" w:firstLineChars="0"/>
              <w:jc w:val="center"/>
              <w:rPr>
                <w:rFonts w:cs="Times New Roman"/>
                <w:sz w:val="21"/>
                <w:lang w:eastAsia="en-US"/>
              </w:rPr>
            </w:pPr>
            <w:r>
              <w:rPr>
                <w:rFonts w:cs="Times New Roman"/>
                <w:sz w:val="21"/>
                <w:lang w:eastAsia="en-US"/>
              </w:rPr>
              <w:t>45.84</w:t>
            </w:r>
          </w:p>
        </w:tc>
        <w:tc>
          <w:tcPr>
            <w:tcW w:w="241" w:type="pct"/>
            <w:tcBorders>
              <w:tl2br w:val="nil"/>
              <w:tr2bl w:val="nil"/>
            </w:tcBorders>
            <w:vAlign w:val="center"/>
          </w:tcPr>
          <w:p w14:paraId="795F15FF">
            <w:pPr>
              <w:widowControl/>
              <w:jc w:val="center"/>
              <w:textAlignment w:val="bottom"/>
              <w:rPr>
                <w:rFonts w:cs="Times New Roman"/>
                <w:sz w:val="21"/>
                <w:lang w:eastAsia="en-US"/>
              </w:rPr>
            </w:pPr>
            <w:r>
              <w:rPr>
                <w:rFonts w:cs="Times New Roman"/>
                <w:sz w:val="21"/>
                <w:lang w:eastAsia="en-US"/>
              </w:rPr>
              <w:t>3.84</w:t>
            </w:r>
          </w:p>
        </w:tc>
        <w:tc>
          <w:tcPr>
            <w:tcW w:w="266" w:type="pct"/>
            <w:tcBorders>
              <w:tl2br w:val="nil"/>
              <w:tr2bl w:val="nil"/>
            </w:tcBorders>
            <w:vAlign w:val="center"/>
          </w:tcPr>
          <w:p w14:paraId="4FDBCD46">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c>
          <w:tcPr>
            <w:tcW w:w="241" w:type="pct"/>
            <w:tcBorders>
              <w:tl2br w:val="nil"/>
              <w:tr2bl w:val="nil"/>
            </w:tcBorders>
          </w:tcPr>
          <w:p w14:paraId="3E5ED72A">
            <w:pPr>
              <w:pStyle w:val="86"/>
              <w:widowControl w:val="0"/>
              <w:spacing w:after="0"/>
              <w:ind w:left="0" w:leftChars="0" w:firstLine="0" w:firstLineChars="0"/>
              <w:jc w:val="center"/>
              <w:rPr>
                <w:rFonts w:cs="Times New Roman"/>
                <w:sz w:val="21"/>
                <w:lang w:eastAsia="en-US"/>
              </w:rPr>
            </w:pPr>
            <w:r>
              <w:rPr>
                <w:lang w:eastAsia="en-US"/>
              </w:rPr>
              <w:t>45.27</w:t>
            </w:r>
          </w:p>
        </w:tc>
        <w:tc>
          <w:tcPr>
            <w:tcW w:w="241" w:type="pct"/>
            <w:tcBorders>
              <w:tl2br w:val="nil"/>
              <w:tr2bl w:val="nil"/>
            </w:tcBorders>
          </w:tcPr>
          <w:p w14:paraId="57712CD7">
            <w:pPr>
              <w:pStyle w:val="86"/>
              <w:widowControl w:val="0"/>
              <w:spacing w:after="0"/>
              <w:ind w:left="0" w:leftChars="0" w:firstLine="0" w:firstLineChars="0"/>
              <w:jc w:val="center"/>
              <w:rPr>
                <w:rFonts w:cs="Times New Roman"/>
                <w:sz w:val="21"/>
                <w:lang w:eastAsia="en-US"/>
              </w:rPr>
            </w:pPr>
            <w:r>
              <w:rPr>
                <w:lang w:eastAsia="en-US"/>
              </w:rPr>
              <w:t>46.95</w:t>
            </w:r>
          </w:p>
        </w:tc>
        <w:tc>
          <w:tcPr>
            <w:tcW w:w="241" w:type="pct"/>
            <w:tcBorders>
              <w:tl2br w:val="nil"/>
              <w:tr2bl w:val="nil"/>
            </w:tcBorders>
            <w:vAlign w:val="center"/>
          </w:tcPr>
          <w:p w14:paraId="2BD211FE">
            <w:pPr>
              <w:widowControl/>
              <w:jc w:val="center"/>
              <w:textAlignment w:val="bottom"/>
              <w:rPr>
                <w:rFonts w:cs="Times New Roman"/>
                <w:sz w:val="21"/>
                <w:lang w:eastAsia="en-US"/>
              </w:rPr>
            </w:pPr>
            <w:r>
              <w:rPr>
                <w:rFonts w:hint="eastAsia" w:cs="Times New Roman"/>
                <w:sz w:val="21"/>
                <w:lang w:eastAsia="zh-CN"/>
              </w:rPr>
              <w:t>4</w:t>
            </w:r>
            <w:r>
              <w:rPr>
                <w:rFonts w:cs="Times New Roman"/>
                <w:sz w:val="21"/>
                <w:lang w:eastAsia="zh-CN"/>
              </w:rPr>
              <w:t>.95</w:t>
            </w:r>
          </w:p>
        </w:tc>
        <w:tc>
          <w:tcPr>
            <w:tcW w:w="193" w:type="pct"/>
            <w:tcBorders>
              <w:tl2br w:val="nil"/>
              <w:tr2bl w:val="nil"/>
            </w:tcBorders>
            <w:vAlign w:val="center"/>
          </w:tcPr>
          <w:p w14:paraId="3509079A">
            <w:pPr>
              <w:pStyle w:val="86"/>
              <w:widowControl w:val="0"/>
              <w:spacing w:after="0"/>
              <w:ind w:left="0" w:leftChars="0" w:firstLine="0" w:firstLineChars="0"/>
              <w:jc w:val="center"/>
              <w:rPr>
                <w:rFonts w:cs="Times New Roman"/>
                <w:sz w:val="21"/>
                <w:lang w:eastAsia="en-US"/>
              </w:rPr>
            </w:pPr>
            <w:r>
              <w:rPr>
                <w:rFonts w:hint="eastAsia" w:cs="Times New Roman"/>
                <w:sz w:val="21"/>
                <w:lang w:eastAsia="zh-CN"/>
              </w:rPr>
              <w:t>/</w:t>
            </w:r>
          </w:p>
        </w:tc>
      </w:tr>
    </w:tbl>
    <w:p w14:paraId="56DAD702">
      <w:pPr>
        <w:ind w:firstLine="480"/>
        <w:rPr>
          <w:rFonts w:cs="Times New Roman"/>
          <w:color w:val="000000" w:themeColor="text1"/>
          <w14:textFill>
            <w14:solidFill>
              <w14:schemeClr w14:val="tx1"/>
            </w14:solidFill>
          </w14:textFill>
        </w:rPr>
        <w:sectPr>
          <w:pgSz w:w="16838" w:h="11906" w:orient="landscape"/>
          <w:pgMar w:top="1800" w:right="1440" w:bottom="1800" w:left="1440" w:header="850" w:footer="680" w:gutter="0"/>
          <w:pgNumType w:fmt="numberInDash"/>
          <w:cols w:space="425" w:num="1"/>
          <w:docGrid w:type="lines" w:linePitch="326" w:charSpace="0"/>
        </w:sectPr>
      </w:pPr>
    </w:p>
    <w:p w14:paraId="7B23B503">
      <w:pPr>
        <w:spacing w:line="360"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本项目声环境影响自查表见5.3-9。</w:t>
      </w:r>
    </w:p>
    <w:p w14:paraId="23E41DBE">
      <w:pPr>
        <w:spacing w:before="156" w:beforeLines="50"/>
        <w:contextualSpacing/>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表5.3-9 声环境影响评价自查表</w:t>
      </w:r>
    </w:p>
    <w:tbl>
      <w:tblPr>
        <w:tblStyle w:val="87"/>
        <w:tblW w:w="87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13"/>
        <w:gridCol w:w="1090"/>
        <w:gridCol w:w="547"/>
        <w:gridCol w:w="315"/>
        <w:gridCol w:w="232"/>
        <w:gridCol w:w="6"/>
        <w:gridCol w:w="99"/>
        <w:gridCol w:w="477"/>
        <w:gridCol w:w="458"/>
        <w:gridCol w:w="58"/>
        <w:gridCol w:w="659"/>
        <w:gridCol w:w="38"/>
        <w:gridCol w:w="394"/>
        <w:gridCol w:w="114"/>
        <w:gridCol w:w="455"/>
        <w:gridCol w:w="446"/>
        <w:gridCol w:w="77"/>
        <w:gridCol w:w="1026"/>
      </w:tblGrid>
      <w:tr w14:paraId="6C20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283" w:type="dxa"/>
            <w:gridSpan w:val="2"/>
            <w:vAlign w:val="center"/>
          </w:tcPr>
          <w:p w14:paraId="0155BA0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工作内容</w:t>
            </w:r>
          </w:p>
        </w:tc>
        <w:tc>
          <w:tcPr>
            <w:tcW w:w="6491" w:type="dxa"/>
            <w:gridSpan w:val="17"/>
            <w:vAlign w:val="center"/>
          </w:tcPr>
          <w:p w14:paraId="50CD3969">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自查项目</w:t>
            </w:r>
          </w:p>
        </w:tc>
      </w:tr>
      <w:tr w14:paraId="7BE9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vAlign w:val="center"/>
          </w:tcPr>
          <w:p w14:paraId="31089EBB">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评价等级与范围</w:t>
            </w:r>
          </w:p>
        </w:tc>
        <w:tc>
          <w:tcPr>
            <w:tcW w:w="1413" w:type="dxa"/>
            <w:vAlign w:val="center"/>
          </w:tcPr>
          <w:p w14:paraId="32BE42A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评价等级</w:t>
            </w:r>
          </w:p>
        </w:tc>
        <w:tc>
          <w:tcPr>
            <w:tcW w:w="6491" w:type="dxa"/>
            <w:gridSpan w:val="17"/>
            <w:vAlign w:val="center"/>
          </w:tcPr>
          <w:p w14:paraId="480ED40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一级□二级</w:t>
            </w:r>
            <w:r>
              <w:rPr>
                <w:rFonts w:ascii="Times New Roman" w:hAnsi="Times New Roman" w:cs="Times New Roman"/>
                <w:color w:val="000000" w:themeColor="text1"/>
                <w:sz w:val="18"/>
                <w:szCs w:val="18"/>
                <w14:textFill>
                  <w14:solidFill>
                    <w14:schemeClr w14:val="tx1"/>
                  </w14:solidFill>
                </w14:textFill>
              </w:rPr>
              <w:sym w:font="Wingdings 2" w:char="0052"/>
            </w:r>
            <w:r>
              <w:rPr>
                <w:rFonts w:ascii="Times New Roman" w:hAnsi="Times New Roman" w:cs="Times New Roman"/>
                <w:color w:val="000000" w:themeColor="text1"/>
                <w:sz w:val="18"/>
                <w:szCs w:val="18"/>
                <w14:textFill>
                  <w14:solidFill>
                    <w14:schemeClr w14:val="tx1"/>
                  </w14:solidFill>
                </w14:textFill>
              </w:rPr>
              <w:t>三级□</w:t>
            </w:r>
          </w:p>
        </w:tc>
      </w:tr>
      <w:tr w14:paraId="6C1C0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70" w:type="dxa"/>
            <w:vMerge w:val="continue"/>
            <w:vAlign w:val="center"/>
          </w:tcPr>
          <w:p w14:paraId="3A141FF4">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311A9A0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评价范围</w:t>
            </w:r>
          </w:p>
        </w:tc>
        <w:tc>
          <w:tcPr>
            <w:tcW w:w="6491" w:type="dxa"/>
            <w:gridSpan w:val="17"/>
            <w:vAlign w:val="center"/>
          </w:tcPr>
          <w:p w14:paraId="6492BAFA">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200m</w:t>
            </w:r>
            <w:r>
              <w:rPr>
                <w:rFonts w:ascii="Times New Roman" w:hAnsi="Times New Roman" w:cs="Times New Roman"/>
                <w:color w:val="000000" w:themeColor="text1"/>
                <w:sz w:val="18"/>
                <w:szCs w:val="18"/>
                <w14:textFill>
                  <w14:solidFill>
                    <w14:schemeClr w14:val="tx1"/>
                  </w14:solidFill>
                </w14:textFill>
              </w:rPr>
              <w:sym w:font="Wingdings 2" w:char="0052"/>
            </w:r>
            <w:r>
              <w:rPr>
                <w:rFonts w:ascii="Times New Roman" w:hAnsi="Times New Roman" w:cs="Times New Roman"/>
                <w:color w:val="000000" w:themeColor="text1"/>
                <w:sz w:val="18"/>
                <w:szCs w:val="18"/>
                <w14:textFill>
                  <w14:solidFill>
                    <w14:schemeClr w14:val="tx1"/>
                  </w14:solidFill>
                </w14:textFill>
              </w:rPr>
              <w:t>大于200m□小于200m□</w:t>
            </w:r>
          </w:p>
        </w:tc>
      </w:tr>
      <w:tr w14:paraId="489B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70" w:type="dxa"/>
            <w:vAlign w:val="center"/>
          </w:tcPr>
          <w:p w14:paraId="0A1A4249">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评价因子</w:t>
            </w:r>
          </w:p>
        </w:tc>
        <w:tc>
          <w:tcPr>
            <w:tcW w:w="1413" w:type="dxa"/>
            <w:vAlign w:val="center"/>
          </w:tcPr>
          <w:p w14:paraId="2C6DB12E">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评价因子</w:t>
            </w:r>
          </w:p>
        </w:tc>
        <w:tc>
          <w:tcPr>
            <w:tcW w:w="2289" w:type="dxa"/>
            <w:gridSpan w:val="6"/>
            <w:vAlign w:val="center"/>
          </w:tcPr>
          <w:p w14:paraId="0732F034">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等效连续A声级</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1690" w:type="dxa"/>
            <w:gridSpan w:val="5"/>
            <w:vAlign w:val="center"/>
          </w:tcPr>
          <w:p w14:paraId="4835C119">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最大A声级□</w:t>
            </w:r>
          </w:p>
        </w:tc>
        <w:tc>
          <w:tcPr>
            <w:tcW w:w="2512" w:type="dxa"/>
            <w:gridSpan w:val="6"/>
            <w:vAlign w:val="center"/>
          </w:tcPr>
          <w:p w14:paraId="513DBD7D">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计权等效连续感觉噪声级□</w:t>
            </w:r>
          </w:p>
        </w:tc>
      </w:tr>
      <w:tr w14:paraId="070B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70" w:type="dxa"/>
            <w:vAlign w:val="center"/>
          </w:tcPr>
          <w:p w14:paraId="07736622">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评价标准</w:t>
            </w:r>
          </w:p>
        </w:tc>
        <w:tc>
          <w:tcPr>
            <w:tcW w:w="1413" w:type="dxa"/>
            <w:vAlign w:val="center"/>
          </w:tcPr>
          <w:p w14:paraId="7121CDB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评价标准</w:t>
            </w:r>
          </w:p>
        </w:tc>
        <w:tc>
          <w:tcPr>
            <w:tcW w:w="2289" w:type="dxa"/>
            <w:gridSpan w:val="6"/>
            <w:vAlign w:val="center"/>
          </w:tcPr>
          <w:p w14:paraId="38DCC0A4">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国家标准</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1690" w:type="dxa"/>
            <w:gridSpan w:val="5"/>
            <w:vAlign w:val="center"/>
          </w:tcPr>
          <w:p w14:paraId="07D7160B">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地方标准□</w:t>
            </w:r>
          </w:p>
        </w:tc>
        <w:tc>
          <w:tcPr>
            <w:tcW w:w="1409" w:type="dxa"/>
            <w:gridSpan w:val="4"/>
            <w:vAlign w:val="center"/>
          </w:tcPr>
          <w:p w14:paraId="61755BE4">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103" w:type="dxa"/>
            <w:gridSpan w:val="2"/>
            <w:vAlign w:val="center"/>
          </w:tcPr>
          <w:p w14:paraId="6E5326FF">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国外标准□</w:t>
            </w:r>
          </w:p>
        </w:tc>
      </w:tr>
      <w:tr w14:paraId="2339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vAlign w:val="center"/>
          </w:tcPr>
          <w:p w14:paraId="711FF4ED">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现状评价</w:t>
            </w:r>
          </w:p>
        </w:tc>
        <w:tc>
          <w:tcPr>
            <w:tcW w:w="1413" w:type="dxa"/>
            <w:vAlign w:val="center"/>
          </w:tcPr>
          <w:p w14:paraId="72040A4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环境功能区</w:t>
            </w:r>
          </w:p>
        </w:tc>
        <w:tc>
          <w:tcPr>
            <w:tcW w:w="1090" w:type="dxa"/>
            <w:vAlign w:val="center"/>
          </w:tcPr>
          <w:p w14:paraId="200A37A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0类区□</w:t>
            </w:r>
          </w:p>
        </w:tc>
        <w:tc>
          <w:tcPr>
            <w:tcW w:w="1094" w:type="dxa"/>
            <w:gridSpan w:val="3"/>
            <w:vAlign w:val="center"/>
          </w:tcPr>
          <w:p w14:paraId="4305EBFE">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1类区□</w:t>
            </w:r>
          </w:p>
        </w:tc>
        <w:tc>
          <w:tcPr>
            <w:tcW w:w="1098" w:type="dxa"/>
            <w:gridSpan w:val="5"/>
            <w:vAlign w:val="center"/>
          </w:tcPr>
          <w:p w14:paraId="553B3F72">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2类区</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1091" w:type="dxa"/>
            <w:gridSpan w:val="3"/>
            <w:vAlign w:val="center"/>
          </w:tcPr>
          <w:p w14:paraId="5CFDDFE3">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3类区□</w:t>
            </w:r>
          </w:p>
        </w:tc>
        <w:tc>
          <w:tcPr>
            <w:tcW w:w="1092" w:type="dxa"/>
            <w:gridSpan w:val="4"/>
            <w:vAlign w:val="center"/>
          </w:tcPr>
          <w:p w14:paraId="128301C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4a类区□</w:t>
            </w:r>
          </w:p>
        </w:tc>
        <w:tc>
          <w:tcPr>
            <w:tcW w:w="1026" w:type="dxa"/>
            <w:vAlign w:val="center"/>
          </w:tcPr>
          <w:p w14:paraId="46E6E702">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4b类区□</w:t>
            </w:r>
          </w:p>
        </w:tc>
      </w:tr>
      <w:tr w14:paraId="1B6B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vAlign w:val="center"/>
          </w:tcPr>
          <w:p w14:paraId="621E39EB">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3CA0E827">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评价年度</w:t>
            </w:r>
          </w:p>
        </w:tc>
        <w:tc>
          <w:tcPr>
            <w:tcW w:w="1637" w:type="dxa"/>
            <w:gridSpan w:val="2"/>
            <w:vAlign w:val="center"/>
          </w:tcPr>
          <w:p w14:paraId="03F6FCB5">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初期□</w:t>
            </w:r>
          </w:p>
        </w:tc>
        <w:tc>
          <w:tcPr>
            <w:tcW w:w="1645" w:type="dxa"/>
            <w:gridSpan w:val="7"/>
            <w:vAlign w:val="center"/>
          </w:tcPr>
          <w:p w14:paraId="35496BBE">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近期□</w:t>
            </w:r>
          </w:p>
        </w:tc>
        <w:tc>
          <w:tcPr>
            <w:tcW w:w="1660" w:type="dxa"/>
            <w:gridSpan w:val="5"/>
            <w:vAlign w:val="center"/>
          </w:tcPr>
          <w:p w14:paraId="5CB73682">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中期□</w:t>
            </w:r>
          </w:p>
        </w:tc>
        <w:tc>
          <w:tcPr>
            <w:tcW w:w="1549" w:type="dxa"/>
            <w:gridSpan w:val="3"/>
            <w:vAlign w:val="center"/>
          </w:tcPr>
          <w:p w14:paraId="7BB2F4EF">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远期□</w:t>
            </w:r>
          </w:p>
        </w:tc>
      </w:tr>
      <w:tr w14:paraId="170E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70" w:type="dxa"/>
            <w:vMerge w:val="continue"/>
            <w:vAlign w:val="center"/>
          </w:tcPr>
          <w:p w14:paraId="06584991">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040AF7E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现状调查方法</w:t>
            </w:r>
          </w:p>
        </w:tc>
        <w:tc>
          <w:tcPr>
            <w:tcW w:w="2766" w:type="dxa"/>
            <w:gridSpan w:val="7"/>
            <w:vAlign w:val="center"/>
          </w:tcPr>
          <w:p w14:paraId="33D408B1">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现场实测法</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2176" w:type="dxa"/>
            <w:gridSpan w:val="7"/>
            <w:vAlign w:val="center"/>
          </w:tcPr>
          <w:p w14:paraId="685E509B">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现场实测加模型计算法□</w:t>
            </w:r>
          </w:p>
        </w:tc>
        <w:tc>
          <w:tcPr>
            <w:tcW w:w="1549" w:type="dxa"/>
            <w:gridSpan w:val="3"/>
            <w:vAlign w:val="center"/>
          </w:tcPr>
          <w:p w14:paraId="05473024">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收集资料□</w:t>
            </w:r>
          </w:p>
        </w:tc>
      </w:tr>
      <w:tr w14:paraId="79DA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vAlign w:val="center"/>
          </w:tcPr>
          <w:p w14:paraId="22BC2B3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27D2C0C9">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现状评价</w:t>
            </w:r>
          </w:p>
        </w:tc>
        <w:tc>
          <w:tcPr>
            <w:tcW w:w="1952" w:type="dxa"/>
            <w:gridSpan w:val="3"/>
            <w:vAlign w:val="center"/>
          </w:tcPr>
          <w:p w14:paraId="5B3AB6C2">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达标百分比</w:t>
            </w:r>
          </w:p>
        </w:tc>
        <w:tc>
          <w:tcPr>
            <w:tcW w:w="4539" w:type="dxa"/>
            <w:gridSpan w:val="14"/>
            <w:vAlign w:val="center"/>
          </w:tcPr>
          <w:p w14:paraId="76822536">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 /</w:t>
            </w:r>
          </w:p>
        </w:tc>
      </w:tr>
      <w:tr w14:paraId="6FB8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870" w:type="dxa"/>
            <w:vAlign w:val="center"/>
          </w:tcPr>
          <w:p w14:paraId="4FB9F24B">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噪声源</w:t>
            </w:r>
          </w:p>
          <w:p w14:paraId="2B910FEC">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调查</w:t>
            </w:r>
          </w:p>
        </w:tc>
        <w:tc>
          <w:tcPr>
            <w:tcW w:w="1413" w:type="dxa"/>
            <w:vAlign w:val="center"/>
          </w:tcPr>
          <w:p w14:paraId="771CA10E">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噪声源调查方法</w:t>
            </w:r>
          </w:p>
        </w:tc>
        <w:tc>
          <w:tcPr>
            <w:tcW w:w="1952" w:type="dxa"/>
            <w:gridSpan w:val="3"/>
            <w:vAlign w:val="center"/>
          </w:tcPr>
          <w:p w14:paraId="205B8B8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现场实测□</w:t>
            </w:r>
          </w:p>
        </w:tc>
        <w:tc>
          <w:tcPr>
            <w:tcW w:w="2535" w:type="dxa"/>
            <w:gridSpan w:val="10"/>
            <w:vAlign w:val="center"/>
          </w:tcPr>
          <w:p w14:paraId="7303794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已有资料</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2004" w:type="dxa"/>
            <w:gridSpan w:val="4"/>
            <w:vAlign w:val="center"/>
          </w:tcPr>
          <w:p w14:paraId="674F7E97">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研究成果□</w:t>
            </w:r>
          </w:p>
        </w:tc>
      </w:tr>
      <w:tr w14:paraId="7260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70" w:type="dxa"/>
            <w:vMerge w:val="restart"/>
            <w:vAlign w:val="center"/>
          </w:tcPr>
          <w:p w14:paraId="0BAAB1ED">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声环境影响预测与评价</w:t>
            </w:r>
          </w:p>
        </w:tc>
        <w:tc>
          <w:tcPr>
            <w:tcW w:w="1413" w:type="dxa"/>
            <w:vAlign w:val="center"/>
          </w:tcPr>
          <w:p w14:paraId="2E787849">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预测模型</w:t>
            </w:r>
          </w:p>
        </w:tc>
        <w:tc>
          <w:tcPr>
            <w:tcW w:w="1952" w:type="dxa"/>
            <w:gridSpan w:val="3"/>
            <w:vAlign w:val="center"/>
          </w:tcPr>
          <w:p w14:paraId="5EAB624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导则推荐模型</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4539" w:type="dxa"/>
            <w:gridSpan w:val="14"/>
            <w:vAlign w:val="center"/>
          </w:tcPr>
          <w:p w14:paraId="6FE6553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其他□</w:t>
            </w:r>
          </w:p>
        </w:tc>
      </w:tr>
      <w:tr w14:paraId="48A3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vAlign w:val="center"/>
          </w:tcPr>
          <w:p w14:paraId="72E5B731">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71B1C883">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预测范围</w:t>
            </w:r>
          </w:p>
        </w:tc>
        <w:tc>
          <w:tcPr>
            <w:tcW w:w="2190" w:type="dxa"/>
            <w:gridSpan w:val="5"/>
            <w:vAlign w:val="center"/>
          </w:tcPr>
          <w:p w14:paraId="4C663137">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200m</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1751" w:type="dxa"/>
            <w:gridSpan w:val="5"/>
            <w:vAlign w:val="center"/>
          </w:tcPr>
          <w:p w14:paraId="077AECEA">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大于200m□</w:t>
            </w:r>
          </w:p>
        </w:tc>
        <w:tc>
          <w:tcPr>
            <w:tcW w:w="2550" w:type="dxa"/>
            <w:gridSpan w:val="7"/>
            <w:vAlign w:val="center"/>
          </w:tcPr>
          <w:p w14:paraId="11DF8FFF">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小于200m□</w:t>
            </w:r>
          </w:p>
        </w:tc>
      </w:tr>
      <w:tr w14:paraId="159B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870" w:type="dxa"/>
            <w:vMerge w:val="continue"/>
            <w:vAlign w:val="center"/>
          </w:tcPr>
          <w:p w14:paraId="539F9999">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2CD477FF">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预测因子</w:t>
            </w:r>
          </w:p>
        </w:tc>
        <w:tc>
          <w:tcPr>
            <w:tcW w:w="1952" w:type="dxa"/>
            <w:gridSpan w:val="3"/>
            <w:vAlign w:val="center"/>
          </w:tcPr>
          <w:p w14:paraId="6E0C3D5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等效连续A声级</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1989" w:type="dxa"/>
            <w:gridSpan w:val="7"/>
            <w:vAlign w:val="center"/>
          </w:tcPr>
          <w:p w14:paraId="6699116F">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最大A声级□</w:t>
            </w:r>
          </w:p>
        </w:tc>
        <w:tc>
          <w:tcPr>
            <w:tcW w:w="2550" w:type="dxa"/>
            <w:gridSpan w:val="7"/>
            <w:vAlign w:val="center"/>
          </w:tcPr>
          <w:p w14:paraId="193EB46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计权等效连续感觉噪声级□</w:t>
            </w:r>
          </w:p>
        </w:tc>
      </w:tr>
      <w:tr w14:paraId="055E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70" w:type="dxa"/>
            <w:vMerge w:val="continue"/>
            <w:vAlign w:val="center"/>
          </w:tcPr>
          <w:p w14:paraId="10836C74">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1CE457D6">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厂界噪声贡献值</w:t>
            </w:r>
          </w:p>
        </w:tc>
        <w:tc>
          <w:tcPr>
            <w:tcW w:w="3224" w:type="dxa"/>
            <w:gridSpan w:val="8"/>
            <w:vAlign w:val="center"/>
          </w:tcPr>
          <w:p w14:paraId="7F0A8155">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达标</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3267" w:type="dxa"/>
            <w:gridSpan w:val="9"/>
            <w:vAlign w:val="center"/>
          </w:tcPr>
          <w:p w14:paraId="51109CDA">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不达标□</w:t>
            </w:r>
          </w:p>
        </w:tc>
      </w:tr>
      <w:tr w14:paraId="268B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70" w:type="dxa"/>
            <w:vMerge w:val="continue"/>
            <w:vAlign w:val="center"/>
          </w:tcPr>
          <w:p w14:paraId="0C775652">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59373D83">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声环境保护目标处噪声值</w:t>
            </w:r>
          </w:p>
        </w:tc>
        <w:tc>
          <w:tcPr>
            <w:tcW w:w="3224" w:type="dxa"/>
            <w:gridSpan w:val="8"/>
            <w:vAlign w:val="center"/>
          </w:tcPr>
          <w:p w14:paraId="373FAD7F">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达标</w:t>
            </w:r>
            <w:r>
              <w:rPr>
                <w:rFonts w:ascii="Times New Roman" w:hAnsi="Times New Roman" w:cs="Times New Roman"/>
                <w:color w:val="000000" w:themeColor="text1"/>
                <w:sz w:val="18"/>
                <w:szCs w:val="18"/>
                <w14:textFill>
                  <w14:solidFill>
                    <w14:schemeClr w14:val="tx1"/>
                  </w14:solidFill>
                </w14:textFill>
              </w:rPr>
              <w:sym w:font="Wingdings 2" w:char="0052"/>
            </w:r>
          </w:p>
        </w:tc>
        <w:tc>
          <w:tcPr>
            <w:tcW w:w="3267" w:type="dxa"/>
            <w:gridSpan w:val="9"/>
            <w:vAlign w:val="center"/>
          </w:tcPr>
          <w:p w14:paraId="20EFB1FD">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不达标□</w:t>
            </w:r>
          </w:p>
        </w:tc>
      </w:tr>
      <w:tr w14:paraId="5FF4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vAlign w:val="center"/>
          </w:tcPr>
          <w:p w14:paraId="609D4A4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环境监测计划</w:t>
            </w:r>
          </w:p>
        </w:tc>
        <w:tc>
          <w:tcPr>
            <w:tcW w:w="1413" w:type="dxa"/>
            <w:vAlign w:val="center"/>
          </w:tcPr>
          <w:p w14:paraId="0D379A2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排放监测</w:t>
            </w:r>
          </w:p>
        </w:tc>
        <w:tc>
          <w:tcPr>
            <w:tcW w:w="3224" w:type="dxa"/>
            <w:gridSpan w:val="8"/>
            <w:vAlign w:val="center"/>
          </w:tcPr>
          <w:p w14:paraId="29219686">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厂界监测□固定位置监测□</w:t>
            </w:r>
          </w:p>
        </w:tc>
        <w:tc>
          <w:tcPr>
            <w:tcW w:w="2164" w:type="dxa"/>
            <w:gridSpan w:val="7"/>
            <w:vAlign w:val="center"/>
          </w:tcPr>
          <w:p w14:paraId="089849AE">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自动监测□手动监测□</w:t>
            </w:r>
          </w:p>
        </w:tc>
        <w:tc>
          <w:tcPr>
            <w:tcW w:w="1103" w:type="dxa"/>
            <w:gridSpan w:val="2"/>
            <w:vAlign w:val="center"/>
          </w:tcPr>
          <w:p w14:paraId="554F5820">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无监测</w:t>
            </w:r>
            <w:r>
              <w:rPr>
                <w:rFonts w:ascii="Times New Roman" w:hAnsi="Times New Roman" w:cs="Times New Roman"/>
                <w:color w:val="000000" w:themeColor="text1"/>
                <w:sz w:val="18"/>
                <w:szCs w:val="18"/>
                <w14:textFill>
                  <w14:solidFill>
                    <w14:schemeClr w14:val="tx1"/>
                  </w14:solidFill>
                </w14:textFill>
              </w:rPr>
              <w:sym w:font="Wingdings 2" w:char="0052"/>
            </w:r>
          </w:p>
        </w:tc>
      </w:tr>
      <w:tr w14:paraId="05F6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vAlign w:val="center"/>
          </w:tcPr>
          <w:p w14:paraId="45F093E9">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p>
        </w:tc>
        <w:tc>
          <w:tcPr>
            <w:tcW w:w="1413" w:type="dxa"/>
            <w:vAlign w:val="center"/>
          </w:tcPr>
          <w:p w14:paraId="396737B3">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声环境保护目标处噪声监测</w:t>
            </w:r>
          </w:p>
        </w:tc>
        <w:tc>
          <w:tcPr>
            <w:tcW w:w="3224" w:type="dxa"/>
            <w:gridSpan w:val="8"/>
            <w:vAlign w:val="center"/>
          </w:tcPr>
          <w:p w14:paraId="47D090A3">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监测因子：（  ）</w:t>
            </w:r>
          </w:p>
        </w:tc>
        <w:tc>
          <w:tcPr>
            <w:tcW w:w="2164" w:type="dxa"/>
            <w:gridSpan w:val="7"/>
            <w:vAlign w:val="center"/>
          </w:tcPr>
          <w:p w14:paraId="2749A96A">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监测点位数（  ）</w:t>
            </w:r>
          </w:p>
        </w:tc>
        <w:tc>
          <w:tcPr>
            <w:tcW w:w="1103" w:type="dxa"/>
            <w:gridSpan w:val="2"/>
            <w:vAlign w:val="center"/>
          </w:tcPr>
          <w:p w14:paraId="4FF50613">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无监测</w:t>
            </w:r>
            <w:r>
              <w:rPr>
                <w:rFonts w:ascii="Times New Roman" w:hAnsi="Times New Roman" w:cs="Times New Roman"/>
                <w:color w:val="000000" w:themeColor="text1"/>
                <w:sz w:val="18"/>
                <w:szCs w:val="18"/>
                <w14:textFill>
                  <w14:solidFill>
                    <w14:schemeClr w14:val="tx1"/>
                  </w14:solidFill>
                </w14:textFill>
              </w:rPr>
              <w:sym w:font="Wingdings 2" w:char="0052"/>
            </w:r>
          </w:p>
        </w:tc>
      </w:tr>
      <w:tr w14:paraId="39E0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70" w:type="dxa"/>
            <w:vAlign w:val="center"/>
          </w:tcPr>
          <w:p w14:paraId="6932E08D">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评价结论</w:t>
            </w:r>
          </w:p>
        </w:tc>
        <w:tc>
          <w:tcPr>
            <w:tcW w:w="1413" w:type="dxa"/>
            <w:vAlign w:val="center"/>
          </w:tcPr>
          <w:p w14:paraId="5FDD6088">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环境影响</w:t>
            </w:r>
          </w:p>
        </w:tc>
        <w:tc>
          <w:tcPr>
            <w:tcW w:w="6491" w:type="dxa"/>
            <w:gridSpan w:val="17"/>
            <w:vAlign w:val="center"/>
          </w:tcPr>
          <w:p w14:paraId="4ACD1D0B">
            <w:pPr>
              <w:spacing w:before="31" w:beforeLines="10" w:after="31" w:afterLines="10" w:line="0" w:lineRule="atLeas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可行</w:t>
            </w:r>
            <w:r>
              <w:rPr>
                <w:rFonts w:ascii="Times New Roman" w:hAnsi="Times New Roman" w:cs="Times New Roman"/>
                <w:color w:val="000000" w:themeColor="text1"/>
                <w:sz w:val="18"/>
                <w:szCs w:val="18"/>
                <w14:textFill>
                  <w14:solidFill>
                    <w14:schemeClr w14:val="tx1"/>
                  </w14:solidFill>
                </w14:textFill>
              </w:rPr>
              <w:sym w:font="Wingdings 2" w:char="0052"/>
            </w:r>
            <w:r>
              <w:rPr>
                <w:rFonts w:ascii="Times New Roman" w:hAnsi="Times New Roman" w:cs="Times New Roman"/>
                <w:color w:val="000000" w:themeColor="text1"/>
                <w:sz w:val="18"/>
                <w:szCs w:val="18"/>
                <w14:textFill>
                  <w14:solidFill>
                    <w14:schemeClr w14:val="tx1"/>
                  </w14:solidFill>
                </w14:textFill>
              </w:rPr>
              <w:t>不可行□</w:t>
            </w:r>
          </w:p>
        </w:tc>
      </w:tr>
      <w:tr w14:paraId="418C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774" w:type="dxa"/>
            <w:gridSpan w:val="19"/>
            <w:vAlign w:val="center"/>
          </w:tcPr>
          <w:p w14:paraId="639761B6">
            <w:pPr>
              <w:spacing w:before="31" w:beforeLines="10" w:after="31" w:afterLines="10" w:line="0" w:lineRule="atLeas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注：</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为勾选项，可√；</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为内容填写项。</w:t>
            </w:r>
          </w:p>
        </w:tc>
      </w:tr>
    </w:tbl>
    <w:p w14:paraId="463216FD">
      <w:pPr>
        <w:rPr>
          <w:rFonts w:ascii="Times New Roman" w:hAnsi="Times New Roman" w:cs="Times New Roman"/>
          <w:color w:val="000000" w:themeColor="text1"/>
          <w14:textFill>
            <w14:solidFill>
              <w14:schemeClr w14:val="tx1"/>
            </w14:solidFill>
          </w14:textFill>
        </w:rPr>
      </w:pPr>
    </w:p>
    <w:p w14:paraId="0AA8B816">
      <w:pPr>
        <w:pStyle w:val="3"/>
        <w:spacing w:before="156" w:after="156"/>
        <w:jc w:val="both"/>
        <w:rPr>
          <w:rFonts w:ascii="Times New Roman" w:hAnsi="Times New Roman" w:cs="Times New Roman"/>
          <w:color w:val="000000" w:themeColor="text1"/>
          <w14:textFill>
            <w14:solidFill>
              <w14:schemeClr w14:val="tx1"/>
            </w14:solidFill>
          </w14:textFill>
        </w:rPr>
      </w:pPr>
      <w:bookmarkStart w:id="485" w:name="_Toc187675427"/>
      <w:r>
        <w:rPr>
          <w:rFonts w:ascii="Times New Roman" w:hAnsi="Times New Roman" w:cs="Times New Roman"/>
          <w:color w:val="000000" w:themeColor="text1"/>
          <w14:textFill>
            <w14:solidFill>
              <w14:schemeClr w14:val="tx1"/>
            </w14:solidFill>
          </w14:textFill>
        </w:rPr>
        <w:t>5.4地表水环境影响预测与评价</w:t>
      </w:r>
      <w:bookmarkEnd w:id="485"/>
    </w:p>
    <w:p w14:paraId="05AAE51C">
      <w:pPr>
        <w:pStyle w:val="4"/>
        <w:spacing w:beforeLines="0" w:afterLines="0"/>
        <w:jc w:val="both"/>
        <w:rPr>
          <w:rFonts w:ascii="Times New Roman" w:hAnsi="Times New Roman" w:cs="Times New Roman"/>
          <w:color w:val="000000" w:themeColor="text1"/>
          <w:sz w:val="30"/>
          <w:szCs w:val="30"/>
          <w14:textFill>
            <w14:solidFill>
              <w14:schemeClr w14:val="tx1"/>
            </w14:solidFill>
          </w14:textFill>
        </w:rPr>
      </w:pPr>
      <w:bookmarkStart w:id="486" w:name="_Hlk171703712"/>
      <w:r>
        <w:rPr>
          <w:rFonts w:ascii="Times New Roman" w:hAnsi="Times New Roman" w:cs="Times New Roman"/>
          <w:color w:val="000000" w:themeColor="text1"/>
          <w:sz w:val="30"/>
          <w:szCs w:val="30"/>
          <w14:textFill>
            <w14:solidFill>
              <w14:schemeClr w14:val="tx1"/>
            </w14:solidFill>
          </w14:textFill>
        </w:rPr>
        <w:t>5.4.1施工期地表水环境影响预测与评价</w:t>
      </w:r>
    </w:p>
    <w:bookmarkEnd w:id="486"/>
    <w:p w14:paraId="082410BB">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（1）生活污水</w:t>
      </w:r>
    </w:p>
    <w:p w14:paraId="6AA29A31">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本项目2处自建施工综合场站内设生活区，施工人员每天</w:t>
      </w:r>
      <w:r>
        <w:rPr>
          <w:rFonts w:hint="eastAsia" w:ascii="Times New Roman" w:hAnsi="Times New Roman" w:cs="Times New Roman"/>
          <w:color w:val="000000" w:themeColor="text1"/>
          <w14:textFill>
            <w14:solidFill>
              <w14:schemeClr w14:val="tx1"/>
            </w14:solidFill>
          </w14:textFill>
        </w:rPr>
        <w:t>产生的</w:t>
      </w:r>
      <w:r>
        <w:rPr>
          <w:rFonts w:ascii="Times New Roman" w:hAnsi="Times New Roman" w:cs="Times New Roman"/>
          <w:color w:val="000000" w:themeColor="text1"/>
          <w14:textFill>
            <w14:solidFill>
              <w14:schemeClr w14:val="tx1"/>
            </w14:solidFill>
          </w14:textFill>
        </w:rPr>
        <w:t>生活污水排入一体化污水处理设施处理</w:t>
      </w:r>
      <w:r>
        <w:rPr>
          <w:rFonts w:hint="eastAsia" w:ascii="Times New Roman" w:hAnsi="Times New Roman" w:cs="Times New Roman"/>
        </w:rPr>
        <w:t>，满足《污水综合排放标准》（</w:t>
      </w:r>
      <w:r>
        <w:rPr>
          <w:rFonts w:ascii="Times New Roman" w:hAnsi="Times New Roman" w:cs="Times New Roman"/>
        </w:rPr>
        <w:t>GB8978—1996）三级标准</w:t>
      </w:r>
      <w:r>
        <w:rPr>
          <w:rFonts w:hint="eastAsia" w:ascii="Times New Roman" w:hAnsi="Times New Roman" w:cs="Times New Roman"/>
        </w:rPr>
        <w:t>后</w:t>
      </w:r>
      <w:r>
        <w:rPr>
          <w:rFonts w:hint="eastAsia" w:ascii="Times New Roman" w:hAnsi="Times New Roman" w:cs="Times New Roman"/>
          <w:color w:val="000000" w:themeColor="text1"/>
          <w14:textFill>
            <w14:solidFill>
              <w14:schemeClr w14:val="tx1"/>
            </w14:solidFill>
          </w14:textFill>
        </w:rPr>
        <w:t>回用于场地内地面冲洗、抑尘，废水不外排</w:t>
      </w:r>
      <w:r>
        <w:rPr>
          <w:rFonts w:ascii="Times New Roman" w:hAnsi="Times New Roman" w:cs="Times New Roman"/>
          <w:color w:val="000000" w:themeColor="text1"/>
          <w14:textFill>
            <w14:solidFill>
              <w14:schemeClr w14:val="tx1"/>
            </w14:solidFill>
          </w14:textFill>
        </w:rPr>
        <w:t>。</w:t>
      </w:r>
    </w:p>
    <w:p w14:paraId="7B0235D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（2）施工场地废水</w:t>
      </w:r>
    </w:p>
    <w:p w14:paraId="1ED89CD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施工场地废水主要包括水稳、水泥混凝土拌合站和预制场产生的生产废水和清洗机械、车辆等产生的含油污水。</w:t>
      </w:r>
    </w:p>
    <w:p w14:paraId="77052024">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 1 \* GB3 </w:instrText>
      </w:r>
      <w:r>
        <w:rPr>
          <w:rFonts w:ascii="Times New Roman" w:hAnsi="Times New Roman"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含油废水</w:t>
      </w:r>
    </w:p>
    <w:p w14:paraId="1AAF0EF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施工过程中的含油废水主要是机械设备和运输车辆维修产生的废油、冲洗过程中产生的含油废水。本项目机械及车辆维修依托</w:t>
      </w:r>
      <w:r>
        <w:rPr>
          <w:rFonts w:hint="eastAsia" w:ascii="Times New Roman" w:hAnsi="Times New Roman" w:cs="Times New Roman"/>
          <w:color w:val="000000" w:themeColor="text1"/>
          <w14:textFill>
            <w14:solidFill>
              <w14:schemeClr w14:val="tx1"/>
            </w14:solidFill>
          </w14:textFill>
        </w:rPr>
        <w:t>草湖镇</w:t>
      </w:r>
      <w:r>
        <w:rPr>
          <w:rFonts w:ascii="Times New Roman" w:hAnsi="Times New Roman" w:cs="Times New Roman"/>
          <w:color w:val="000000" w:themeColor="text1"/>
          <w14:textFill>
            <w14:solidFill>
              <w14:schemeClr w14:val="tx1"/>
            </w14:solidFill>
          </w14:textFill>
        </w:rPr>
        <w:t>的社会资源，施工综合站场不设机械维修站，无废油产生。</w:t>
      </w:r>
    </w:p>
    <w:p w14:paraId="48DD3C25">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 2 \* GB3 </w:instrText>
      </w:r>
      <w:r>
        <w:rPr>
          <w:rFonts w:ascii="Times New Roman" w:hAnsi="Times New Roman" w:cs="Times New Roman"/>
          <w:color w:val="000000" w:themeColor="text1"/>
          <w14:textFill>
            <w14:solidFill>
              <w14:schemeClr w14:val="tx1"/>
            </w14:solidFill>
          </w14:textFill>
        </w:rPr>
        <w:fldChar w:fldCharType="separate"/>
      </w:r>
      <w:r>
        <w:rPr>
          <w:rFonts w:hint="eastAsia"/>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预制场混凝土搅拌生产废水</w:t>
      </w:r>
    </w:p>
    <w:p w14:paraId="6A59364C">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预制场和拌合站用于制造桥涵等工程所需的各种规格的预制构件及路面工程基层水泥稳定碎石的拌合，在搅拌混凝土的生产过程及制作预制构件时会有废水产生，以混凝土转筒和料罐的冲洗废水为主要的表现形式。混凝土生产废水具有悬浮物浓度高、水量小、间歇集中排放等特点。</w:t>
      </w:r>
    </w:p>
    <w:p w14:paraId="7B850029">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bookmarkStart w:id="487" w:name="_Hlk171703681"/>
      <w:r>
        <w:rPr>
          <w:rFonts w:ascii="Times New Roman" w:hAnsi="Times New Roman" w:cs="Times New Roman"/>
          <w:color w:val="000000" w:themeColor="text1"/>
          <w14:textFill>
            <w14:solidFill>
              <w14:schemeClr w14:val="tx1"/>
            </w14:solidFill>
          </w14:textFill>
        </w:rPr>
        <w:t>根据</w:t>
      </w:r>
      <w:r>
        <w:rPr>
          <w:rFonts w:hint="eastAsia" w:ascii="Times New Roman" w:hAnsi="Times New Roman" w:cs="Times New Roman"/>
          <w:color w:val="000000" w:themeColor="text1"/>
          <w14:textFill>
            <w14:solidFill>
              <w14:schemeClr w14:val="tx1"/>
            </w14:solidFill>
          </w14:textFill>
        </w:rPr>
        <w:t>初设</w:t>
      </w:r>
      <w:r>
        <w:rPr>
          <w:rFonts w:ascii="Times New Roman" w:hAnsi="Times New Roman" w:cs="Times New Roman"/>
          <w:color w:val="000000" w:themeColor="text1"/>
          <w14:textFill>
            <w14:solidFill>
              <w14:schemeClr w14:val="tx1"/>
            </w14:solidFill>
          </w14:textFill>
        </w:rPr>
        <w:t>资料，水稳、水泥混凝土拌合站和预制场产生的生产废水需要在沉淀池集中处理，处理后的尾水回用，用于场地冲洗，不直接排放，对于沉淀池内的沉积物，定期清掏清运，确保沉淀池的正常运行。</w:t>
      </w:r>
    </w:p>
    <w:bookmarkEnd w:id="487"/>
    <w:p w14:paraId="38641D15">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项目施工综合场站所需砂石料等均为外购成品砂石料，不涉及场地内砂石料的清洗作业，全部外购符合项目生产所需的成品砂石料，在场地内设封闭式储料棚堆放后直接利用。</w:t>
      </w:r>
    </w:p>
    <w:p w14:paraId="73BC6F97">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（3）涉水桥梁施工对水环境影响分析</w:t>
      </w:r>
    </w:p>
    <w:p w14:paraId="1F11E034">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拟建以桥梁跨越的河流主要是盖孜河。拟建项目路段跨越的河流及水渠桥位下游均不涉及饮用水取水口及敏感水体区域。</w:t>
      </w:r>
    </w:p>
    <w:p w14:paraId="0BD2F78C">
      <w:pPr>
        <w:pStyle w:val="426"/>
        <w:numPr>
          <w:ilvl w:val="0"/>
          <w:numId w:val="13"/>
        </w:numPr>
        <w:spacing w:line="360" w:lineRule="auto"/>
        <w:ind w:firstLineChars="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钻孔施工产生的钻渣及泥浆</w:t>
      </w:r>
    </w:p>
    <w:p w14:paraId="376F625E">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涉水桥墩的施工采用钻孔灌注桩，钻孔将产生一定的钻渣，若钻渣任意抛至河流中，将造成下游河道的淤塞及水质的恶化，造成一定时间，一定水域范围的污染。因此，要求钻渣、弃土及泥浆等严禁向水体倾倒，妥善利用及处理。</w:t>
      </w:r>
    </w:p>
    <w:p w14:paraId="471D85F1">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钻孔泥浆主要由水、粘土（或膨润土）组成，施工过程中会有少量含泥浆废水产生。经类比，通过采用泥浆分离机回收泥浆后，含泥浆污水的</w:t>
      </w:r>
      <w:r>
        <w:rPr>
          <w:rFonts w:ascii="Times New Roman" w:hAnsi="Times New Roman" w:cs="Times New Roman"/>
          <w:color w:val="000000" w:themeColor="text1"/>
          <w14:textFill>
            <w14:solidFill>
              <w14:schemeClr w14:val="tx1"/>
            </w14:solidFill>
          </w14:textFill>
        </w:rPr>
        <w:t>SS浓度由处理前的1690mg/L降低到处理后的66mg/L</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钻孔达到深度和质量要求后会进行清孔作业，所清出的</w:t>
      </w:r>
      <w:r>
        <w:rPr>
          <w:rFonts w:hint="eastAsia" w:ascii="Times New Roman" w:hAnsi="Times New Roman" w:cs="Times New Roman"/>
          <w:color w:val="000000" w:themeColor="text1"/>
          <w14:textFill>
            <w14:solidFill>
              <w14:schemeClr w14:val="tx1"/>
            </w14:solidFill>
          </w14:textFill>
        </w:rPr>
        <w:t>钻孔由循环的护壁泥浆将钻渣带到设在工作平台上的倒流槽，经管线输送至岸上设置的临时泥浆池沉淀，沉淀工艺采用自然沉淀，根据相关研究结论，桩基泥浆水比重：</w:t>
      </w:r>
      <w:r>
        <w:rPr>
          <w:rFonts w:ascii="Times New Roman" w:hAnsi="Times New Roman" w:cs="Times New Roman"/>
          <w:color w:val="000000" w:themeColor="text1"/>
          <w14:textFill>
            <w14:solidFill>
              <w14:schemeClr w14:val="tx1"/>
            </w14:solidFill>
          </w14:textFill>
        </w:rPr>
        <w:t>1.20~1.46，含</w:t>
      </w:r>
      <w:r>
        <w:rPr>
          <w:rFonts w:hint="eastAsia" w:ascii="Times New Roman" w:hAnsi="Times New Roman" w:cs="Times New Roman"/>
          <w:color w:val="000000" w:themeColor="text1"/>
          <w14:textFill>
            <w14:solidFill>
              <w14:schemeClr w14:val="tx1"/>
            </w14:solidFill>
          </w14:textFill>
        </w:rPr>
        <w:t>泥量：</w:t>
      </w:r>
      <w:r>
        <w:rPr>
          <w:rFonts w:ascii="Times New Roman" w:hAnsi="Times New Roman" w:cs="Times New Roman"/>
          <w:color w:val="000000" w:themeColor="text1"/>
          <w14:textFill>
            <w14:solidFill>
              <w14:schemeClr w14:val="tx1"/>
            </w14:solidFill>
          </w14:textFill>
        </w:rPr>
        <w:t>32%～50%，pH 值：6~7。桥梁桩基产生的废水较少，桥梁基础钻孔施工中泥浆护壁</w:t>
      </w:r>
      <w:r>
        <w:rPr>
          <w:rFonts w:hint="eastAsia" w:ascii="Times New Roman" w:hAnsi="Times New Roman" w:cs="Times New Roman"/>
          <w:color w:val="000000" w:themeColor="text1"/>
          <w14:textFill>
            <w14:solidFill>
              <w14:schemeClr w14:val="tx1"/>
            </w14:solidFill>
          </w14:textFill>
        </w:rPr>
        <w:t>和钻孔出渣泥浆沉淀排水，其中污染物主要以</w:t>
      </w:r>
      <w:r>
        <w:rPr>
          <w:rFonts w:ascii="Times New Roman" w:hAnsi="Times New Roman" w:cs="Times New Roman"/>
          <w:color w:val="000000" w:themeColor="text1"/>
          <w14:textFill>
            <w14:solidFill>
              <w14:schemeClr w14:val="tx1"/>
            </w14:solidFill>
          </w14:textFill>
        </w:rPr>
        <w:t>SS为主，经沉淀池沉淀后可回用，剩余泥浆自</w:t>
      </w:r>
      <w:r>
        <w:rPr>
          <w:rFonts w:hint="eastAsia" w:ascii="Times New Roman" w:hAnsi="Times New Roman" w:cs="Times New Roman"/>
          <w:color w:val="000000" w:themeColor="text1"/>
          <w14:textFill>
            <w14:solidFill>
              <w14:schemeClr w14:val="tx1"/>
            </w14:solidFill>
          </w14:textFill>
        </w:rPr>
        <w:t>然固化后外运处置或进入工程综合利用，一般不会造成水污染。</w:t>
      </w:r>
    </w:p>
    <w:p w14:paraId="52A84791">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跨河桥梁的桥墩基础、墩身，临时支撑等水下工程的施工对水体水质影响</w:t>
      </w:r>
    </w:p>
    <w:p w14:paraId="1CCE576D">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桥梁在涉水桥墩实施前，由于钢围堰及过渡墩施工，在作业场地周围将会局部的扰动河底，故而会使局部水体中泥砂等悬浮物浓度增加。根据刘龙、杨彦州等人（交通运输部科学研究院）于</w:t>
      </w:r>
      <w:r>
        <w:rPr>
          <w:rFonts w:ascii="Times New Roman" w:hAnsi="Times New Roman" w:cs="Times New Roman"/>
          <w:color w:val="000000" w:themeColor="text1"/>
          <w14:textFill>
            <w14:solidFill>
              <w14:schemeClr w14:val="tx1"/>
            </w14:solidFill>
          </w14:textFill>
        </w:rPr>
        <w:t>2021年在《环境影响评价》杂志发表的《桥梁涉水施工对河流的影响及减缓措施</w:t>
      </w:r>
      <w:r>
        <w:rPr>
          <w:rFonts w:hint="eastAsia" w:ascii="Times New Roman" w:hAnsi="Times New Roman" w:cs="Times New Roman"/>
          <w:color w:val="000000" w:themeColor="text1"/>
          <w14:textFill>
            <w14:solidFill>
              <w14:schemeClr w14:val="tx1"/>
            </w14:solidFill>
          </w14:textFill>
        </w:rPr>
        <w:t>探讨》的研究结果表明：“以桥梁施工中使用最为普及的拉森钢板桩围堰为例，拉森钢板桩适用于各类土质河床，具有重复利用，安全稳定、施工便捷等特点，而且对水体扰动面积比较小，操作简单，在桥梁涉水施工中应用非常广泛，具体施工步骤为：施工准备</w:t>
      </w:r>
      <w:r>
        <w:rPr>
          <w:rFonts w:ascii="Times New Roman" w:hAnsi="Times New Roman" w:cs="Times New Roman"/>
          <w:color w:val="000000" w:themeColor="text1"/>
          <w14:textFill>
            <w14:solidFill>
              <w14:schemeClr w14:val="tx1"/>
            </w14:solidFill>
          </w14:textFill>
        </w:rPr>
        <w:t>-测量定位-</w:t>
      </w:r>
      <w:r>
        <w:rPr>
          <w:rFonts w:hint="eastAsia" w:ascii="Times New Roman" w:hAnsi="Times New Roman" w:cs="Times New Roman"/>
          <w:color w:val="000000" w:themeColor="text1"/>
          <w14:textFill>
            <w14:solidFill>
              <w14:schemeClr w14:val="tx1"/>
            </w14:solidFill>
          </w14:textFill>
        </w:rPr>
        <w:t>插打抗滑钢管</w:t>
      </w:r>
      <w:r>
        <w:rPr>
          <w:rFonts w:ascii="Times New Roman" w:hAnsi="Times New Roman" w:cs="Times New Roman"/>
          <w:color w:val="000000" w:themeColor="text1"/>
          <w14:textFill>
            <w14:solidFill>
              <w14:schemeClr w14:val="tx1"/>
            </w14:solidFill>
          </w14:textFill>
        </w:rPr>
        <w:t>-插打钢板桩～开挖基坑-逐层进行钢板内支撑排水-浇筑封底混凝土承台-施工</w:t>
      </w:r>
      <w:r>
        <w:rPr>
          <w:rFonts w:hint="eastAsia" w:ascii="Times New Roman" w:hAnsi="Times New Roman" w:cs="Times New Roman"/>
          <w:color w:val="000000" w:themeColor="text1"/>
          <w14:textFill>
            <w14:solidFill>
              <w14:schemeClr w14:val="tx1"/>
            </w14:solidFill>
          </w14:textFill>
        </w:rPr>
        <w:t>基坑回填</w:t>
      </w:r>
      <w:r>
        <w:rPr>
          <w:rFonts w:ascii="Times New Roman" w:hAnsi="Times New Roman" w:cs="Times New Roman"/>
          <w:color w:val="000000" w:themeColor="text1"/>
          <w14:textFill>
            <w14:solidFill>
              <w14:schemeClr w14:val="tx1"/>
            </w14:solidFill>
          </w14:textFill>
        </w:rPr>
        <w:t>-逐步拆除内支撑-墩身施 L-基坑回填-钢板桩拔出-抗滑钢管拔出。在上述过程中，对</w:t>
      </w:r>
      <w:r>
        <w:rPr>
          <w:rFonts w:hint="eastAsia" w:ascii="Times New Roman" w:hAnsi="Times New Roman" w:cs="Times New Roman"/>
          <w:color w:val="000000" w:themeColor="text1"/>
          <w14:textFill>
            <w14:solidFill>
              <w14:schemeClr w14:val="tx1"/>
            </w14:solidFill>
          </w14:textFill>
        </w:rPr>
        <w:t>地表水造成直接影响的施工主要体现在插打抗滑钢管和插打钢板桩</w:t>
      </w:r>
      <w:r>
        <w:rPr>
          <w:rFonts w:ascii="Times New Roman" w:hAnsi="Times New Roman" w:cs="Times New Roman"/>
          <w:color w:val="000000" w:themeColor="text1"/>
          <w14:textFill>
            <w14:solidFill>
              <w14:schemeClr w14:val="tx1"/>
            </w14:solidFill>
          </w14:textFill>
        </w:rPr>
        <w:t>2个过程中。在插打的过</w:t>
      </w:r>
      <w:r>
        <w:rPr>
          <w:rFonts w:hint="eastAsia" w:ascii="Times New Roman" w:hAnsi="Times New Roman" w:cs="Times New Roman"/>
          <w:color w:val="000000" w:themeColor="text1"/>
          <w14:textFill>
            <w14:solidFill>
              <w14:schemeClr w14:val="tx1"/>
            </w14:solidFill>
          </w14:textFill>
        </w:rPr>
        <w:t>程中，对河床有扰动，造成泥砂上浮，水体悬浮物增加，水质浑浊，水环境质量明显下降，其直接影响程度与施工持续时间和施工强度相关，在没有发生事故的情境下，水平影响范围为</w:t>
      </w:r>
      <w:r>
        <w:rPr>
          <w:rFonts w:ascii="Times New Roman" w:hAnsi="Times New Roman" w:cs="Times New Roman"/>
          <w:color w:val="000000" w:themeColor="text1"/>
          <w14:textFill>
            <w14:solidFill>
              <w14:schemeClr w14:val="tx1"/>
            </w14:solidFill>
          </w14:textFill>
        </w:rPr>
        <w:t>20～50m，在插打抗滑钢管和插打钢板桩作业结束后，其影响很快就会恢复”。</w:t>
      </w:r>
    </w:p>
    <w:p w14:paraId="32FCAA9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结合同类工程施工期监测情况类比分析，围堰施工时，局部水域的</w:t>
      </w:r>
      <w:r>
        <w:rPr>
          <w:rFonts w:ascii="Times New Roman" w:hAnsi="Times New Roman" w:cs="Times New Roman"/>
          <w:color w:val="000000" w:themeColor="text1"/>
          <w14:textFill>
            <w14:solidFill>
              <w14:schemeClr w14:val="tx1"/>
            </w14:solidFill>
          </w14:textFill>
        </w:rPr>
        <w:t>SS 浓度在80~ 160mg/L</w:t>
      </w:r>
      <w:r>
        <w:rPr>
          <w:rFonts w:hint="eastAsia" w:ascii="Times New Roman" w:hAnsi="Times New Roman" w:cs="Times New Roman"/>
          <w:color w:val="000000" w:themeColor="text1"/>
          <w14:textFill>
            <w14:solidFill>
              <w14:schemeClr w14:val="tx1"/>
            </w14:solidFill>
          </w14:textFill>
        </w:rPr>
        <w:t>之间，但施工点下游</w:t>
      </w:r>
      <w:r>
        <w:rPr>
          <w:rFonts w:ascii="Times New Roman" w:hAnsi="Times New Roman" w:cs="Times New Roman"/>
          <w:color w:val="000000" w:themeColor="text1"/>
          <w14:textFill>
            <w14:solidFill>
              <w14:schemeClr w14:val="tx1"/>
            </w14:solidFill>
          </w14:textFill>
        </w:rPr>
        <w:t>100m范围外SS增量不超过50mg/L，随着距离的增大，这一影响将逐</w:t>
      </w:r>
      <w:r>
        <w:rPr>
          <w:rFonts w:hint="eastAsia" w:ascii="Times New Roman" w:hAnsi="Times New Roman" w:cs="Times New Roman"/>
          <w:color w:val="000000" w:themeColor="text1"/>
          <w14:textFill>
            <w14:solidFill>
              <w14:schemeClr w14:val="tx1"/>
            </w14:solidFill>
          </w14:textFill>
        </w:rPr>
        <w:t>渐减小，且随着施工的结束，这一影响将很快消失，对周围水体水质影响较小。</w:t>
      </w:r>
    </w:p>
    <w:p w14:paraId="2229535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③涉水工程内容及施工计划影响</w:t>
      </w:r>
    </w:p>
    <w:p w14:paraId="266E634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要求主要涉水桥梁涉水施工尽量选择枯水期，并采用相对环保的钢围堰施工工艺进行桥梁施工，水中基础作业量最小，对河流水质的影响将进一步减小。</w:t>
      </w:r>
    </w:p>
    <w:p w14:paraId="73E3899C">
      <w:pPr>
        <w:pStyle w:val="426"/>
        <w:numPr>
          <w:ilvl w:val="0"/>
          <w:numId w:val="12"/>
        </w:numPr>
        <w:spacing w:line="360" w:lineRule="auto"/>
        <w:ind w:firstLineChars="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油影响</w:t>
      </w:r>
    </w:p>
    <w:p w14:paraId="7B23184F">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桥梁施工作业时，施工机械、设备漏油、机械维修过程中的残油可能对水体造成严</w:t>
      </w:r>
      <w:r>
        <w:rPr>
          <w:rFonts w:hint="eastAsia" w:ascii="Times New Roman" w:hAnsi="Times New Roman" w:cs="Times New Roman"/>
          <w:color w:val="000000" w:themeColor="text1"/>
          <w14:textFill>
            <w14:solidFill>
              <w14:schemeClr w14:val="tx1"/>
            </w14:solidFill>
          </w14:textFill>
        </w:rPr>
        <w:t>重的油污染，因此必须对施工机械漏油采取一定的预防与管理措施，避免对下游水质造成油污染。在施工场地内设置沉淀池及收油桶，收集并处理施工机械维修产生的油污水，污油经收集后送有危废处理资质单位处理，禁止直接向水体中排放。设置泥浆池，施工产生的弃土及泥浆禁止直接向地表水中排放，妥善利用及处理，避免对水体水质造成污染。</w:t>
      </w:r>
    </w:p>
    <w:p w14:paraId="0C688B9C">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综上，项目施工期生产废水、生活污水不会对区域地表水环境造成污染影响。</w:t>
      </w:r>
    </w:p>
    <w:p w14:paraId="21C08B5B">
      <w:pPr>
        <w:pStyle w:val="4"/>
        <w:spacing w:before="156" w:after="156"/>
        <w:rPr>
          <w:rFonts w:ascii="Times New Roman" w:hAnsi="Times New Roman" w:cs="Times New Roman"/>
          <w:color w:val="000000" w:themeColor="text1"/>
          <w:sz w:val="30"/>
          <w:szCs w:val="30"/>
          <w14:textFill>
            <w14:solidFill>
              <w14:schemeClr w14:val="tx1"/>
            </w14:solidFill>
          </w14:textFill>
        </w:rPr>
      </w:pPr>
      <w:bookmarkStart w:id="488" w:name="_Toc98413559"/>
      <w:bookmarkStart w:id="489" w:name="_Toc34989598"/>
      <w:bookmarkStart w:id="490" w:name="_Toc97464664"/>
      <w:bookmarkStart w:id="491" w:name="_Toc57826759"/>
      <w:bookmarkStart w:id="492" w:name="_Toc98414241"/>
      <w:r>
        <w:rPr>
          <w:rFonts w:ascii="Times New Roman" w:hAnsi="Times New Roman" w:cs="Times New Roman"/>
          <w:color w:val="000000" w:themeColor="text1"/>
          <w:sz w:val="30"/>
          <w:szCs w:val="30"/>
          <w14:textFill>
            <w14:solidFill>
              <w14:schemeClr w14:val="tx1"/>
            </w14:solidFill>
          </w14:textFill>
        </w:rPr>
        <w:t>5.4.2营运期地表水环境影响预测与评价</w:t>
      </w:r>
      <w:bookmarkEnd w:id="488"/>
      <w:bookmarkEnd w:id="489"/>
      <w:bookmarkEnd w:id="490"/>
      <w:bookmarkEnd w:id="491"/>
      <w:bookmarkEnd w:id="492"/>
    </w:p>
    <w:p w14:paraId="72AEF7EC">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建成投入运行后，路面、桥面径流污染物主要来源于车辆排气、车辆部件磨损、路面磨损、运输物洒落及大气降尘，各种类型车辆排放尾气中所携带的污染物在路面、桥面沉积、汽车轮胎磨损的微粒、车架上粘带的泥土、车辆制动时散落的污染物及车辆运行工况不佳时泄漏的油料等，都会随降雨产生的路面径流进入道路的排水系统并最终进入地表水体，其主要的污染物有：石油类、有机物和悬浮物等，这些污染物可能对沿线水体产生一定的污染。</w:t>
      </w:r>
    </w:p>
    <w:p w14:paraId="3D6A1F15">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（1）路（桥）面径流水环境影响分析</w:t>
      </w:r>
    </w:p>
    <w:p w14:paraId="2B373655">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在实际排水过程中，路面径流在通过路面横坡自然散排、漫流到排水沟或边沟中，或通过边坡急流槽集中排入排水沟的过程中伴随着降水稀释、泥沙对污染物的吸附、泥沙沉降等各种作用，路面径流中的污染物到达水体时浓度已大大降低。</w:t>
      </w:r>
    </w:p>
    <w:p w14:paraId="002C1C3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桥面径流对水体的污染多发生在一次降雨的初期，随着降雨时间的延长，桥面径流中污染物浓度含量会逐渐降低，对水体的污染逐渐降低。一般来说，在降雨初期，桥面径流从桥梁或桥梁两端进入水体后，将在径流落水点附近的局部小范围内造成污染物浓度的瞬时升高，但在向下游流动的过程中随着水体的搅浑将很快在整个断面上混合均匀，其对河流的污染贡献微乎其微。由此可见，桥面径流对沿线水体水质的影响不大。</w:t>
      </w:r>
    </w:p>
    <w:p w14:paraId="374352CE">
      <w:pPr>
        <w:spacing w:line="360" w:lineRule="auto"/>
        <w:ind w:firstLine="480" w:firstLineChars="200"/>
        <w:rPr>
          <w:rFonts w:ascii="Times New Roman" w:hAnsi="Times New Roman" w:cs="Times New Roman"/>
          <w:color w:val="000000" w:themeColor="text1"/>
          <w14:textFill>
            <w14:solidFill>
              <w14:schemeClr w14:val="tx1"/>
            </w14:solidFill>
          </w14:textFill>
        </w:rPr>
      </w:pPr>
    </w:p>
    <w:p w14:paraId="2CCC8719">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493" w:name="_Toc187675428"/>
      <w:bookmarkStart w:id="494" w:name="_Toc98413560"/>
      <w:r>
        <w:rPr>
          <w:rFonts w:ascii="Times New Roman" w:hAnsi="Times New Roman" w:cs="Times New Roman"/>
          <w:color w:val="000000" w:themeColor="text1"/>
          <w14:textFill>
            <w14:solidFill>
              <w14:schemeClr w14:val="tx1"/>
            </w14:solidFill>
          </w14:textFill>
        </w:rPr>
        <w:t>5.5固体废物影响预测与评价</w:t>
      </w:r>
      <w:bookmarkEnd w:id="493"/>
      <w:bookmarkEnd w:id="494"/>
    </w:p>
    <w:p w14:paraId="3D679F47">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bookmarkStart w:id="495" w:name="_Toc57826761"/>
      <w:bookmarkStart w:id="496" w:name="_Toc97464666"/>
      <w:bookmarkStart w:id="497" w:name="_Toc98413561"/>
      <w:bookmarkStart w:id="498" w:name="_Toc34989600"/>
      <w:bookmarkStart w:id="499" w:name="_Toc98414243"/>
      <w:r>
        <w:rPr>
          <w:rFonts w:ascii="Times New Roman" w:hAnsi="Times New Roman" w:cs="Times New Roman"/>
          <w:color w:val="000000" w:themeColor="text1"/>
          <w:sz w:val="30"/>
          <w14:textFill>
            <w14:solidFill>
              <w14:schemeClr w14:val="tx1"/>
            </w14:solidFill>
          </w14:textFill>
        </w:rPr>
        <w:t>5.5.1施工期固体废物影响预测与评价</w:t>
      </w:r>
      <w:bookmarkEnd w:id="495"/>
      <w:bookmarkEnd w:id="496"/>
      <w:bookmarkEnd w:id="497"/>
      <w:bookmarkEnd w:id="498"/>
      <w:bookmarkEnd w:id="499"/>
    </w:p>
    <w:p w14:paraId="4B562E6D">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本项目施工期产生的固体废物为一般固体废物（施工场地建筑垃圾、弃土石方）、生活垃圾</w:t>
      </w:r>
      <w:r>
        <w:rPr>
          <w:rFonts w:hint="eastAsia" w:ascii="Times New Roman" w:hAnsi="Times New Roman" w:cs="Times New Roman"/>
          <w:color w:val="000000" w:themeColor="text1"/>
          <w14:textFill>
            <w14:solidFill>
              <w14:schemeClr w14:val="tx1"/>
            </w14:solidFill>
          </w14:textFill>
        </w:rPr>
        <w:t>、危险废物（废活性炭、废油）</w:t>
      </w:r>
      <w:r>
        <w:rPr>
          <w:rFonts w:ascii="Times New Roman" w:hAnsi="Times New Roman" w:cs="Times New Roman"/>
          <w:color w:val="000000" w:themeColor="text1"/>
          <w14:textFill>
            <w14:solidFill>
              <w14:schemeClr w14:val="tx1"/>
            </w14:solidFill>
          </w14:textFill>
        </w:rPr>
        <w:t>。</w:t>
      </w:r>
    </w:p>
    <w:p w14:paraId="443FD7F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（1）一般固体废物对周围环境的影响</w:t>
      </w:r>
    </w:p>
    <w:p w14:paraId="604C62A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ascii="Times New Roman" w:hAnsi="Times New Roman" w:cs="Times New Roman"/>
          <w:color w:val="000000" w:themeColor="text1"/>
          <w14:textFill>
            <w14:solidFill>
              <w14:schemeClr w14:val="tx1"/>
            </w14:solidFill>
          </w14:textFill>
        </w:rPr>
        <w:t>弃土石方对周围环境的影响</w:t>
      </w:r>
    </w:p>
    <w:p w14:paraId="6D70ED7D">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本项目设</w:t>
      </w:r>
      <w:r>
        <w:rPr>
          <w:rFonts w:hint="eastAsia" w:ascii="Times New Roman" w:hAnsi="Times New Roman" w:cs="Times New Roman"/>
          <w:color w:val="000000" w:themeColor="text1"/>
          <w14:textFill>
            <w14:solidFill>
              <w14:schemeClr w14:val="tx1"/>
            </w14:solidFill>
          </w14:textFill>
        </w:rPr>
        <w:t>弃土场</w:t>
      </w:r>
      <w:r>
        <w:rPr>
          <w:rFonts w:ascii="Times New Roman" w:hAnsi="Times New Roman" w:cs="Times New Roman"/>
          <w:color w:val="000000" w:themeColor="text1"/>
          <w14:textFill>
            <w14:solidFill>
              <w14:schemeClr w14:val="tx1"/>
            </w14:solidFill>
          </w14:textFill>
        </w:rPr>
        <w:t>3处。弃土场均位于荒漠区，下游安全距离内均无公共设施、工业企业和居民点，且各弃土场也未侵占河道、湖泊和水库等重要设施。考虑弃土为较为松散的堆积体，如果采取的措施不当，易造成水土流失。本项目弃土场在施工结束时，将对所有弃土场及时平整，将弃土场设置对环境影响降至最低。</w:t>
      </w:r>
    </w:p>
    <w:p w14:paraId="2053D24B">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汽车运土、料、渣要采取封闭运输，防止土、料、渣随意散落，影响环境。</w:t>
      </w:r>
    </w:p>
    <w:p w14:paraId="4AB740B7">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rFonts w:ascii="Times New Roman" w:hAnsi="Times New Roman" w:cs="Times New Roman"/>
          <w:color w:val="000000" w:themeColor="text1"/>
          <w14:textFill>
            <w14:solidFill>
              <w14:schemeClr w14:val="tx1"/>
            </w14:solidFill>
          </w14:textFill>
        </w:rPr>
        <w:t>建筑垃圾对周围环境的影响</w:t>
      </w:r>
    </w:p>
    <w:p w14:paraId="733A928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公路施工场地剩余的筑路材料，包括石料、砂、石灰、水泥、钢材、木料、预制构件等将会对环境产生一定的影响。</w:t>
      </w:r>
    </w:p>
    <w:p w14:paraId="29145462">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筑路材料均是按施工进度有计划购置的，但公路工程规模、工程量大，难免有少量的筑路材料余下来，放置在工棚里或露天堆放、杂乱无序，从宏观上与周围环境很不协调，造成视觉污染。若石灰或水泥随水渗入地下，将使土壤板结、pH值升高，同时还会污染地下水，使该块土地失去生产能力，浪费了珍贵的土地资源。</w:t>
      </w:r>
    </w:p>
    <w:p w14:paraId="0BF5F98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建筑垃圾尽可能回用，不能回用的集中收集后运至城市管理部门指定地点。</w:t>
      </w:r>
    </w:p>
    <w:p w14:paraId="7671DC1F">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本工程主要拆迁建筑物的种类为电力、电讯等，工程沿线需拆部分建筑材料可回收利用，剩余建筑垃圾</w:t>
      </w:r>
      <w:r>
        <w:rPr>
          <w:rFonts w:hint="eastAsia" w:ascii="Times New Roman" w:hAnsi="Times New Roman" w:cs="Times New Roman"/>
          <w:color w:val="000000" w:themeColor="text1"/>
          <w14:textFill>
            <w14:solidFill>
              <w14:schemeClr w14:val="tx1"/>
            </w14:solidFill>
          </w14:textFill>
        </w:rPr>
        <w:t>及时清运处置</w:t>
      </w:r>
      <w:r>
        <w:rPr>
          <w:rFonts w:ascii="Times New Roman" w:hAnsi="Times New Roman" w:cs="Times New Roman"/>
          <w:color w:val="000000" w:themeColor="text1"/>
          <w14:textFill>
            <w14:solidFill>
              <w14:schemeClr w14:val="tx1"/>
            </w14:solidFill>
          </w14:textFill>
        </w:rPr>
        <w:t>。</w:t>
      </w:r>
    </w:p>
    <w:p w14:paraId="091680AF">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（2）施工人员的生活垃圾</w:t>
      </w:r>
    </w:p>
    <w:p w14:paraId="3F5370F2">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高峰期现场施工人员约100人，生活垃圾产生量0.08t∕d，若不对这些垃圾采取处理措施，将会给自然环境和人群的健康造成不良的影响。在施工生活区周围建立小型的垃圾箱，聘请专人定期清除垃圾，并运送至生活垃圾填埋场处理，运送途中要避免垃圾的遗撒。</w:t>
      </w:r>
    </w:p>
    <w:p w14:paraId="7F20D6AB">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（3）危险废物</w:t>
      </w:r>
    </w:p>
    <w:p w14:paraId="5F87B30E">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bookmarkStart w:id="500" w:name="_Hlk171010017"/>
      <w:r>
        <w:rPr>
          <w:rFonts w:ascii="Times New Roman" w:hAnsi="Times New Roman" w:cs="Times New Roman"/>
          <w:color w:val="000000" w:themeColor="text1"/>
          <w14:textFill>
            <w14:solidFill>
              <w14:schemeClr w14:val="tx1"/>
            </w14:solidFill>
          </w14:textFill>
        </w:rPr>
        <w:t>危险废物主要为沥青烟气净化产生的废活性炭</w:t>
      </w:r>
      <w:r>
        <w:rPr>
          <w:rFonts w:hint="eastAsia" w:ascii="Times New Roman" w:hAnsi="Times New Roman" w:cs="Times New Roman"/>
          <w:color w:val="000000" w:themeColor="text1"/>
          <w14:textFill>
            <w14:solidFill>
              <w14:schemeClr w14:val="tx1"/>
            </w14:solidFill>
          </w14:textFill>
        </w:rPr>
        <w:t>以及桥梁围堰施工产生的废油。</w:t>
      </w:r>
    </w:p>
    <w:p w14:paraId="29D84766">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本项目沥青站烟气净化设施由设备厂家提供安装维护服务，活性炭也在维护过程中由厂家负责回收后再生处理。因此，不会在施工</w:t>
      </w:r>
      <w:r>
        <w:rPr>
          <w:rFonts w:hint="eastAsia" w:ascii="Times New Roman" w:hAnsi="Times New Roman" w:cs="Times New Roman"/>
          <w:color w:val="000000" w:themeColor="text1"/>
          <w14:textFill>
            <w14:solidFill>
              <w14:schemeClr w14:val="tx1"/>
            </w14:solidFill>
          </w14:textFill>
        </w:rPr>
        <w:t>现场</w:t>
      </w:r>
      <w:r>
        <w:rPr>
          <w:rFonts w:ascii="Times New Roman" w:hAnsi="Times New Roman" w:cs="Times New Roman"/>
          <w:color w:val="000000" w:themeColor="text1"/>
          <w14:textFill>
            <w14:solidFill>
              <w14:schemeClr w14:val="tx1"/>
            </w14:solidFill>
          </w14:textFill>
        </w:rPr>
        <w:t>临时贮存。</w:t>
      </w:r>
      <w:bookmarkEnd w:id="500"/>
    </w:p>
    <w:p w14:paraId="29D35302">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废油经收集后交由有危废处置资格的单位进行处理。</w:t>
      </w:r>
    </w:p>
    <w:p w14:paraId="6937CF7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综上分析，经采取上述措施后，项目固废对环境影响较小。</w:t>
      </w:r>
    </w:p>
    <w:p w14:paraId="1D1F305F">
      <w:pPr>
        <w:pStyle w:val="4"/>
        <w:adjustRightInd w:val="0"/>
        <w:snapToGrid w:val="0"/>
        <w:spacing w:before="156" w:afterLines="0"/>
        <w:rPr>
          <w:rFonts w:ascii="Times New Roman" w:hAnsi="Times New Roman" w:cs="Times New Roman"/>
          <w:color w:val="000000" w:themeColor="text1"/>
          <w:sz w:val="30"/>
          <w14:textFill>
            <w14:solidFill>
              <w14:schemeClr w14:val="tx1"/>
            </w14:solidFill>
          </w14:textFill>
        </w:rPr>
      </w:pPr>
      <w:bookmarkStart w:id="501" w:name="_Toc97464667"/>
      <w:bookmarkStart w:id="502" w:name="_Toc34989601"/>
      <w:bookmarkStart w:id="503" w:name="_Toc98414244"/>
      <w:bookmarkStart w:id="504" w:name="_Toc98413562"/>
      <w:bookmarkStart w:id="505" w:name="_Toc57826762"/>
      <w:r>
        <w:rPr>
          <w:rFonts w:ascii="Times New Roman" w:hAnsi="Times New Roman" w:cs="Times New Roman"/>
          <w:color w:val="000000" w:themeColor="text1"/>
          <w:sz w:val="30"/>
          <w14:textFill>
            <w14:solidFill>
              <w14:schemeClr w14:val="tx1"/>
            </w14:solidFill>
          </w14:textFill>
        </w:rPr>
        <w:t>5.5.2营运期固体废物影响预测与评价</w:t>
      </w:r>
      <w:bookmarkEnd w:id="501"/>
      <w:bookmarkEnd w:id="502"/>
      <w:bookmarkEnd w:id="503"/>
      <w:bookmarkEnd w:id="504"/>
      <w:bookmarkEnd w:id="505"/>
    </w:p>
    <w:p w14:paraId="508F7711">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本项目拟建道路路程较短，全程不设收费站及服务区，故营运期固废主要为道路养护过程中产生少量废渣及行驶货运车辆撒漏的少量物料，废渣主要为公路养护产生的沥青废渣，产生量较小。</w:t>
      </w:r>
    </w:p>
    <w:p w14:paraId="2AD796C0">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对固体废物的处理，严禁随意抛弃</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公路养护单位将废旧沥青送至具有废旧沥青回收处理资质的单位进行处理，路面垃圾由环卫工人对道路及时进行清理。只要在营运期加强管理，采取切实可行的措施，本工程营运期的固体废物不会对周围环境产生影响。</w:t>
      </w:r>
    </w:p>
    <w:p w14:paraId="091614BD">
      <w:pPr>
        <w:jc w:val="both"/>
        <w:rPr>
          <w:rFonts w:ascii="Times New Roman" w:hAnsi="Times New Roman" w:cs="Times New Roman"/>
          <w:b/>
          <w:bCs/>
          <w:color w:val="000000" w:themeColor="text1"/>
          <w:sz w:val="32"/>
          <w14:textFill>
            <w14:solidFill>
              <w14:schemeClr w14:val="tx1"/>
            </w14:solidFill>
          </w14:textFill>
        </w:rPr>
        <w:sectPr>
          <w:pgSz w:w="11906" w:h="16838"/>
          <w:pgMar w:top="1440" w:right="1797" w:bottom="1440" w:left="1797" w:header="794" w:footer="850" w:gutter="0"/>
          <w:cols w:space="720" w:num="1"/>
          <w:docGrid w:type="lines" w:linePitch="312" w:charSpace="0"/>
        </w:sectPr>
      </w:pPr>
    </w:p>
    <w:p w14:paraId="5D4F41FE">
      <w:pPr>
        <w:pStyle w:val="2"/>
        <w:tabs>
          <w:tab w:val="left" w:pos="7101"/>
        </w:tabs>
        <w:adjustRightInd w:val="0"/>
        <w:snapToGrid w:val="0"/>
        <w:spacing w:before="312" w:after="156" w:line="240" w:lineRule="auto"/>
        <w:rPr>
          <w:rFonts w:ascii="Times New Roman" w:hAnsi="Times New Roman" w:cs="Times New Roman"/>
          <w:color w:val="000000" w:themeColor="text1"/>
          <w14:textFill>
            <w14:solidFill>
              <w14:schemeClr w14:val="tx1"/>
            </w14:solidFill>
          </w14:textFill>
        </w:rPr>
      </w:pPr>
      <w:bookmarkStart w:id="506" w:name="_Toc98413563"/>
      <w:bookmarkStart w:id="507" w:name="_Toc187675429"/>
      <w:bookmarkStart w:id="508" w:name="_Hlk171801529"/>
      <w:r>
        <w:rPr>
          <w:rFonts w:ascii="Times New Roman" w:hAnsi="Times New Roman" w:cs="Times New Roman"/>
          <w:color w:val="000000" w:themeColor="text1"/>
          <w14:textFill>
            <w14:solidFill>
              <w14:schemeClr w14:val="tx1"/>
            </w14:solidFill>
          </w14:textFill>
        </w:rPr>
        <w:t>6环境风险</w:t>
      </w:r>
      <w:bookmarkEnd w:id="506"/>
      <w:r>
        <w:rPr>
          <w:rFonts w:ascii="Times New Roman" w:hAnsi="Times New Roman" w:cs="Times New Roman"/>
          <w:color w:val="000000" w:themeColor="text1"/>
          <w14:textFill>
            <w14:solidFill>
              <w14:schemeClr w14:val="tx1"/>
            </w14:solidFill>
          </w14:textFill>
        </w:rPr>
        <w:t>分析与评价</w:t>
      </w:r>
      <w:bookmarkEnd w:id="507"/>
    </w:p>
    <w:bookmarkEnd w:id="508"/>
    <w:p w14:paraId="44A394E6">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509" w:name="_Toc57826771"/>
      <w:bookmarkStart w:id="510" w:name="_Toc34989607"/>
      <w:bookmarkStart w:id="511" w:name="_Toc187675430"/>
      <w:bookmarkStart w:id="512" w:name="_Toc98414246"/>
      <w:bookmarkStart w:id="513" w:name="_Toc97464670"/>
      <w:bookmarkStart w:id="514" w:name="_Toc98413564"/>
      <w:r>
        <w:rPr>
          <w:rFonts w:ascii="Times New Roman" w:hAnsi="Times New Roman" w:cs="Times New Roman"/>
          <w:color w:val="000000" w:themeColor="text1"/>
          <w14:textFill>
            <w14:solidFill>
              <w14:schemeClr w14:val="tx1"/>
            </w14:solidFill>
          </w14:textFill>
        </w:rPr>
        <w:t>6.1</w:t>
      </w:r>
      <w:bookmarkEnd w:id="509"/>
      <w:bookmarkEnd w:id="510"/>
      <w:r>
        <w:rPr>
          <w:rFonts w:ascii="Times New Roman" w:hAnsi="Times New Roman" w:cs="Times New Roman"/>
          <w:color w:val="000000" w:themeColor="text1"/>
          <w14:textFill>
            <w14:solidFill>
              <w14:schemeClr w14:val="tx1"/>
            </w14:solidFill>
          </w14:textFill>
        </w:rPr>
        <w:t>评价概述</w:t>
      </w:r>
      <w:bookmarkEnd w:id="511"/>
      <w:bookmarkEnd w:id="512"/>
      <w:bookmarkEnd w:id="513"/>
      <w:bookmarkEnd w:id="514"/>
    </w:p>
    <w:p w14:paraId="779F7C73">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本项目事故风险影响主要表现在运送危险品及油品等车辆发生事故时翻车造成道路附近土壤污染，更严重时进入沿线河流、渠道造成地表水严重污染，以及化学危险品逸散污染大气环境，本项目沿线土壤部分路段占用草地，化学品一旦侧翻，会造成耕作土壤严重污染，导致植物死亡。主要包括有机污染和重金属污染。土壤的有机污染主要指有毒、有害的有机化合物在环境中不断积累到一定时间或在一定条件下有可能给整个生态系统带来灾难性的后果。重金属污染物在土壤中移动性差，滞留时间长，不能被微生物降解并可经水、植物等介质最终影响整个生物链。</w:t>
      </w:r>
    </w:p>
    <w:p w14:paraId="52941D6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本项目沿线穿越敏感河流-盖孜河，风险主要是潜在的水污染环境风险事故。该风险主要源于项目经过盖孜河路段运输危险品的泄漏事故，影响水体水质，本次评价内容主要分析地表水及土壤环境风险，包括地表水及土壤风险影响的后果及风险度。</w:t>
      </w:r>
    </w:p>
    <w:p w14:paraId="17392787">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515" w:name="_Toc97464671"/>
      <w:bookmarkStart w:id="516" w:name="_Toc98413565"/>
      <w:bookmarkStart w:id="517" w:name="_Toc98414247"/>
      <w:bookmarkStart w:id="518" w:name="_Toc187675431"/>
      <w:r>
        <w:rPr>
          <w:rFonts w:ascii="Times New Roman" w:hAnsi="Times New Roman" w:cs="Times New Roman"/>
          <w:color w:val="000000" w:themeColor="text1"/>
          <w14:textFill>
            <w14:solidFill>
              <w14:schemeClr w14:val="tx1"/>
            </w14:solidFill>
          </w14:textFill>
        </w:rPr>
        <w:t>6.2</w:t>
      </w:r>
      <w:bookmarkEnd w:id="515"/>
      <w:bookmarkEnd w:id="516"/>
      <w:bookmarkEnd w:id="517"/>
      <w:r>
        <w:rPr>
          <w:rFonts w:hint="eastAsia" w:ascii="Times New Roman" w:hAnsi="Times New Roman" w:cs="Times New Roman"/>
          <w:color w:val="000000" w:themeColor="text1"/>
          <w14:textFill>
            <w14:solidFill>
              <w14:schemeClr w14:val="tx1"/>
            </w14:solidFill>
          </w14:textFill>
        </w:rPr>
        <w:t>环境风险影响分析</w:t>
      </w:r>
      <w:bookmarkEnd w:id="518"/>
    </w:p>
    <w:p w14:paraId="06AE2C7B">
      <w:pPr>
        <w:spacing w:line="360" w:lineRule="auto"/>
        <w:ind w:firstLine="602"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6.2.1</w:t>
      </w:r>
      <w:r>
        <w:rPr>
          <w:rFonts w:hint="eastAsia" w:ascii="Times New Roman" w:hAnsi="Times New Roman" w:cs="Times New Roman"/>
          <w:b/>
          <w:bCs/>
          <w:color w:val="000000" w:themeColor="text1"/>
          <w:sz w:val="30"/>
          <w:szCs w:val="30"/>
          <w14:textFill>
            <w14:solidFill>
              <w14:schemeClr w14:val="tx1"/>
            </w14:solidFill>
          </w14:textFill>
        </w:rPr>
        <w:t>环境风险识别</w:t>
      </w:r>
    </w:p>
    <w:p w14:paraId="62ED1444">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本项目沿线穿越盖孜河等水体，风险主要是潜在的水污染环境风险事故。</w:t>
      </w:r>
    </w:p>
    <w:p w14:paraId="3C2F6DA3">
      <w:pPr>
        <w:spacing w:line="360" w:lineRule="auto"/>
        <w:ind w:firstLine="602" w:firstLineChars="200"/>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6.2.2</w:t>
      </w:r>
      <w:r>
        <w:rPr>
          <w:rFonts w:hint="eastAsia" w:ascii="Times New Roman" w:hAnsi="Times New Roman" w:cs="Times New Roman"/>
          <w:b/>
          <w:bCs/>
          <w:color w:val="000000" w:themeColor="text1"/>
          <w:sz w:val="30"/>
          <w:szCs w:val="30"/>
          <w14:textFill>
            <w14:solidFill>
              <w14:schemeClr w14:val="tx1"/>
            </w14:solidFill>
          </w14:textFill>
        </w:rPr>
        <w:t>环境风险概率分析</w:t>
      </w:r>
    </w:p>
    <w:p w14:paraId="028DE680">
      <w:pPr>
        <w:spacing w:line="560" w:lineRule="exact"/>
        <w:ind w:firstLine="480"/>
        <w:jc w:val="both"/>
        <w:rPr>
          <w:color w:val="000000" w:themeColor="text1"/>
          <w14:textFill>
            <w14:solidFill>
              <w14:schemeClr w14:val="tx1"/>
            </w14:solidFill>
          </w14:textFill>
        </w:rPr>
      </w:pPr>
      <w:r>
        <w:rPr>
          <w:color w:val="000000" w:themeColor="text1"/>
          <w14:textFill>
            <w14:solidFill>
              <w14:schemeClr w14:val="tx1"/>
            </w14:solidFill>
          </w14:textFill>
        </w:rPr>
        <w:t>事故对地表水的风险影响是一种潜在的危害，发生这种风险危害的可能性用风险度来衡量。</w:t>
      </w:r>
    </w:p>
    <w:p w14:paraId="18D07FA3">
      <w:pPr>
        <w:spacing w:line="560" w:lineRule="exact"/>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预测年在拟建高速公路跨河桥段危险品运输车辆发生风险事故的频率计算模式为：</w:t>
      </w:r>
    </w:p>
    <w:p w14:paraId="11BD6078">
      <w:pPr>
        <w:spacing w:line="560" w:lineRule="exact"/>
        <w:ind w:firstLine="480"/>
        <w:jc w:val="both"/>
        <w:rPr>
          <w:color w:val="000000" w:themeColor="text1"/>
          <w14:textFill>
            <w14:solidFill>
              <w14:schemeClr w14:val="tx1"/>
            </w14:solidFill>
          </w14:textFill>
        </w:rPr>
      </w:pPr>
      <w:r>
        <w:rPr>
          <w:rFonts w:ascii="TimesNewRomanPS-ItalicMT" w:hAnsi="TimesNewRomanPS-ItalicMT"/>
          <w:color w:val="000000" w:themeColor="text1"/>
          <w14:textFill>
            <w14:solidFill>
              <w14:schemeClr w14:val="tx1"/>
            </w14:solidFill>
          </w14:textFill>
        </w:rPr>
        <w:t>P</w:t>
      </w:r>
      <w:r>
        <w:rPr>
          <w:rFonts w:hint="eastAsia"/>
          <w:color w:val="000000" w:themeColor="text1"/>
          <w14:textFill>
            <w14:solidFill>
              <w14:schemeClr w14:val="tx1"/>
            </w14:solidFill>
          </w14:textFill>
        </w:rPr>
        <w:t>＝</w:t>
      </w:r>
      <w:r>
        <w:rPr>
          <w:rFonts w:ascii="TimesNewRomanPS-ItalicMT" w:hAnsi="TimesNewRomanPS-ItalicMT"/>
          <w:color w:val="000000" w:themeColor="text1"/>
          <w14:textFill>
            <w14:solidFill>
              <w14:schemeClr w14:val="tx1"/>
            </w14:solidFill>
          </w14:textFill>
        </w:rPr>
        <w:t>Q</w:t>
      </w:r>
      <w:r>
        <w:rPr>
          <w:rFonts w:ascii="TimesNewRomanPS-ItalicMT" w:hAnsi="TimesNewRomanPS-ItalicMT"/>
          <w:color w:val="000000" w:themeColor="text1"/>
          <w:sz w:val="16"/>
          <w:szCs w:val="16"/>
          <w14:textFill>
            <w14:solidFill>
              <w14:schemeClr w14:val="tx1"/>
            </w14:solidFill>
          </w14:textFill>
        </w:rPr>
        <w:t>0</w:t>
      </w:r>
      <w:r>
        <w:rPr>
          <w:rFonts w:ascii="TimesNewRomanPS-ItalicMT" w:hAnsi="TimesNewRomanPS-ItalicMT"/>
          <w:color w:val="000000" w:themeColor="text1"/>
          <w14:textFill>
            <w14:solidFill>
              <w14:schemeClr w14:val="tx1"/>
            </w14:solidFill>
          </w14:textFill>
        </w:rPr>
        <w:t>×Q</w:t>
      </w:r>
      <w:r>
        <w:rPr>
          <w:rFonts w:ascii="TimesNewRomanPS-ItalicMT" w:hAnsi="TimesNewRomanPS-ItalicMT"/>
          <w:color w:val="000000" w:themeColor="text1"/>
          <w:sz w:val="16"/>
          <w:szCs w:val="16"/>
          <w14:textFill>
            <w14:solidFill>
              <w14:schemeClr w14:val="tx1"/>
            </w14:solidFill>
          </w14:textFill>
        </w:rPr>
        <w:t>1</w:t>
      </w:r>
      <w:r>
        <w:rPr>
          <w:rFonts w:ascii="TimesNewRomanPS-ItalicMT" w:hAnsi="TimesNewRomanPS-ItalicMT"/>
          <w:color w:val="000000" w:themeColor="text1"/>
          <w14:textFill>
            <w14:solidFill>
              <w14:schemeClr w14:val="tx1"/>
            </w14:solidFill>
          </w14:textFill>
        </w:rPr>
        <w:t>×Q</w:t>
      </w:r>
      <w:r>
        <w:rPr>
          <w:rFonts w:ascii="TimesNewRomanPS-ItalicMT" w:hAnsi="TimesNewRomanPS-ItalicMT"/>
          <w:color w:val="000000" w:themeColor="text1"/>
          <w:sz w:val="16"/>
          <w:szCs w:val="16"/>
          <w14:textFill>
            <w14:solidFill>
              <w14:schemeClr w14:val="tx1"/>
            </w14:solidFill>
          </w14:textFill>
        </w:rPr>
        <w:t>2</w:t>
      </w:r>
      <w:r>
        <w:rPr>
          <w:rFonts w:ascii="TimesNewRomanPS-ItalicMT" w:hAnsi="TimesNewRomanPS-ItalicMT"/>
          <w:color w:val="000000" w:themeColor="text1"/>
          <w14:textFill>
            <w14:solidFill>
              <w14:schemeClr w14:val="tx1"/>
            </w14:solidFill>
          </w14:textFill>
        </w:rPr>
        <w:t>×Q</w:t>
      </w:r>
      <w:r>
        <w:rPr>
          <w:rFonts w:ascii="TimesNewRomanPS-ItalicMT" w:hAnsi="TimesNewRomanPS-ItalicMT"/>
          <w:color w:val="000000" w:themeColor="text1"/>
          <w:sz w:val="16"/>
          <w:szCs w:val="16"/>
          <w14:textFill>
            <w14:solidFill>
              <w14:schemeClr w14:val="tx1"/>
            </w14:solidFill>
          </w14:textFill>
        </w:rPr>
        <w:t>3</w:t>
      </w:r>
    </w:p>
    <w:p w14:paraId="292A9451">
      <w:pPr>
        <w:pStyle w:val="2494"/>
        <w:spacing w:line="560" w:lineRule="exact"/>
        <w:ind w:left="432" w:firstLine="360" w:firstLineChars="150"/>
        <w:jc w:val="both"/>
        <w:rPr>
          <w:color w:val="000000" w:themeColor="text1"/>
          <w14:textFill>
            <w14:solidFill>
              <w14:schemeClr w14:val="tx1"/>
            </w14:solidFill>
          </w14:textFill>
        </w:rPr>
      </w:pPr>
      <w:r>
        <w:rPr>
          <w:color w:val="000000" w:themeColor="text1"/>
          <w14:textFill>
            <w14:solidFill>
              <w14:schemeClr w14:val="tx1"/>
            </w14:solidFill>
          </w14:textFill>
        </w:rPr>
        <w:t>式中：P——</w:t>
      </w:r>
      <w:r>
        <w:rPr>
          <w:rFonts w:hint="eastAsia"/>
          <w:color w:val="000000" w:themeColor="text1"/>
          <w14:textFill>
            <w14:solidFill>
              <w14:schemeClr w14:val="tx1"/>
            </w14:solidFill>
          </w14:textFill>
        </w:rPr>
        <w:t>重要水域地段出现污染风险概率</w:t>
      </w:r>
      <w:r>
        <w:rPr>
          <w:color w:val="000000" w:themeColor="text1"/>
          <w14:textFill>
            <w14:solidFill>
              <w14:schemeClr w14:val="tx1"/>
            </w14:solidFill>
          </w14:textFill>
        </w:rPr>
        <w:t>；</w:t>
      </w:r>
    </w:p>
    <w:p w14:paraId="6188AE28">
      <w:pPr>
        <w:pStyle w:val="2494"/>
        <w:spacing w:line="560" w:lineRule="exact"/>
        <w:ind w:left="432" w:firstLine="1080" w:firstLineChars="450"/>
        <w:jc w:val="both"/>
        <w:rPr>
          <w:color w:val="000000" w:themeColor="text1"/>
          <w14:textFill>
            <w14:solidFill>
              <w14:schemeClr w14:val="tx1"/>
            </w14:solidFill>
          </w14:textFill>
        </w:rPr>
      </w:pPr>
      <w:r>
        <w:rPr>
          <w:color w:val="000000" w:themeColor="text1"/>
          <w14:textFill>
            <w14:solidFill>
              <w14:schemeClr w14:val="tx1"/>
            </w14:solidFill>
          </w14:textFill>
        </w:rPr>
        <w:t>Q0——交通事故概率（次数/年）</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次</w:t>
      </w:r>
      <w:r>
        <w:rPr>
          <w:color w:val="000000" w:themeColor="text1"/>
          <w14:textFill>
            <w14:solidFill>
              <w14:schemeClr w14:val="tx1"/>
            </w14:solidFill>
          </w14:textFill>
        </w:rPr>
        <w:t>/百万辆×公里；</w:t>
      </w:r>
    </w:p>
    <w:p w14:paraId="538E205A">
      <w:pPr>
        <w:pStyle w:val="2494"/>
        <w:spacing w:line="560" w:lineRule="exact"/>
        <w:ind w:left="432" w:firstLine="1080" w:firstLineChars="450"/>
        <w:jc w:val="both"/>
        <w:rPr>
          <w:color w:val="000000" w:themeColor="text1"/>
          <w14:textFill>
            <w14:solidFill>
              <w14:schemeClr w14:val="tx1"/>
            </w14:solidFill>
          </w14:textFill>
        </w:rPr>
      </w:pPr>
      <w:r>
        <w:rPr>
          <w:color w:val="000000" w:themeColor="text1"/>
          <w14:textFill>
            <w14:solidFill>
              <w14:schemeClr w14:val="tx1"/>
            </w14:solidFill>
          </w14:textFill>
        </w:rPr>
        <w:t>Q1——</w:t>
      </w:r>
      <w:r>
        <w:rPr>
          <w:rFonts w:hint="eastAsia"/>
          <w:color w:val="000000" w:themeColor="text1"/>
          <w14:textFill>
            <w14:solidFill>
              <w14:schemeClr w14:val="tx1"/>
            </w14:solidFill>
          </w14:textFill>
        </w:rPr>
        <w:t>预测年的年绝对交通量，百万辆</w:t>
      </w:r>
      <w:r>
        <w:rPr>
          <w:color w:val="000000" w:themeColor="text1"/>
          <w14:textFill>
            <w14:solidFill>
              <w14:schemeClr w14:val="tx1"/>
            </w14:solidFill>
          </w14:textFill>
        </w:rPr>
        <w:t>/年；</w:t>
      </w:r>
    </w:p>
    <w:p w14:paraId="0E7C0526">
      <w:pPr>
        <w:pStyle w:val="2494"/>
        <w:spacing w:line="560" w:lineRule="exact"/>
        <w:ind w:left="432" w:firstLine="1080" w:firstLineChars="450"/>
        <w:jc w:val="both"/>
        <w:rPr>
          <w:color w:val="000000" w:themeColor="text1"/>
          <w14:textFill>
            <w14:solidFill>
              <w14:schemeClr w14:val="tx1"/>
            </w14:solidFill>
          </w14:textFill>
        </w:rPr>
      </w:pPr>
      <w:r>
        <w:rPr>
          <w:color w:val="000000" w:themeColor="text1"/>
          <w14:textFill>
            <w14:solidFill>
              <w14:schemeClr w14:val="tx1"/>
            </w14:solidFill>
          </w14:textFill>
        </w:rPr>
        <w:t>Q2——</w:t>
      </w:r>
      <w:r>
        <w:rPr>
          <w:rFonts w:hint="eastAsia"/>
          <w:color w:val="000000" w:themeColor="text1"/>
          <w14:textFill>
            <w14:solidFill>
              <w14:schemeClr w14:val="tx1"/>
            </w14:solidFill>
          </w14:textFill>
        </w:rPr>
        <w:t>装载有毒、有害危险品货车占总交通量的比例，0</w:t>
      </w:r>
      <w:r>
        <w:rPr>
          <w:color w:val="000000" w:themeColor="text1"/>
          <w14:textFill>
            <w14:solidFill>
              <w14:schemeClr w14:val="tx1"/>
            </w14:solidFill>
          </w14:textFill>
        </w:rPr>
        <w:t>.5%；</w:t>
      </w:r>
    </w:p>
    <w:p w14:paraId="46DE3E39">
      <w:pPr>
        <w:pStyle w:val="2494"/>
        <w:spacing w:line="560" w:lineRule="exact"/>
        <w:ind w:left="432" w:firstLine="1080" w:firstLineChars="450"/>
        <w:jc w:val="both"/>
        <w:rPr>
          <w:color w:val="000000" w:themeColor="text1"/>
          <w14:textFill>
            <w14:solidFill>
              <w14:schemeClr w14:val="tx1"/>
            </w14:solidFill>
          </w14:textFill>
        </w:rPr>
      </w:pPr>
      <w:r>
        <w:rPr>
          <w:color w:val="000000" w:themeColor="text1"/>
          <w14:textFill>
            <w14:solidFill>
              <w14:schemeClr w14:val="tx1"/>
            </w14:solidFill>
          </w14:textFill>
        </w:rPr>
        <w:t>Q3——</w:t>
      </w:r>
      <w:r>
        <w:rPr>
          <w:rFonts w:hint="eastAsia"/>
          <w:color w:val="000000" w:themeColor="text1"/>
          <w14:textFill>
            <w14:solidFill>
              <w14:schemeClr w14:val="tx1"/>
            </w14:solidFill>
          </w14:textFill>
        </w:rPr>
        <w:t>重要水域路段的长度，2</w:t>
      </w:r>
      <w:r>
        <w:rPr>
          <w:color w:val="000000" w:themeColor="text1"/>
          <w14:textFill>
            <w14:solidFill>
              <w14:schemeClr w14:val="tx1"/>
            </w14:solidFill>
          </w14:textFill>
        </w:rPr>
        <w:t>.840</w:t>
      </w:r>
      <w:r>
        <w:rPr>
          <w:rFonts w:hint="eastAsia"/>
          <w:color w:val="000000" w:themeColor="text1"/>
          <w14:textFill>
            <w14:solidFill>
              <w14:schemeClr w14:val="tx1"/>
            </w14:solidFill>
          </w14:textFill>
        </w:rPr>
        <w:t>公里。</w:t>
      </w:r>
    </w:p>
    <w:p w14:paraId="5705EC1E">
      <w:pPr>
        <w:spacing w:line="560" w:lineRule="exact"/>
        <w:ind w:firstLine="480"/>
        <w:jc w:val="both"/>
        <w:rPr>
          <w:color w:val="000000" w:themeColor="text1"/>
          <w14:textFill>
            <w14:solidFill>
              <w14:schemeClr w14:val="tx1"/>
            </w14:solidFill>
          </w14:textFill>
        </w:rPr>
      </w:pPr>
      <w:r>
        <w:rPr>
          <w:color w:val="000000" w:themeColor="text1"/>
          <w14:textFill>
            <w14:solidFill>
              <w14:schemeClr w14:val="tx1"/>
            </w14:solidFill>
          </w14:textFill>
        </w:rPr>
        <w:t>估算出本公路发生危险化学品污染事故的风险度见表6.2-1。</w:t>
      </w:r>
    </w:p>
    <w:p w14:paraId="19402BD1">
      <w:pPr>
        <w:spacing w:line="560" w:lineRule="exact"/>
        <w:ind w:firstLine="813" w:firstLineChars="339"/>
        <w:jc w:val="both"/>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表6.2-1     危险毒品事故风险度计算表</w:t>
      </w:r>
      <w:r>
        <w:rPr>
          <w:rFonts w:hint="eastAsia" w:ascii="黑体" w:hAnsi="黑体" w:eastAsia="黑体"/>
          <w:color w:val="000000" w:themeColor="text1"/>
          <w:szCs w:val="21"/>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 xml:space="preserve">                </w:t>
      </w:r>
      <w:r>
        <w:rPr>
          <w:rFonts w:hint="eastAsia" w:ascii="黑体" w:hAnsi="黑体" w:eastAsia="黑体"/>
          <w:color w:val="000000" w:themeColor="text1"/>
          <w:szCs w:val="21"/>
          <w14:textFill>
            <w14:solidFill>
              <w14:schemeClr w14:val="tx1"/>
            </w14:solidFill>
          </w14:textFill>
        </w:rPr>
        <w:t>次</w:t>
      </w:r>
      <w:r>
        <w:rPr>
          <w:rFonts w:ascii="黑体" w:hAnsi="黑体" w:eastAsia="黑体"/>
          <w:color w:val="000000" w:themeColor="text1"/>
          <w:szCs w:val="21"/>
          <w14:textFill>
            <w14:solidFill>
              <w14:schemeClr w14:val="tx1"/>
            </w14:solidFill>
          </w14:textFill>
        </w:rPr>
        <w:t>/年</w:t>
      </w:r>
      <w:r>
        <w:rPr>
          <w:rFonts w:hint="eastAsia" w:ascii="黑体" w:hAnsi="黑体" w:eastAsia="黑体"/>
          <w:color w:val="000000" w:themeColor="text1"/>
          <w:szCs w:val="21"/>
          <w14:textFill>
            <w14:solidFill>
              <w14:schemeClr w14:val="tx1"/>
            </w14:solidFill>
          </w14:textFill>
        </w:rPr>
        <w:t xml:space="preserve"> </w:t>
      </w:r>
      <w:r>
        <w:rPr>
          <w:rFonts w:ascii="黑体" w:hAnsi="黑体" w:eastAsia="黑体"/>
          <w:color w:val="000000" w:themeColor="text1"/>
          <w:szCs w:val="21"/>
          <w14:textFill>
            <w14:solidFill>
              <w14:schemeClr w14:val="tx1"/>
            </w14:solidFill>
          </w14:textFill>
        </w:rPr>
        <w:t xml:space="preserve"> </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823"/>
        <w:gridCol w:w="2096"/>
        <w:gridCol w:w="2095"/>
      </w:tblGrid>
      <w:tr w14:paraId="7D6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14" w:type="dxa"/>
            <w:vAlign w:val="center"/>
          </w:tcPr>
          <w:p w14:paraId="4DDDC080">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年份</w:t>
            </w:r>
          </w:p>
        </w:tc>
        <w:tc>
          <w:tcPr>
            <w:tcW w:w="2825" w:type="dxa"/>
            <w:vAlign w:val="center"/>
          </w:tcPr>
          <w:p w14:paraId="4F2EC498">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2026</w:t>
            </w:r>
          </w:p>
        </w:tc>
        <w:tc>
          <w:tcPr>
            <w:tcW w:w="2095" w:type="dxa"/>
            <w:vAlign w:val="center"/>
          </w:tcPr>
          <w:p w14:paraId="5038C9BE">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2032</w:t>
            </w:r>
          </w:p>
        </w:tc>
        <w:tc>
          <w:tcPr>
            <w:tcW w:w="2094" w:type="dxa"/>
            <w:vAlign w:val="center"/>
          </w:tcPr>
          <w:p w14:paraId="2DA065A7">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2040</w:t>
            </w:r>
          </w:p>
        </w:tc>
      </w:tr>
      <w:tr w14:paraId="23E6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514" w:type="dxa"/>
            <w:vAlign w:val="center"/>
          </w:tcPr>
          <w:p w14:paraId="2B16CE47">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P</w:t>
            </w:r>
          </w:p>
        </w:tc>
        <w:tc>
          <w:tcPr>
            <w:tcW w:w="2825" w:type="dxa"/>
            <w:vAlign w:val="center"/>
          </w:tcPr>
          <w:p w14:paraId="24F4404D">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6.56</w:t>
            </w:r>
            <w:r>
              <w:rPr>
                <w:rFonts w:hint="eastAsia"/>
                <w:color w:val="000000" w:themeColor="text1"/>
                <w:sz w:val="21"/>
                <w:szCs w:val="18"/>
                <w14:textFill>
                  <w14:solidFill>
                    <w14:schemeClr w14:val="tx1"/>
                  </w14:solidFill>
                </w14:textFill>
              </w:rPr>
              <w:t>×</w:t>
            </w:r>
            <w:r>
              <w:rPr>
                <w:color w:val="000000" w:themeColor="text1"/>
                <w:sz w:val="21"/>
                <w:szCs w:val="18"/>
                <w14:textFill>
                  <w14:solidFill>
                    <w14:schemeClr w14:val="tx1"/>
                  </w14:solidFill>
                </w14:textFill>
              </w:rPr>
              <w:t>10</w:t>
            </w:r>
            <w:r>
              <w:rPr>
                <w:color w:val="000000" w:themeColor="text1"/>
                <w:sz w:val="21"/>
                <w:szCs w:val="18"/>
                <w:vertAlign w:val="superscript"/>
                <w14:textFill>
                  <w14:solidFill>
                    <w14:schemeClr w14:val="tx1"/>
                  </w14:solidFill>
                </w14:textFill>
              </w:rPr>
              <w:t>-6</w:t>
            </w:r>
          </w:p>
        </w:tc>
        <w:tc>
          <w:tcPr>
            <w:tcW w:w="2095" w:type="dxa"/>
            <w:vAlign w:val="center"/>
          </w:tcPr>
          <w:p w14:paraId="4953A0E4">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9</w:t>
            </w:r>
            <w:r>
              <w:rPr>
                <w:color w:val="000000" w:themeColor="text1"/>
                <w:sz w:val="21"/>
                <w:szCs w:val="18"/>
                <w14:textFill>
                  <w14:solidFill>
                    <w14:schemeClr w14:val="tx1"/>
                  </w14:solidFill>
                </w14:textFill>
              </w:rPr>
              <w:t>.56</w:t>
            </w:r>
            <w:r>
              <w:rPr>
                <w:rFonts w:hint="eastAsia"/>
                <w:color w:val="000000" w:themeColor="text1"/>
                <w:sz w:val="21"/>
                <w:szCs w:val="18"/>
                <w14:textFill>
                  <w14:solidFill>
                    <w14:schemeClr w14:val="tx1"/>
                  </w14:solidFill>
                </w14:textFill>
              </w:rPr>
              <w:t>×</w:t>
            </w:r>
            <w:r>
              <w:rPr>
                <w:color w:val="000000" w:themeColor="text1"/>
                <w:sz w:val="21"/>
                <w:szCs w:val="18"/>
                <w14:textFill>
                  <w14:solidFill>
                    <w14:schemeClr w14:val="tx1"/>
                  </w14:solidFill>
                </w14:textFill>
              </w:rPr>
              <w:t>10</w:t>
            </w:r>
            <w:r>
              <w:rPr>
                <w:color w:val="000000" w:themeColor="text1"/>
                <w:sz w:val="21"/>
                <w:szCs w:val="18"/>
                <w:vertAlign w:val="superscript"/>
                <w14:textFill>
                  <w14:solidFill>
                    <w14:schemeClr w14:val="tx1"/>
                  </w14:solidFill>
                </w14:textFill>
              </w:rPr>
              <w:t>-6</w:t>
            </w:r>
          </w:p>
        </w:tc>
        <w:tc>
          <w:tcPr>
            <w:tcW w:w="2094" w:type="dxa"/>
            <w:vAlign w:val="center"/>
          </w:tcPr>
          <w:p w14:paraId="28501948">
            <w:pPr>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1</w:t>
            </w:r>
            <w:r>
              <w:rPr>
                <w:color w:val="000000" w:themeColor="text1"/>
                <w:sz w:val="21"/>
                <w:szCs w:val="18"/>
                <w14:textFill>
                  <w14:solidFill>
                    <w14:schemeClr w14:val="tx1"/>
                  </w14:solidFill>
                </w14:textFill>
              </w:rPr>
              <w:t>.44</w:t>
            </w:r>
            <w:r>
              <w:rPr>
                <w:rFonts w:hint="eastAsia"/>
                <w:color w:val="000000" w:themeColor="text1"/>
                <w:sz w:val="21"/>
                <w:szCs w:val="18"/>
                <w14:textFill>
                  <w14:solidFill>
                    <w14:schemeClr w14:val="tx1"/>
                  </w14:solidFill>
                </w14:textFill>
              </w:rPr>
              <w:t>×</w:t>
            </w:r>
            <w:r>
              <w:rPr>
                <w:color w:val="000000" w:themeColor="text1"/>
                <w:sz w:val="21"/>
                <w:szCs w:val="18"/>
                <w14:textFill>
                  <w14:solidFill>
                    <w14:schemeClr w14:val="tx1"/>
                  </w14:solidFill>
                </w14:textFill>
              </w:rPr>
              <w:t>10</w:t>
            </w:r>
            <w:r>
              <w:rPr>
                <w:color w:val="000000" w:themeColor="text1"/>
                <w:sz w:val="21"/>
                <w:szCs w:val="18"/>
                <w:vertAlign w:val="superscript"/>
                <w14:textFill>
                  <w14:solidFill>
                    <w14:schemeClr w14:val="tx1"/>
                  </w14:solidFill>
                </w14:textFill>
              </w:rPr>
              <w:t>-5</w:t>
            </w:r>
          </w:p>
        </w:tc>
      </w:tr>
    </w:tbl>
    <w:p w14:paraId="6099B6C1">
      <w:pPr>
        <w:spacing w:line="560" w:lineRule="exact"/>
        <w:ind w:firstLine="480"/>
        <w:rPr>
          <w:color w:val="000000" w:themeColor="text1"/>
          <w14:textFill>
            <w14:solidFill>
              <w14:schemeClr w14:val="tx1"/>
            </w14:solidFill>
          </w14:textFill>
        </w:rPr>
      </w:pPr>
      <w:r>
        <w:rPr>
          <w:rFonts w:ascii="Times New Roman" w:hAnsi="Times New Roman" w:cs="Times New Roman"/>
          <w:b/>
          <w:bCs/>
          <w:color w:val="000000" w:themeColor="text1"/>
          <w:sz w:val="30"/>
          <w:szCs w:val="30"/>
          <w14:textFill>
            <w14:solidFill>
              <w14:schemeClr w14:val="tx1"/>
            </w14:solidFill>
          </w14:textFill>
        </w:rPr>
        <w:t>6.2.3</w:t>
      </w:r>
      <w:r>
        <w:rPr>
          <w:rFonts w:hint="eastAsia" w:ascii="Times New Roman" w:hAnsi="Times New Roman" w:cs="Times New Roman"/>
          <w:b/>
          <w:bCs/>
          <w:color w:val="000000" w:themeColor="text1"/>
          <w:sz w:val="30"/>
          <w:szCs w:val="30"/>
          <w14:textFill>
            <w14:solidFill>
              <w14:schemeClr w14:val="tx1"/>
            </w14:solidFill>
          </w14:textFill>
        </w:rPr>
        <w:t>环境风险事故影响分析</w:t>
      </w:r>
    </w:p>
    <w:p w14:paraId="0404EC20">
      <w:pPr>
        <w:spacing w:line="360" w:lineRule="auto"/>
        <w:ind w:firstLine="482"/>
        <w:jc w:val="both"/>
        <w:rPr>
          <w:color w:val="000000" w:themeColor="text1"/>
          <w14:textFill>
            <w14:solidFill>
              <w14:schemeClr w14:val="tx1"/>
            </w14:solidFill>
          </w14:textFill>
        </w:rPr>
      </w:pPr>
      <w:r>
        <w:rPr>
          <w:color w:val="000000" w:themeColor="text1"/>
          <w14:textFill>
            <w14:solidFill>
              <w14:schemeClr w14:val="tx1"/>
            </w14:solidFill>
          </w14:textFill>
        </w:rPr>
        <w:t>由</w:t>
      </w:r>
      <w:r>
        <w:rPr>
          <w:rFonts w:hint="eastAsia"/>
          <w:color w:val="000000" w:themeColor="text1"/>
          <w14:textFill>
            <w14:solidFill>
              <w14:schemeClr w14:val="tx1"/>
            </w14:solidFill>
          </w14:textFill>
        </w:rPr>
        <w:t>上述计算结果可知本项目在经过盖孜河水域路段发生有毒有害危险品运输事故的可能性很小，仅</w:t>
      </w:r>
      <w:r>
        <w:rPr>
          <w:color w:val="000000" w:themeColor="text1"/>
          <w14:textFill>
            <w14:solidFill>
              <w14:schemeClr w14:val="tx1"/>
            </w14:solidFill>
          </w14:textFill>
        </w:rPr>
        <w:t>为6.56×10</w:t>
      </w:r>
      <w:r>
        <w:rPr>
          <w:color w:val="000000" w:themeColor="text1"/>
          <w:vertAlign w:val="superscript"/>
          <w14:textFill>
            <w14:solidFill>
              <w14:schemeClr w14:val="tx1"/>
            </w14:solidFill>
          </w14:textFill>
        </w:rPr>
        <w:t>-6</w:t>
      </w:r>
      <w:r>
        <w:rPr>
          <w:color w:val="000000" w:themeColor="text1"/>
          <w14:textFill>
            <w14:solidFill>
              <w14:schemeClr w14:val="tx1"/>
            </w14:solidFill>
          </w14:textFill>
        </w:rPr>
        <w:t>-1.44×10</w:t>
      </w:r>
      <w:r>
        <w:rPr>
          <w:color w:val="000000" w:themeColor="text1"/>
          <w:vertAlign w:val="superscript"/>
          <w14:textFill>
            <w14:solidFill>
              <w14:schemeClr w14:val="tx1"/>
            </w14:solidFill>
          </w14:textFill>
        </w:rPr>
        <w:t>-5</w:t>
      </w:r>
      <w:r>
        <w:rPr>
          <w:color w:val="000000" w:themeColor="text1"/>
          <w14:textFill>
            <w14:solidFill>
              <w14:schemeClr w14:val="tx1"/>
            </w14:solidFill>
          </w14:textFill>
        </w:rPr>
        <w:t>次/年。</w:t>
      </w:r>
      <w:r>
        <w:rPr>
          <w:rFonts w:hint="eastAsia"/>
          <w:color w:val="000000" w:themeColor="text1"/>
          <w14:textFill>
            <w14:solidFill>
              <w14:schemeClr w14:val="tx1"/>
            </w14:solidFill>
          </w14:textFill>
        </w:rPr>
        <w:t>一旦在跨河路段发生危险品运输泄漏事故，对水体、土壤会造成污染，对下游河道会构成安全威胁，因此必须从工程、管理等多方面落实预防手段来降低该类事故的发生率；同时建议公路应急预案中应当包括并加强“危险品事故风险专项预案”，提出针对性的应急措施，把事故发生后对环境的危害降低到最低程度，做到预防和救援并重。</w:t>
      </w:r>
    </w:p>
    <w:p w14:paraId="4BE32B37">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519" w:name="_Toc187675432"/>
      <w:r>
        <w:rPr>
          <w:rFonts w:ascii="Times New Roman" w:hAnsi="Times New Roman" w:cs="Times New Roman"/>
          <w:color w:val="000000" w:themeColor="text1"/>
          <w14:textFill>
            <w14:solidFill>
              <w14:schemeClr w14:val="tx1"/>
            </w14:solidFill>
          </w14:textFill>
        </w:rPr>
        <w:t>6.3</w:t>
      </w:r>
      <w:r>
        <w:rPr>
          <w:rFonts w:hint="eastAsia" w:ascii="Times New Roman" w:hAnsi="Times New Roman" w:cs="Times New Roman"/>
          <w:color w:val="000000" w:themeColor="text1"/>
          <w14:textFill>
            <w14:solidFill>
              <w14:schemeClr w14:val="tx1"/>
            </w14:solidFill>
          </w14:textFill>
        </w:rPr>
        <w:t>环境风险防范措施</w:t>
      </w:r>
      <w:bookmarkEnd w:id="519"/>
    </w:p>
    <w:p w14:paraId="64FDC188">
      <w:pPr>
        <w:topLinePunct/>
        <w:autoSpaceDN w:val="0"/>
        <w:spacing w:line="360" w:lineRule="auto"/>
        <w:ind w:firstLine="482"/>
        <w:jc w:val="both"/>
        <w:rPr>
          <w:bCs/>
          <w:color w:val="000000" w:themeColor="text1"/>
          <w14:textFill>
            <w14:solidFill>
              <w14:schemeClr w14:val="tx1"/>
            </w14:solidFill>
          </w14:textFill>
        </w:rPr>
      </w:pPr>
      <w:r>
        <w:rPr>
          <w:bCs/>
          <w:color w:val="000000" w:themeColor="text1"/>
          <w14:textFill>
            <w14:solidFill>
              <w14:schemeClr w14:val="tx1"/>
            </w14:solidFill>
          </w14:textFill>
        </w:rPr>
        <w:t>尽管在经过河流路段发生翻车事故造成水体毒性污染的风险度很小，然而一旦发生，对河流影响是严重的。为防止事故发生，需要采取以下防范措施：</w:t>
      </w:r>
    </w:p>
    <w:p w14:paraId="75F67577">
      <w:pPr>
        <w:widowControl w:val="0"/>
        <w:topLinePunct/>
        <w:autoSpaceDN w:val="0"/>
        <w:adjustRightInd w:val="0"/>
        <w:spacing w:line="360" w:lineRule="auto"/>
        <w:ind w:firstLine="482"/>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在桥梁处设置桥面径流收集系统，本次公路</w:t>
      </w:r>
      <w:r>
        <w:rPr>
          <w:rFonts w:hint="eastAsia"/>
          <w:bCs/>
          <w:color w:val="000000" w:themeColor="text1"/>
          <w14:textFill>
            <w14:solidFill>
              <w14:schemeClr w14:val="tx1"/>
            </w14:solidFill>
          </w14:textFill>
        </w:rPr>
        <w:t>为</w:t>
      </w:r>
      <w:r>
        <w:rPr>
          <w:bCs/>
          <w:color w:val="000000" w:themeColor="text1"/>
          <w14:textFill>
            <w14:solidFill>
              <w14:schemeClr w14:val="tx1"/>
            </w14:solidFill>
          </w14:textFill>
        </w:rPr>
        <w:t>涉及</w:t>
      </w:r>
      <w:r>
        <w:rPr>
          <w:rFonts w:hint="eastAsia"/>
          <w:bCs/>
          <w:color w:val="000000" w:themeColor="text1"/>
          <w14:textFill>
            <w14:solidFill>
              <w14:schemeClr w14:val="tx1"/>
            </w14:solidFill>
          </w14:textFill>
        </w:rPr>
        <w:t>盖孜河的特大桥一座（中桥为跨越干渠，不涉及河流及水体）</w:t>
      </w:r>
      <w:r>
        <w:rPr>
          <w:bCs/>
          <w:color w:val="000000" w:themeColor="text1"/>
          <w14:textFill>
            <w14:solidFill>
              <w14:schemeClr w14:val="tx1"/>
            </w14:solidFill>
          </w14:textFill>
        </w:rPr>
        <w:t>，将桥面径流集中收集至桥两端沉淀池（应急事故池）处理后排放，避免桥面发生危险品事故时直接排入河流等地表水体。</w:t>
      </w:r>
      <w:r>
        <w:rPr>
          <w:rFonts w:hint="eastAsia"/>
          <w:bCs/>
          <w:color w:val="000000" w:themeColor="text1"/>
          <w14:textFill>
            <w14:solidFill>
              <w14:schemeClr w14:val="tx1"/>
            </w14:solidFill>
          </w14:textFill>
        </w:rPr>
        <w:t>事故池</w:t>
      </w:r>
      <w:r>
        <w:rPr>
          <w:bCs/>
          <w:color w:val="000000" w:themeColor="text1"/>
          <w14:textFill>
            <w14:solidFill>
              <w14:schemeClr w14:val="tx1"/>
            </w14:solidFill>
          </w14:textFill>
        </w:rPr>
        <w:t>应设置于</w:t>
      </w:r>
      <w:r>
        <w:rPr>
          <w:rFonts w:hint="eastAsia"/>
          <w:bCs/>
          <w:color w:val="000000" w:themeColor="text1"/>
          <w14:textFill>
            <w14:solidFill>
              <w14:schemeClr w14:val="tx1"/>
            </w14:solidFill>
          </w14:textFill>
        </w:rPr>
        <w:t>大桥</w:t>
      </w:r>
      <w:r>
        <w:rPr>
          <w:bCs/>
          <w:color w:val="000000" w:themeColor="text1"/>
          <w14:textFill>
            <w14:solidFill>
              <w14:schemeClr w14:val="tx1"/>
            </w14:solidFill>
          </w14:textFill>
        </w:rPr>
        <w:t>两端，布设2座，考虑到事故应急池容积至少应容纳下常规危化品槽罐车运输货物的数量30m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，事故池容积</w:t>
      </w:r>
      <w:r>
        <w:rPr>
          <w:rFonts w:hint="eastAsia"/>
          <w:bCs/>
          <w:color w:val="000000" w:themeColor="text1"/>
          <w14:textFill>
            <w14:solidFill>
              <w14:schemeClr w14:val="tx1"/>
            </w14:solidFill>
          </w14:textFill>
        </w:rPr>
        <w:t>为</w:t>
      </w:r>
      <w:r>
        <w:rPr>
          <w:bCs/>
          <w:color w:val="000000" w:themeColor="text1"/>
          <w14:textFill>
            <w14:solidFill>
              <w14:schemeClr w14:val="tx1"/>
            </w14:solidFill>
          </w14:textFill>
        </w:rPr>
        <w:t>50m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w:t>
      </w:r>
      <w:r>
        <w:rPr>
          <w:rFonts w:hint="eastAsia"/>
          <w:color w:val="000000" w:themeColor="text1"/>
          <w14:textFill>
            <w14:solidFill>
              <w14:schemeClr w14:val="tx1"/>
            </w14:solidFill>
          </w14:textFill>
        </w:rPr>
        <w:t>在事故池底部铺盖20cm的清砂</w:t>
      </w:r>
      <w:r>
        <w:rPr>
          <w:bCs/>
          <w:color w:val="000000" w:themeColor="text1"/>
          <w14:textFill>
            <w14:solidFill>
              <w14:schemeClr w14:val="tx1"/>
            </w14:solidFill>
          </w14:textFill>
        </w:rPr>
        <w:t>。</w:t>
      </w:r>
    </w:p>
    <w:p w14:paraId="0B054820">
      <w:pPr>
        <w:topLinePunct/>
        <w:autoSpaceDN w:val="0"/>
        <w:spacing w:line="360" w:lineRule="auto"/>
        <w:ind w:firstLine="480"/>
        <w:jc w:val="both"/>
        <w:rPr>
          <w:bCs/>
          <w:color w:val="000000" w:themeColor="text1"/>
          <w14:textFill>
            <w14:solidFill>
              <w14:schemeClr w14:val="tx1"/>
            </w14:solidFill>
          </w14:textFill>
        </w:rPr>
      </w:pPr>
      <w:r>
        <w:rPr>
          <w:bCs/>
          <w:color w:val="000000" w:themeColor="text1"/>
          <w14:textFill>
            <w14:solidFill>
              <w14:schemeClr w14:val="tx1"/>
            </w14:solidFill>
          </w14:textFill>
        </w:rPr>
        <w:t>平常状况下，桥面雨水经沉淀处理后直接排放；事故状态下，由有资质的单位负责收集后处理，不得直接排入河流或渠道。所设置的事故应急池四周应釆用铁丝网进行防护，采用铁板或钢筋混凝土板封顶，应急池应满足容纳对应路段危险化学品运输车辆事故情况下的所有桥面径流的需求，且必须兼有沉淀、隔油等作用。事故池容积计算参照《公路排水设计规范》（JTG/TD33-2012），按照5年一遇暴雨强度，降雨历时30分钟计算，计算公式如下：</w:t>
      </w:r>
    </w:p>
    <w:p w14:paraId="64ACAAB2">
      <w:pPr>
        <w:topLinePunct/>
        <w:autoSpaceDN w:val="0"/>
        <w:spacing w:line="360" w:lineRule="auto"/>
        <w:ind w:firstLine="480"/>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 Q=ψ×q×F×t×6×10</w:t>
      </w:r>
      <w:r>
        <w:rPr>
          <w:bCs/>
          <w:color w:val="000000" w:themeColor="text1"/>
          <w:vertAlign w:val="superscript"/>
          <w14:textFill>
            <w14:solidFill>
              <w14:schemeClr w14:val="tx1"/>
            </w14:solidFill>
          </w14:textFill>
        </w:rPr>
        <w:t>-6</w:t>
      </w:r>
      <w:r>
        <w:rPr>
          <w:bCs/>
          <w:color w:val="000000" w:themeColor="text1"/>
          <w14:textFill>
            <w14:solidFill>
              <w14:schemeClr w14:val="tx1"/>
            </w14:solidFill>
          </w14:textFill>
        </w:rPr>
        <w:t xml:space="preserve"> </w:t>
      </w:r>
    </w:p>
    <w:p w14:paraId="4F1D5BE9">
      <w:pPr>
        <w:topLinePunct/>
        <w:autoSpaceDN w:val="0"/>
        <w:spacing w:line="360" w:lineRule="auto"/>
        <w:ind w:firstLine="480"/>
        <w:jc w:val="both"/>
        <w:rPr>
          <w:bCs/>
          <w:color w:val="000000" w:themeColor="text1"/>
          <w14:textFill>
            <w14:solidFill>
              <w14:schemeClr w14:val="tx1"/>
            </w14:solidFill>
          </w14:textFill>
        </w:rPr>
      </w:pPr>
      <w:r>
        <w:rPr>
          <w:bCs/>
          <w:color w:val="000000" w:themeColor="text1"/>
          <w14:textFill>
            <w14:solidFill>
              <w14:schemeClr w14:val="tx1"/>
            </w14:solidFill>
          </w14:textFill>
        </w:rPr>
        <w:t>式中：Q－路（桥）面径流量（m</w:t>
      </w:r>
      <w:r>
        <w:rPr>
          <w:bCs/>
          <w:color w:val="000000" w:themeColor="text1"/>
          <w:vertAlign w:val="superscript"/>
          <w14:textFill>
            <w14:solidFill>
              <w14:schemeClr w14:val="tx1"/>
            </w14:solidFill>
          </w14:textFill>
        </w:rPr>
        <w:t xml:space="preserve">3 </w:t>
      </w:r>
      <w:r>
        <w:rPr>
          <w:bCs/>
          <w:color w:val="000000" w:themeColor="text1"/>
          <w14:textFill>
            <w14:solidFill>
              <w14:schemeClr w14:val="tx1"/>
            </w14:solidFill>
          </w14:textFill>
        </w:rPr>
        <w:t xml:space="preserve">）； </w:t>
      </w:r>
    </w:p>
    <w:p w14:paraId="345BCD0A">
      <w:pPr>
        <w:topLinePunct/>
        <w:autoSpaceDN w:val="0"/>
        <w:spacing w:line="360" w:lineRule="auto"/>
        <w:ind w:firstLine="1200" w:firstLineChars="500"/>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ψ—地面径流系数，沥青路面取0.95； </w:t>
      </w:r>
    </w:p>
    <w:p w14:paraId="40D5D8D7">
      <w:pPr>
        <w:topLinePunct/>
        <w:autoSpaceDN w:val="0"/>
        <w:spacing w:line="360" w:lineRule="auto"/>
        <w:ind w:firstLine="1200" w:firstLineChars="500"/>
        <w:jc w:val="both"/>
        <w:rPr>
          <w:bCs/>
          <w:color w:val="000000" w:themeColor="text1"/>
          <w14:textFill>
            <w14:solidFill>
              <w14:schemeClr w14:val="tx1"/>
            </w14:solidFill>
          </w14:textFill>
        </w:rPr>
      </w:pPr>
      <w:r>
        <w:rPr>
          <w:bCs/>
          <w:color w:val="000000" w:themeColor="text1"/>
          <w14:textFill>
            <w14:solidFill>
              <w14:schemeClr w14:val="tx1"/>
            </w14:solidFill>
          </w14:textFill>
        </w:rPr>
        <w:t>q－暴雨强度（L/hm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 xml:space="preserve">•s），参照新疆暴雨强度公式q=（1135P0.583）/（t+4）乘以1.2，P为重现期（取5年），t为降雨历时（取30min）； </w:t>
      </w:r>
    </w:p>
    <w:p w14:paraId="66EC92A2">
      <w:pPr>
        <w:topLinePunct/>
        <w:autoSpaceDN w:val="0"/>
        <w:spacing w:line="360" w:lineRule="auto"/>
        <w:ind w:firstLine="1200" w:firstLineChars="500"/>
        <w:jc w:val="both"/>
        <w:rPr>
          <w:bCs/>
          <w:color w:val="000000" w:themeColor="text1"/>
          <w14:textFill>
            <w14:solidFill>
              <w14:schemeClr w14:val="tx1"/>
            </w14:solidFill>
          </w14:textFill>
        </w:rPr>
      </w:pPr>
      <w:r>
        <w:rPr>
          <w:bCs/>
          <w:color w:val="000000" w:themeColor="text1"/>
          <w14:textFill>
            <w14:solidFill>
              <w14:schemeClr w14:val="tx1"/>
            </w14:solidFill>
          </w14:textFill>
        </w:rPr>
        <w:t>F－桥面面积（m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本项目跨越盖孜河特大桥（长</w:t>
      </w:r>
      <w:r>
        <w:rPr>
          <w:bCs/>
          <w:color w:val="000000" w:themeColor="text1"/>
          <w14:textFill>
            <w14:solidFill>
              <w14:schemeClr w14:val="tx1"/>
            </w14:solidFill>
          </w14:textFill>
        </w:rPr>
        <w:t>2857.08m，宽12m）为34284m</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 xml:space="preserve">； </w:t>
      </w:r>
    </w:p>
    <w:p w14:paraId="1CC24B96">
      <w:pPr>
        <w:topLinePunct/>
        <w:autoSpaceDN w:val="0"/>
        <w:spacing w:line="360" w:lineRule="auto"/>
        <w:ind w:firstLine="1200" w:firstLineChars="500"/>
        <w:jc w:val="both"/>
        <w:rPr>
          <w:bCs/>
          <w:color w:val="000000" w:themeColor="text1"/>
          <w14:textFill>
            <w14:solidFill>
              <w14:schemeClr w14:val="tx1"/>
            </w14:solidFill>
          </w14:textFill>
        </w:rPr>
      </w:pPr>
      <w:r>
        <w:rPr>
          <w:bCs/>
          <w:color w:val="000000" w:themeColor="text1"/>
          <w14:textFill>
            <w14:solidFill>
              <w14:schemeClr w14:val="tx1"/>
            </w14:solidFill>
          </w14:textFill>
        </w:rPr>
        <w:t xml:space="preserve">t－降雨历时（30min）。 </w:t>
      </w:r>
    </w:p>
    <w:p w14:paraId="64DA8132">
      <w:pPr>
        <w:topLinePunct/>
        <w:autoSpaceDN w:val="0"/>
        <w:spacing w:line="360" w:lineRule="auto"/>
        <w:ind w:firstLine="480"/>
        <w:jc w:val="both"/>
        <w:rPr>
          <w:bCs/>
          <w:color w:val="000000" w:themeColor="text1"/>
          <w14:textFill>
            <w14:solidFill>
              <w14:schemeClr w14:val="tx1"/>
            </w14:solidFill>
          </w14:textFill>
        </w:rPr>
      </w:pPr>
      <w:r>
        <w:rPr>
          <w:bCs/>
          <w:color w:val="000000" w:themeColor="text1"/>
          <w14:textFill>
            <w14:solidFill>
              <w14:schemeClr w14:val="tx1"/>
            </w14:solidFill>
          </w14:textFill>
        </w:rPr>
        <w:t>根据上述公式，计算防渗应急事故池容积，同时考虑事故池最小不能小于一个罐车体积30m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，则本项目</w:t>
      </w:r>
      <w:r>
        <w:rPr>
          <w:rFonts w:hint="eastAsia"/>
          <w:bCs/>
          <w:color w:val="000000" w:themeColor="text1"/>
          <w14:textFill>
            <w14:solidFill>
              <w14:schemeClr w14:val="tx1"/>
            </w14:solidFill>
          </w14:textFill>
        </w:rPr>
        <w:t>大</w:t>
      </w:r>
      <w:r>
        <w:rPr>
          <w:bCs/>
          <w:color w:val="000000" w:themeColor="text1"/>
          <w14:textFill>
            <w14:solidFill>
              <w14:schemeClr w14:val="tx1"/>
            </w14:solidFill>
          </w14:textFill>
        </w:rPr>
        <w:t>桥应设容积50m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事故池2座。</w:t>
      </w:r>
    </w:p>
    <w:p w14:paraId="2D9B54D9">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收集事故池兼有沉淀、隔油和蓄毒作用，防止事故废水流入下游水体。收集的危化品事故废水委托有资质的危险废物处理单位抽运并安全处置，不得排入河道。</w:t>
      </w:r>
    </w:p>
    <w:p w14:paraId="3B12E212">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r>
        <w:rPr>
          <w:bCs/>
          <w:color w:val="000000" w:themeColor="text1"/>
          <w14:textFill>
            <w14:solidFill>
              <w14:schemeClr w14:val="tx1"/>
            </w14:solidFill>
          </w14:textFill>
        </w:rPr>
        <w:t xml:space="preserve">工程建成运营后，将移交市政有关管理，同时公安交警部门及交通管理部门将负责过往车辆安全通行检查工作、路况维护和交通事故的处置。   </w:t>
      </w:r>
    </w:p>
    <w:p w14:paraId="5E77B330">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 xml:space="preserve">根据《危险化学品安全管理条例》（国务院令第591号）、《交通运输部关于修改〈道路危险货物运输管理规定〉的决定》修正）（交通运输部令2016年第36号）、《汽车危险货物运输规则》（交通运输部令2013年第2号）等有关规定，危险品运输单位必须取得《道路危险货物非营业运输证》，方可进行运输作业，有关人员必须取得《道路危险货物运输操作证》和有关专业培训考核后，方可上岗作业，管理部门应检查危险品运输车辆和驾驶员是否符合条件要求。   </w:t>
      </w:r>
    </w:p>
    <w:p w14:paraId="312232CC">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r>
        <w:rPr>
          <w:bCs/>
          <w:color w:val="000000" w:themeColor="text1"/>
          <w14:textFill>
            <w14:solidFill>
              <w14:schemeClr w14:val="tx1"/>
            </w14:solidFill>
          </w14:textFill>
        </w:rPr>
        <w:t>危险品运输车辆必须符合国家标准规定，悬挂明显的危险货物运输标志。严禁用三轮机动车、人力三轮车、自行车和摩托车等不符合规定、无安全措施的车辆来运输危险品。危险化学品运输车辆随车携带包括危险化学品名称、数量、危害性、运输始发地、目的地、运输路线、驾驶员姓名、押运员姓名及运输、经营、单位名称等内容的资料，必要的应急处理器材、防护用品和应急措施。</w:t>
      </w:r>
    </w:p>
    <w:p w14:paraId="08038757">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r>
        <w:rPr>
          <w:bCs/>
          <w:color w:val="000000" w:themeColor="text1"/>
          <w14:textFill>
            <w14:solidFill>
              <w14:schemeClr w14:val="tx1"/>
            </w14:solidFill>
          </w14:textFill>
        </w:rPr>
        <w:t xml:space="preserve">交通部门应对运输危险品车辆实行申报管理制度。危险品运输车辆在进入公路前，应向公路管理机构领取申报表，并接受公安或交通管理部门的检查，提交申报表。申报表主要报告项目有危险货物运输执照号码、货物品种、等级和编号、收发货人名称、装卸地点、货物特性等。危险品运输车辆一般应安排在交通量较少的时段通行，在天气不好的条件下应禁止其上路， 从而加强对运输危险品的车辆进行有效管理。车辆上必须设置危险品标志牌及限制车速行驶。同时加强有毒、有害化学品车辆运输的管理，化学品车辆必须标示醒目的标记，并对运行路线和时间加以限制，以避开交通高峰时间；运输剧毒化学品的车辆除携带上述材料外，还须携带目的地公安机关核发的剧毒化学品公路运输通行证，并按目的地公安机关指定的时间、路线行驶。   </w:t>
      </w:r>
    </w:p>
    <w:p w14:paraId="0A6BD62C">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实行危险品运输车辆的检査制度，对申报运输危险品的车辆进行“准运证”“驾驶员证”“押运员证”和危险品运输行车路单(以下简称“三证一单”)检査， “三证一单”不全的车辆将不允许驶上公路。除证件检査外，必要时应对运输危险品的车辆进行安全检查，如《压力容器使用证》的有效性及检验合格证等。对载有</w:t>
      </w:r>
      <w:r>
        <w:rPr>
          <w:rFonts w:hint="eastAsia"/>
          <w:bCs/>
          <w:color w:val="000000" w:themeColor="text1"/>
          <w14:textFill>
            <w14:solidFill>
              <w14:schemeClr w14:val="tx1"/>
            </w14:solidFill>
          </w14:textFill>
        </w:rPr>
        <w:t>危险品</w:t>
      </w:r>
      <w:r>
        <w:rPr>
          <w:bCs/>
          <w:color w:val="000000" w:themeColor="text1"/>
          <w14:textFill>
            <w14:solidFill>
              <w14:schemeClr w14:val="tx1"/>
            </w14:solidFill>
          </w14:textFill>
        </w:rPr>
        <w:t xml:space="preserve">，但未办理有关证件或车辆未按规定加装危险品运输标志的车辆均不允许进入公路行驶 对申报运输危险品的车辆进行“准运证”“驾驶员证”“押运员证”和“危险品运输行车路单”（以下简称“三证一单”）检查，“三证一单”不全的车辆将不允许驶入公路。除证件检查外，必要时应对运输危险品的车辆进行安全检查。对有安全隐患的车辆在未排除隐患前不许进入公路。 </w:t>
      </w:r>
    </w:p>
    <w:p w14:paraId="660406FC">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w:t>
      </w:r>
      <w:r>
        <w:rPr>
          <w:bCs/>
          <w:color w:val="000000" w:themeColor="text1"/>
          <w14:textFill>
            <w14:solidFill>
              <w14:schemeClr w14:val="tx1"/>
            </w14:solidFill>
          </w14:textFill>
        </w:rPr>
        <w:t xml:space="preserve">车辆运输危险品时，必须严格遵守交通、消防、治安等法规。车辆应配备应急洗消药剂。车辆运行应控制车速，保持与前车的距离，严禁违章超车，确保行车安全。对在夏季高温期间限运的危险货物，应按当地公安部门规定进行运输。危险品运输途中发生车辆故障或遇到无法正常运输的情况需要停车住宿时，应当立即向车辆停车地110报警服务台报告，并采取安全防范措施。   </w:t>
      </w:r>
    </w:p>
    <w:p w14:paraId="438CE9CF">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（8）</w:t>
      </w:r>
      <w:r>
        <w:rPr>
          <w:bCs/>
          <w:color w:val="000000" w:themeColor="text1"/>
          <w14:textFill>
            <w14:solidFill>
              <w14:schemeClr w14:val="tx1"/>
            </w14:solidFill>
          </w14:textFill>
        </w:rPr>
        <w:t>危险品运输车辆行驶应加强监控， 严禁运输危险化学品车辆超速或低速行驶，大风、雨、雾等不良天气禁止危险品运输车辆上路行驶。</w:t>
      </w:r>
    </w:p>
    <w:p w14:paraId="0FF27222">
      <w:pPr>
        <w:topLinePunct/>
        <w:autoSpaceDN w:val="0"/>
        <w:spacing w:line="360" w:lineRule="auto"/>
        <w:ind w:firstLine="480"/>
        <w:jc w:val="both"/>
        <w:rPr>
          <w:bCs/>
          <w:color w:val="000000" w:themeColor="text1"/>
          <w14:textFill>
            <w14:solidFill>
              <w14:schemeClr w14:val="tx1"/>
            </w14:solidFill>
          </w14:textFill>
        </w:rPr>
      </w:pPr>
      <w:r>
        <w:rPr>
          <w:rFonts w:hint="eastAsia"/>
          <w:bCs/>
          <w:color w:val="000000" w:themeColor="text1"/>
          <w14:textFill>
            <w14:solidFill>
              <w14:schemeClr w14:val="tx1"/>
            </w14:solidFill>
          </w14:textFill>
        </w:rPr>
        <w:t>（9）</w:t>
      </w:r>
      <w:r>
        <w:rPr>
          <w:bCs/>
          <w:color w:val="000000" w:themeColor="text1"/>
          <w14:textFill>
            <w14:solidFill>
              <w14:schemeClr w14:val="tx1"/>
            </w14:solidFill>
          </w14:textFill>
        </w:rPr>
        <w:t>根据所装危险品的性质，采取相应的遮阳、控温、防爆、防火、防震、防水、防冻、防粉尘飞扬、防</w:t>
      </w:r>
      <w:r>
        <w:rPr>
          <w:rFonts w:hint="eastAsia"/>
          <w:bCs/>
          <w:color w:val="000000" w:themeColor="text1"/>
          <w14:textFill>
            <w14:solidFill>
              <w14:schemeClr w14:val="tx1"/>
            </w14:solidFill>
          </w14:textFill>
        </w:rPr>
        <w:t>撒</w:t>
      </w:r>
      <w:r>
        <w:rPr>
          <w:bCs/>
          <w:color w:val="000000" w:themeColor="text1"/>
          <w14:textFill>
            <w14:solidFill>
              <w14:schemeClr w14:val="tx1"/>
            </w14:solidFill>
          </w14:textFill>
        </w:rPr>
        <w:t>漏等措施。</w:t>
      </w:r>
    </w:p>
    <w:p w14:paraId="63114436">
      <w:pPr>
        <w:topLinePunct/>
        <w:autoSpaceDN w:val="0"/>
        <w:spacing w:line="360" w:lineRule="auto"/>
        <w:ind w:firstLine="480"/>
        <w:jc w:val="both"/>
        <w:rPr>
          <w:rFonts w:ascii="Times New Roman" w:hAnsi="Times New Roman" w:cs="Times New Roman"/>
          <w:snapToGrid w:val="0"/>
          <w:color w:val="000000" w:themeColor="text1"/>
          <w14:textFill>
            <w14:solidFill>
              <w14:schemeClr w14:val="tx1"/>
            </w14:solidFill>
          </w14:textFill>
        </w:rPr>
      </w:pPr>
      <w:r>
        <w:rPr>
          <w:rFonts w:hint="eastAsia"/>
          <w:bCs/>
          <w:color w:val="000000" w:themeColor="text1"/>
          <w14:textFill>
            <w14:solidFill>
              <w14:schemeClr w14:val="tx1"/>
            </w14:solidFill>
          </w14:textFill>
        </w:rPr>
        <w:t>（1</w:t>
      </w:r>
      <w:r>
        <w:rPr>
          <w:bCs/>
          <w:color w:val="000000" w:themeColor="text1"/>
          <w14:textFill>
            <w14:solidFill>
              <w14:schemeClr w14:val="tx1"/>
            </w14:solidFill>
          </w14:textFill>
        </w:rPr>
        <w:t>0</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同时加强道路运营管理，做好日常检修和维护工作，确保道路路况良好状态和</w:t>
      </w:r>
      <w:r>
        <w:rPr>
          <w:rFonts w:hint="eastAsia"/>
          <w:bCs/>
          <w:color w:val="000000" w:themeColor="text1"/>
          <w14:textFill>
            <w14:solidFill>
              <w14:schemeClr w14:val="tx1"/>
            </w14:solidFill>
          </w14:textFill>
        </w:rPr>
        <w:t>防护栏、标识标牌</w:t>
      </w:r>
      <w:r>
        <w:rPr>
          <w:bCs/>
          <w:color w:val="000000" w:themeColor="text1"/>
          <w14:textFill>
            <w14:solidFill>
              <w14:schemeClr w14:val="tx1"/>
            </w14:solidFill>
          </w14:textFill>
        </w:rPr>
        <w:t>等防护设施的完好。</w:t>
      </w:r>
    </w:p>
    <w:p w14:paraId="2872BEDC">
      <w:pPr>
        <w:pStyle w:val="3"/>
        <w:adjustRightInd w:val="0"/>
        <w:snapToGrid w:val="0"/>
        <w:spacing w:before="156" w:after="156"/>
        <w:rPr>
          <w:rFonts w:ascii="Times New Roman" w:hAnsi="Times New Roman" w:cs="Times New Roman"/>
          <w:color w:val="000000" w:themeColor="text1"/>
          <w14:textFill>
            <w14:solidFill>
              <w14:schemeClr w14:val="tx1"/>
            </w14:solidFill>
          </w14:textFill>
        </w:rPr>
      </w:pPr>
      <w:bookmarkStart w:id="520" w:name="_Toc187675433"/>
      <w:r>
        <w:rPr>
          <w:rFonts w:ascii="Times New Roman" w:hAnsi="Times New Roman" w:cs="Times New Roman"/>
          <w:color w:val="000000" w:themeColor="text1"/>
          <w14:textFill>
            <w14:solidFill>
              <w14:schemeClr w14:val="tx1"/>
            </w14:solidFill>
          </w14:textFill>
        </w:rPr>
        <w:t>6.4</w:t>
      </w:r>
      <w:r>
        <w:rPr>
          <w:rFonts w:hint="eastAsia" w:ascii="Times New Roman" w:hAnsi="Times New Roman" w:cs="Times New Roman"/>
          <w:color w:val="000000" w:themeColor="text1"/>
          <w14:textFill>
            <w14:solidFill>
              <w14:schemeClr w14:val="tx1"/>
            </w14:solidFill>
          </w14:textFill>
        </w:rPr>
        <w:t>应急预案</w:t>
      </w:r>
      <w:bookmarkEnd w:id="520"/>
    </w:p>
    <w:p w14:paraId="5510BF5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公路营运单位应根据本项目的风险类型、危险物质和危险单元，制定拟建公路应急预案并报相关政府部门备案，本评价中仅提出原则性要求。</w:t>
      </w:r>
    </w:p>
    <w:p w14:paraId="7E890FA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（1）</w:t>
      </w:r>
      <w:r>
        <w:rPr>
          <w:rFonts w:ascii="Times New Roman" w:hAnsi="Times New Roman" w:cs="Times New Roman"/>
          <w:snapToGrid w:val="0"/>
          <w:color w:val="000000" w:themeColor="text1"/>
          <w:lang w:val="zh-CN"/>
          <w14:textFill>
            <w14:solidFill>
              <w14:schemeClr w14:val="tx1"/>
            </w14:solidFill>
          </w14:textFill>
        </w:rPr>
        <w:t>应急救援组织机构及其职责</w:t>
      </w:r>
    </w:p>
    <w:p w14:paraId="6B2B139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工程沿线</w:t>
      </w:r>
      <w:r>
        <w:rPr>
          <w:rFonts w:hint="eastAsia" w:ascii="Times New Roman" w:hAnsi="Times New Roman" w:cs="Times New Roman"/>
          <w:snapToGrid w:val="0"/>
          <w:color w:val="000000" w:themeColor="text1"/>
          <w:lang w:val="zh-CN"/>
          <w14:textFill>
            <w14:solidFill>
              <w14:schemeClr w14:val="tx1"/>
            </w14:solidFill>
          </w14:textFill>
        </w:rPr>
        <w:t>市县、师市</w:t>
      </w:r>
      <w:r>
        <w:rPr>
          <w:rFonts w:ascii="Times New Roman" w:hAnsi="Times New Roman" w:cs="Times New Roman"/>
          <w:snapToGrid w:val="0"/>
          <w:color w:val="000000" w:themeColor="text1"/>
          <w:lang w:val="zh-CN"/>
          <w14:textFill>
            <w14:solidFill>
              <w14:schemeClr w14:val="tx1"/>
            </w14:solidFill>
          </w14:textFill>
        </w:rPr>
        <w:t>均已建立突发公共事件应急预案，涵盖了突然发生，造成或者可能造成重大人员伤亡、财产损失、生态环境破坏和严重社会危害，危及公共安全的各类紧急事件。同时形成了以领导机构、办事机构、工作机构、县、乡（镇）机构组成的应急组织体系。建立了应对突发公共事件的预测、预警、信息报告、应急处置、恢复重建及调查评估等运行机制。</w:t>
      </w:r>
    </w:p>
    <w:p w14:paraId="6E9CA86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（2）</w:t>
      </w:r>
      <w:r>
        <w:rPr>
          <w:rFonts w:ascii="Times New Roman" w:hAnsi="Times New Roman" w:cs="Times New Roman"/>
          <w:snapToGrid w:val="0"/>
          <w:color w:val="000000" w:themeColor="text1"/>
          <w:lang w:val="zh-CN"/>
          <w14:textFill>
            <w14:solidFill>
              <w14:schemeClr w14:val="tx1"/>
            </w14:solidFill>
          </w14:textFill>
        </w:rPr>
        <w:t>应急救援程序</w:t>
      </w:r>
    </w:p>
    <w:p w14:paraId="0AF4878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主要是事故报告与报警、事故救援等。应急救援程序见图6.4-1。</w:t>
      </w:r>
    </w:p>
    <w:p w14:paraId="6200FEDE">
      <w:pPr>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080635" cy="2621915"/>
            <wp:effectExtent l="0" t="0" r="5715" b="6985"/>
            <wp:docPr id="25" name="图片 7" descr="F:\发票\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F:\发票\流程图.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080635" cy="2621915"/>
                    </a:xfrm>
                    <a:prstGeom prst="rect">
                      <a:avLst/>
                    </a:prstGeom>
                    <a:noFill/>
                    <a:ln>
                      <a:noFill/>
                    </a:ln>
                  </pic:spPr>
                </pic:pic>
              </a:graphicData>
            </a:graphic>
          </wp:inline>
        </w:drawing>
      </w:r>
    </w:p>
    <w:p w14:paraId="5B3E71E6">
      <w:pPr>
        <w:pStyle w:val="22"/>
        <w:adjustRightInd w:val="0"/>
        <w:snapToGrid w:val="0"/>
        <w:ind w:firstLine="2100" w:firstLineChars="1000"/>
        <w:rPr>
          <w:rFonts w:ascii="黑体" w:hAnsi="黑体" w:cs="Times New Roman"/>
          <w:color w:val="000000" w:themeColor="text1"/>
          <w:sz w:val="16"/>
          <w14:textFill>
            <w14:solidFill>
              <w14:schemeClr w14:val="tx1"/>
            </w14:solidFill>
          </w14:textFill>
        </w:rPr>
      </w:pPr>
      <w:r>
        <w:rPr>
          <w:rFonts w:ascii="黑体" w:hAnsi="黑体" w:cs="Times New Roman"/>
          <w:color w:val="000000" w:themeColor="text1"/>
          <w:sz w:val="21"/>
          <w:szCs w:val="24"/>
          <w14:textFill>
            <w14:solidFill>
              <w14:schemeClr w14:val="tx1"/>
            </w14:solidFill>
          </w14:textFill>
        </w:rPr>
        <w:t>图6.4-1项目应急救援程序图</w:t>
      </w:r>
    </w:p>
    <w:p w14:paraId="05A469F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（3）</w:t>
      </w:r>
      <w:r>
        <w:rPr>
          <w:rFonts w:ascii="Times New Roman" w:hAnsi="Times New Roman" w:cs="Times New Roman"/>
          <w:snapToGrid w:val="0"/>
          <w:color w:val="000000" w:themeColor="text1"/>
          <w:lang w:val="zh-CN"/>
          <w14:textFill>
            <w14:solidFill>
              <w14:schemeClr w14:val="tx1"/>
            </w14:solidFill>
          </w14:textFill>
        </w:rPr>
        <w:t>本项目的应急预案</w:t>
      </w:r>
    </w:p>
    <w:p w14:paraId="0F80C67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对本项目管理单位而言，应制定</w:t>
      </w:r>
      <w:r>
        <w:rPr>
          <w:rFonts w:ascii="Times New Roman" w:hAnsi="Times New Roman" w:cs="Times New Roman"/>
          <w:snapToGrid w:val="0"/>
          <w:color w:val="000000" w:themeColor="text1"/>
          <w14:textFill>
            <w14:solidFill>
              <w14:schemeClr w14:val="tx1"/>
            </w14:solidFill>
          </w14:textFill>
        </w:rPr>
        <w:t>应急预案</w:t>
      </w:r>
      <w:r>
        <w:rPr>
          <w:rFonts w:ascii="Times New Roman" w:hAnsi="Times New Roman" w:cs="Times New Roman"/>
          <w:snapToGrid w:val="0"/>
          <w:color w:val="000000" w:themeColor="text1"/>
          <w:lang w:val="zh-CN"/>
          <w14:textFill>
            <w14:solidFill>
              <w14:schemeClr w14:val="tx1"/>
            </w14:solidFill>
          </w14:textFill>
        </w:rPr>
        <w:t>，其主要内容包括：</w:t>
      </w:r>
    </w:p>
    <w:p w14:paraId="5A49EE5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营运单位应编制详尽的应急计划，统一应急行动，明确应急责任人和有关部门的职责，确保在最短的时间将事故控制，以减少对环境的破坏。</w:t>
      </w:r>
    </w:p>
    <w:p w14:paraId="61493AC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建立事故风险应急报告程序：按照《国家突发环境事件应急预案》的规定建立突发环境事件的分级标准，确立响应程序。一旦发生运输危险品的事故，由事故当事人和群众拨打电话至应急中心或者是监控中心通过监控设备得知情况后马上通知应急中心后，应急中心值班人员在了解情况后立即通知应急指挥人，由应急指挥人立即将事故情况按事故报告响应程序上报沿线市县环境应急委，报告内容应当包括时间、地点、起因、性质、涉及人员、应急措施及特别请求等，并通知事故处理小组的相关人员迅速前往现场，采取进一步的应急措施，防止污染和危险的扩散。</w:t>
      </w:r>
    </w:p>
    <w:p w14:paraId="516190F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事故应急响应时间：分为4级。</w:t>
      </w:r>
    </w:p>
    <w:p w14:paraId="2703C41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④</w:t>
      </w:r>
      <w:r>
        <w:rPr>
          <w:rFonts w:ascii="Times New Roman" w:hAnsi="Times New Roman" w:cs="Times New Roman"/>
          <w:snapToGrid w:val="0"/>
          <w:color w:val="000000" w:themeColor="text1"/>
          <w:lang w:val="zh-CN"/>
          <w14:textFill>
            <w14:solidFill>
              <w14:schemeClr w14:val="tx1"/>
            </w14:solidFill>
          </w14:textFill>
        </w:rPr>
        <w:t>应急培训计划：对相关应急人员应进行</w:t>
      </w:r>
      <w:r>
        <w:rPr>
          <w:rFonts w:hint="eastAsia" w:ascii="Times New Roman" w:hAnsi="Times New Roman" w:cs="Times New Roman"/>
          <w:snapToGrid w:val="0"/>
          <w:color w:val="000000" w:themeColor="text1"/>
          <w:lang w:val="zh-CN"/>
          <w14:textFill>
            <w14:solidFill>
              <w14:schemeClr w14:val="tx1"/>
            </w14:solidFill>
          </w14:textFill>
        </w:rPr>
        <w:t>事故</w:t>
      </w:r>
      <w:r>
        <w:rPr>
          <w:rFonts w:ascii="Times New Roman" w:hAnsi="Times New Roman" w:cs="Times New Roman"/>
          <w:snapToGrid w:val="0"/>
          <w:color w:val="000000" w:themeColor="text1"/>
          <w:lang w:val="zh-CN"/>
          <w14:textFill>
            <w14:solidFill>
              <w14:schemeClr w14:val="tx1"/>
            </w14:solidFill>
          </w14:textFill>
        </w:rPr>
        <w:t>应急培训，使其具有相应的环保知识和应急事故处理的能力；定期进行相应的演练工作，主要是事故一旦发生后的应急救援工作。</w:t>
      </w:r>
    </w:p>
    <w:p w14:paraId="5686E7E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⑤</w:t>
      </w:r>
      <w:r>
        <w:rPr>
          <w:rFonts w:ascii="Times New Roman" w:hAnsi="Times New Roman" w:cs="Times New Roman"/>
          <w:snapToGrid w:val="0"/>
          <w:color w:val="000000" w:themeColor="text1"/>
          <w:lang w:val="zh-CN"/>
          <w14:textFill>
            <w14:solidFill>
              <w14:schemeClr w14:val="tx1"/>
            </w14:solidFill>
          </w14:textFill>
        </w:rPr>
        <w:t>配备事故急救设备和器材，例如应急电话、灭火器等。</w:t>
      </w:r>
    </w:p>
    <w:p w14:paraId="107B1CD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⑥</w:t>
      </w:r>
      <w:r>
        <w:rPr>
          <w:rFonts w:ascii="Times New Roman" w:hAnsi="Times New Roman" w:cs="Times New Roman"/>
          <w:snapToGrid w:val="0"/>
          <w:color w:val="000000" w:themeColor="text1"/>
          <w:lang w:val="zh-CN"/>
          <w14:textFill>
            <w14:solidFill>
              <w14:schemeClr w14:val="tx1"/>
            </w14:solidFill>
          </w14:textFill>
        </w:rPr>
        <w:t>应急环境监测、抢险、救援及控制措施：由</w:t>
      </w:r>
      <w:r>
        <w:rPr>
          <w:rFonts w:hint="eastAsia" w:ascii="Times New Roman" w:hAnsi="Times New Roman" w:cs="Times New Roman"/>
          <w:snapToGrid w:val="0"/>
          <w:color w:val="000000" w:themeColor="text1"/>
          <w:lang w:val="zh-CN"/>
          <w14:textFill>
            <w14:solidFill>
              <w14:schemeClr w14:val="tx1"/>
            </w14:solidFill>
          </w14:textFill>
        </w:rPr>
        <w:t>所在师市</w:t>
      </w:r>
      <w:r>
        <w:rPr>
          <w:rFonts w:ascii="Times New Roman" w:hAnsi="Times New Roman" w:cs="Times New Roman"/>
          <w:snapToGrid w:val="0"/>
          <w:color w:val="000000" w:themeColor="text1"/>
          <w:lang w:val="zh-CN"/>
          <w14:textFill>
            <w14:solidFill>
              <w14:schemeClr w14:val="tx1"/>
            </w14:solidFill>
          </w14:textFill>
        </w:rPr>
        <w:t>环境监测站对事故现场周围环境质量进行监测，对事故性质、参数与后果进行评估，为指挥部门提供决策依据。</w:t>
      </w:r>
    </w:p>
    <w:p w14:paraId="5E0E96C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⑦</w:t>
      </w:r>
      <w:r>
        <w:rPr>
          <w:rFonts w:ascii="Times New Roman" w:hAnsi="Times New Roman" w:cs="Times New Roman"/>
          <w:snapToGrid w:val="0"/>
          <w:color w:val="000000" w:themeColor="text1"/>
          <w:lang w:val="zh-CN"/>
          <w14:textFill>
            <w14:solidFill>
              <w14:schemeClr w14:val="tx1"/>
            </w14:solidFill>
          </w14:textFill>
        </w:rPr>
        <w:t>人员紧急撤离、疏散、应急剂量控制、撤离组织计划：在事故现场，由领导小组领导，其他各个协调管理机构对现场进行处理，本项目建设单位主要进行协调和沟通工作，并负责工作的汇报。</w:t>
      </w:r>
    </w:p>
    <w:p w14:paraId="70BC6534">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⑧</w:t>
      </w:r>
      <w:r>
        <w:rPr>
          <w:rFonts w:ascii="Times New Roman" w:hAnsi="Times New Roman" w:cs="Times New Roman"/>
          <w:snapToGrid w:val="0"/>
          <w:color w:val="000000" w:themeColor="text1"/>
          <w:lang w:val="zh-CN"/>
          <w14:textFill>
            <w14:solidFill>
              <w14:schemeClr w14:val="tx1"/>
            </w14:solidFill>
          </w14:textFill>
        </w:rPr>
        <w:t>事故应急救援关闭程序与恢复措施：现场处理完毕后，由</w:t>
      </w:r>
      <w:r>
        <w:rPr>
          <w:rFonts w:hint="eastAsia" w:ascii="Times New Roman" w:hAnsi="Times New Roman" w:cs="Times New Roman"/>
          <w:snapToGrid w:val="0"/>
          <w:color w:val="000000" w:themeColor="text1"/>
          <w:lang w:val="zh-CN"/>
          <w14:textFill>
            <w14:solidFill>
              <w14:schemeClr w14:val="tx1"/>
            </w14:solidFill>
          </w14:textFill>
        </w:rPr>
        <w:t>所在师市</w:t>
      </w:r>
      <w:r>
        <w:rPr>
          <w:rFonts w:ascii="Times New Roman" w:hAnsi="Times New Roman" w:cs="Times New Roman"/>
          <w:snapToGrid w:val="0"/>
          <w:color w:val="000000" w:themeColor="text1"/>
          <w:lang w:val="zh-CN"/>
          <w14:textFill>
            <w14:solidFill>
              <w14:schemeClr w14:val="tx1"/>
            </w14:solidFill>
          </w14:textFill>
        </w:rPr>
        <w:t>环境监测站跟踪监测环境质量状况，并进行总结，汇报。</w:t>
      </w:r>
    </w:p>
    <w:p w14:paraId="06836C3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⑨</w:t>
      </w:r>
      <w:r>
        <w:rPr>
          <w:rFonts w:ascii="Times New Roman" w:hAnsi="Times New Roman" w:cs="Times New Roman"/>
          <w:snapToGrid w:val="0"/>
          <w:color w:val="000000" w:themeColor="text1"/>
          <w:lang w:val="zh-CN"/>
          <w14:textFill>
            <w14:solidFill>
              <w14:schemeClr w14:val="tx1"/>
            </w14:solidFill>
          </w14:textFill>
        </w:rPr>
        <w:t>公众教育和信息：对发生的危险品污染事故，通过媒体对公众进行公示，起到教育和警示作用。</w:t>
      </w:r>
    </w:p>
    <w:p w14:paraId="7ADB11E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综上所述，在落实工程环境风险防范措施和应急预案后，该工程所带来的环境风险是可以控制的。</w:t>
      </w:r>
    </w:p>
    <w:p w14:paraId="4149E2C5">
      <w:pPr>
        <w:rPr>
          <w:rFonts w:ascii="Times New Roman" w:hAnsi="Times New Roman" w:cs="Times New Roman"/>
          <w:snapToGrid w:val="0"/>
          <w:color w:val="000000" w:themeColor="text1"/>
          <w:lang w:val="zh-CN"/>
          <w14:textFill>
            <w14:solidFill>
              <w14:schemeClr w14:val="tx1"/>
            </w14:solidFill>
          </w14:textFill>
        </w:rPr>
      </w:pPr>
    </w:p>
    <w:p w14:paraId="142AC8F6">
      <w:pPr>
        <w:ind w:firstLine="643" w:firstLineChars="200"/>
        <w:rPr>
          <w:rFonts w:ascii="Times New Roman" w:hAnsi="Times New Roman" w:cs="Times New Roman"/>
          <w:b/>
          <w:bCs/>
          <w:color w:val="000000" w:themeColor="text1"/>
          <w:sz w:val="32"/>
          <w14:textFill>
            <w14:solidFill>
              <w14:schemeClr w14:val="tx1"/>
            </w14:solidFill>
          </w14:textFill>
        </w:rPr>
        <w:sectPr>
          <w:pgSz w:w="11906" w:h="16838"/>
          <w:pgMar w:top="1440" w:right="1797" w:bottom="1440" w:left="1797" w:header="794" w:footer="850" w:gutter="0"/>
          <w:cols w:space="720" w:num="1"/>
          <w:docGrid w:type="lines" w:linePitch="312" w:charSpace="0"/>
        </w:sectPr>
      </w:pPr>
    </w:p>
    <w:p w14:paraId="2DB9FC03">
      <w:pPr>
        <w:pStyle w:val="2"/>
        <w:adjustRightInd w:val="0"/>
        <w:snapToGrid w:val="0"/>
        <w:spacing w:before="312" w:after="156" w:line="240" w:lineRule="auto"/>
        <w:rPr>
          <w:rFonts w:ascii="Times New Roman" w:hAnsi="Times New Roman" w:cs="Times New Roman"/>
          <w:color w:val="000000" w:themeColor="text1"/>
          <w14:textFill>
            <w14:solidFill>
              <w14:schemeClr w14:val="tx1"/>
            </w14:solidFill>
          </w14:textFill>
        </w:rPr>
      </w:pPr>
      <w:bookmarkStart w:id="521" w:name="_Toc98413569"/>
      <w:bookmarkStart w:id="522" w:name="_Toc381606062"/>
      <w:bookmarkStart w:id="523" w:name="_Toc4507864"/>
      <w:bookmarkStart w:id="524" w:name="_Toc316511155"/>
      <w:bookmarkStart w:id="525" w:name="_Toc316561721"/>
      <w:bookmarkStart w:id="526" w:name="_Toc187675434"/>
      <w:r>
        <w:rPr>
          <w:rFonts w:ascii="Times New Roman" w:hAnsi="Times New Roman" w:cs="Times New Roman"/>
          <w:color w:val="000000" w:themeColor="text1"/>
          <w14:textFill>
            <w14:solidFill>
              <w14:schemeClr w14:val="tx1"/>
            </w14:solidFill>
          </w14:textFill>
        </w:rPr>
        <w:t>7环境保护措施及其可行性论证</w:t>
      </w:r>
      <w:bookmarkEnd w:id="521"/>
      <w:bookmarkEnd w:id="522"/>
      <w:bookmarkEnd w:id="523"/>
      <w:bookmarkEnd w:id="524"/>
      <w:bookmarkEnd w:id="525"/>
      <w:bookmarkEnd w:id="526"/>
    </w:p>
    <w:p w14:paraId="5305BA35">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527" w:name="_Toc98413571"/>
      <w:bookmarkStart w:id="528" w:name="_Toc187675435"/>
      <w:bookmarkStart w:id="529" w:name="_Toc316511167"/>
      <w:bookmarkStart w:id="530" w:name="_Toc316561733"/>
      <w:r>
        <w:rPr>
          <w:rFonts w:ascii="Times New Roman" w:hAnsi="Times New Roman" w:cs="Times New Roman"/>
          <w:color w:val="000000" w:themeColor="text1"/>
          <w14:textFill>
            <w14:solidFill>
              <w14:schemeClr w14:val="tx1"/>
            </w14:solidFill>
          </w14:textFill>
        </w:rPr>
        <w:t>7.1生态环境保护措施</w:t>
      </w:r>
      <w:bookmarkEnd w:id="527"/>
      <w:bookmarkEnd w:id="528"/>
    </w:p>
    <w:p w14:paraId="1DC56929">
      <w:pPr>
        <w:keepNext/>
        <w:keepLines/>
        <w:spacing w:before="156" w:beforeLines="50" w:after="156" w:line="360" w:lineRule="auto"/>
        <w:outlineLvl w:val="2"/>
        <w:rPr>
          <w:rFonts w:ascii="Times New Roman" w:hAnsi="Times New Roman" w:cs="Times New Roman"/>
          <w:b/>
          <w:bCs/>
          <w:color w:val="000000" w:themeColor="text1"/>
          <w:sz w:val="30"/>
          <w:szCs w:val="30"/>
          <w14:textFill>
            <w14:solidFill>
              <w14:schemeClr w14:val="tx1"/>
            </w14:solidFill>
          </w14:textFill>
        </w:rPr>
      </w:pPr>
      <w:bookmarkStart w:id="531" w:name="_Toc97464678"/>
      <w:bookmarkStart w:id="532" w:name="_Toc98413572"/>
      <w:bookmarkStart w:id="533" w:name="_Toc57826776"/>
      <w:bookmarkStart w:id="534" w:name="_Toc98414254"/>
      <w:bookmarkStart w:id="535" w:name="_Toc34989613"/>
      <w:r>
        <w:rPr>
          <w:rFonts w:ascii="Times New Roman" w:hAnsi="Times New Roman" w:cs="Times New Roman"/>
          <w:b/>
          <w:bCs/>
          <w:color w:val="000000" w:themeColor="text1"/>
          <w:sz w:val="30"/>
          <w:szCs w:val="30"/>
          <w14:textFill>
            <w14:solidFill>
              <w14:schemeClr w14:val="tx1"/>
            </w14:solidFill>
          </w14:textFill>
        </w:rPr>
        <w:t>7.1.1施工期</w:t>
      </w:r>
    </w:p>
    <w:p w14:paraId="395FFE92">
      <w:pPr>
        <w:spacing w:before="156" w:beforeLines="50" w:after="156" w:afterLines="50" w:line="360" w:lineRule="auto"/>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7.1.1.1</w:t>
      </w:r>
      <w:r>
        <w:rPr>
          <w:rFonts w:hint="eastAsia" w:ascii="Times New Roman" w:hAnsi="Times New Roman" w:cs="Times New Roman"/>
          <w:b/>
          <w:color w:val="000000" w:themeColor="text1"/>
          <w14:textFill>
            <w14:solidFill>
              <w14:schemeClr w14:val="tx1"/>
            </w14:solidFill>
          </w14:textFill>
        </w:rPr>
        <w:t>植被保护与恢复</w:t>
      </w:r>
      <w:r>
        <w:rPr>
          <w:rFonts w:ascii="Times New Roman" w:hAnsi="Times New Roman" w:cs="Times New Roman"/>
          <w:b/>
          <w:color w:val="000000" w:themeColor="text1"/>
          <w14:textFill>
            <w14:solidFill>
              <w14:schemeClr w14:val="tx1"/>
            </w14:solidFill>
          </w14:textFill>
        </w:rPr>
        <w:t>措施</w:t>
      </w:r>
    </w:p>
    <w:p w14:paraId="32B5F51E">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开工前对施工临时设施的规划要进行严格的审查，以达到既少占土地，又方便施工的目的。</w:t>
      </w:r>
    </w:p>
    <w:p w14:paraId="09893DB8">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严格按照设计文件确定征占土地范围，进行地表植被的清理工作；严格控制路基开挖施工作业面，避免越界施工破坏周围植被，或对周围水体造成影响。</w:t>
      </w:r>
    </w:p>
    <w:p w14:paraId="711169B2">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工程施工过程中，要严格按设计规定的弃土场进行弃土作业；不得随意扩大施工范围及破坏周围植被。</w:t>
      </w:r>
    </w:p>
    <w:p w14:paraId="4410D829">
      <w:pPr>
        <w:spacing w:line="360" w:lineRule="auto"/>
        <w:ind w:firstLine="504" w:firstLineChars="21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开工前对沿线保护植物进行调查，包括施工便道两侧的保护植物，并做好标记，提示施工人员，注意保护。</w:t>
      </w:r>
    </w:p>
    <w:p w14:paraId="55417888">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施工之前应对永久征地范围内的表层土壤进行剥离，用于施工结束后的边坡绿化。建设后期用于公路边坡恢复；针对草原表层土，应根据实际土壤肥力，尽量进行剥离、堆放。</w:t>
      </w:r>
    </w:p>
    <w:p w14:paraId="4BB9D8DD">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施工前将施工生产区、弃土场以及施工便道等临时占地中植被较好的原地表上的表土集中堆放在征地范围内，待施工结束后回填至地表并播撒草籽等进行人工绿化，恢复原地表植被。</w:t>
      </w:r>
    </w:p>
    <w:p w14:paraId="33C17FDC">
      <w:pPr>
        <w:spacing w:line="360" w:lineRule="auto"/>
        <w:ind w:firstLine="480"/>
        <w:jc w:val="both"/>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工程生物量损失的影响应尽量减小到最低水平。在对公路沿线立地条件调查的基础上，根据本项目工程、环境特点，对有灌溉水源的区间路基两侧可绿化地段采取种植乔木的绿化措施。</w:t>
      </w:r>
    </w:p>
    <w:p w14:paraId="2152F224">
      <w:pPr>
        <w:spacing w:before="156" w:beforeLines="50" w:after="156" w:afterLines="50" w:line="360" w:lineRule="auto"/>
        <w:outlineLvl w:val="3"/>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7.1.1.2林地占地补偿措施</w:t>
      </w:r>
    </w:p>
    <w:p w14:paraId="0620130B">
      <w:pPr>
        <w:spacing w:line="360" w:lineRule="auto"/>
        <w:ind w:firstLine="480" w:firstLineChars="200"/>
        <w:jc w:val="both"/>
        <w:rPr>
          <w:rFonts w:ascii="Times New Roman" w:hAnsi="Times New Roman" w:cs="Times New Roman"/>
          <w:bCs/>
          <w:color w:val="000000" w:themeColor="text1"/>
          <w:lang w:bidi="en-US"/>
          <w14:textFill>
            <w14:solidFill>
              <w14:schemeClr w14:val="tx1"/>
            </w14:solidFill>
          </w14:textFill>
        </w:rPr>
      </w:pPr>
      <w:r>
        <w:rPr>
          <w:rFonts w:hint="eastAsia" w:ascii="Times New Roman" w:hAnsi="Times New Roman" w:cs="Times New Roman"/>
          <w:bCs/>
          <w:color w:val="000000" w:themeColor="text1"/>
          <w:lang w:bidi="en-US"/>
          <w14:textFill>
            <w14:solidFill>
              <w14:schemeClr w14:val="tx1"/>
            </w14:solidFill>
          </w14:textFill>
        </w:rPr>
        <w:t>本工程建设需砍伐或移栽主要树木以林木、果树、灌木为主，根据初步设计报告，需</w:t>
      </w:r>
      <w:r>
        <w:rPr>
          <w:rFonts w:ascii="Times New Roman" w:hAnsi="Times New Roman" w:cs="Times New Roman"/>
          <w:bCs/>
          <w:color w:val="000000" w:themeColor="text1"/>
          <w:lang w:bidi="en-US"/>
          <w14:textFill>
            <w14:solidFill>
              <w14:schemeClr w14:val="tx1"/>
            </w14:solidFill>
          </w14:textFill>
        </w:rPr>
        <w:t>赔偿</w:t>
      </w:r>
      <w:r>
        <w:rPr>
          <w:rFonts w:hint="eastAsia" w:ascii="Times New Roman" w:hAnsi="Times New Roman" w:cs="Times New Roman"/>
          <w:bCs/>
          <w:color w:val="000000" w:themeColor="text1"/>
          <w:lang w:bidi="en-US"/>
          <w14:textFill>
            <w14:solidFill>
              <w14:schemeClr w14:val="tx1"/>
            </w14:solidFill>
          </w14:textFill>
        </w:rPr>
        <w:t>一般</w:t>
      </w:r>
      <w:r>
        <w:rPr>
          <w:rFonts w:ascii="Times New Roman" w:hAnsi="Times New Roman" w:cs="Times New Roman"/>
          <w:bCs/>
          <w:color w:val="000000" w:themeColor="text1"/>
          <w:lang w:bidi="en-US"/>
          <w14:textFill>
            <w14:solidFill>
              <w14:schemeClr w14:val="tx1"/>
            </w14:solidFill>
          </w14:textFill>
        </w:rPr>
        <w:t>树木</w:t>
      </w:r>
      <w:r>
        <w:rPr>
          <w:rFonts w:hint="eastAsia" w:ascii="Times New Roman" w:hAnsi="Times New Roman" w:cs="Times New Roman"/>
          <w:bCs/>
          <w:color w:val="000000" w:themeColor="text1"/>
          <w:lang w:bidi="en-US"/>
          <w14:textFill>
            <w14:solidFill>
              <w14:schemeClr w14:val="tx1"/>
            </w14:solidFill>
          </w14:textFill>
        </w:rPr>
        <w:t>1</w:t>
      </w:r>
      <w:r>
        <w:rPr>
          <w:rFonts w:ascii="Times New Roman" w:hAnsi="Times New Roman" w:cs="Times New Roman"/>
          <w:bCs/>
          <w:color w:val="000000" w:themeColor="text1"/>
          <w:lang w:bidi="en-US"/>
          <w14:textFill>
            <w14:solidFill>
              <w14:schemeClr w14:val="tx1"/>
            </w14:solidFill>
          </w14:textFill>
        </w:rPr>
        <w:t>38078</w:t>
      </w:r>
      <w:r>
        <w:rPr>
          <w:rFonts w:hint="eastAsia" w:ascii="Times New Roman" w:hAnsi="Times New Roman" w:cs="Times New Roman"/>
          <w:bCs/>
          <w:color w:val="000000" w:themeColor="text1"/>
          <w:lang w:bidi="en-US"/>
          <w14:textFill>
            <w14:solidFill>
              <w14:schemeClr w14:val="tx1"/>
            </w14:solidFill>
          </w14:textFill>
        </w:rPr>
        <w:t>株，其中胸径</w:t>
      </w:r>
      <w:r>
        <w:rPr>
          <w:rFonts w:ascii="Times New Roman" w:hAnsi="Times New Roman" w:cs="Times New Roman"/>
          <w:bCs/>
          <w:color w:val="000000" w:themeColor="text1"/>
          <w:lang w:bidi="en-US"/>
          <w14:textFill>
            <w14:solidFill>
              <w14:schemeClr w14:val="tx1"/>
            </w14:solidFill>
          </w14:textFill>
        </w:rPr>
        <w:t>5cm以下</w:t>
      </w:r>
      <w:r>
        <w:rPr>
          <w:rFonts w:hint="eastAsia" w:ascii="Times New Roman" w:hAnsi="Times New Roman" w:cs="Times New Roman"/>
          <w:bCs/>
          <w:color w:val="000000" w:themeColor="text1"/>
          <w:lang w:bidi="en-US"/>
          <w14:textFill>
            <w14:solidFill>
              <w14:schemeClr w14:val="tx1"/>
            </w14:solidFill>
          </w14:textFill>
        </w:rPr>
        <w:t>的</w:t>
      </w:r>
      <w:r>
        <w:rPr>
          <w:rFonts w:ascii="Times New Roman" w:hAnsi="Times New Roman" w:cs="Times New Roman"/>
          <w:bCs/>
          <w:color w:val="000000" w:themeColor="text1"/>
          <w:lang w:bidi="en-US"/>
          <w14:textFill>
            <w14:solidFill>
              <w14:schemeClr w14:val="tx1"/>
            </w14:solidFill>
          </w14:textFill>
        </w:rPr>
        <w:t>86988</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5~15cm</w:t>
      </w:r>
      <w:r>
        <w:rPr>
          <w:rFonts w:hint="eastAsia" w:ascii="Times New Roman" w:hAnsi="Times New Roman" w:cs="Times New Roman"/>
          <w:bCs/>
          <w:color w:val="000000" w:themeColor="text1"/>
          <w:lang w:bidi="en-US"/>
          <w14:textFill>
            <w14:solidFill>
              <w14:schemeClr w14:val="tx1"/>
            </w14:solidFill>
          </w14:textFill>
        </w:rPr>
        <w:t>的</w:t>
      </w:r>
      <w:r>
        <w:rPr>
          <w:rFonts w:ascii="Times New Roman" w:hAnsi="Times New Roman" w:cs="Times New Roman"/>
          <w:bCs/>
          <w:color w:val="000000" w:themeColor="text1"/>
          <w:lang w:bidi="en-US"/>
          <w14:textFill>
            <w14:solidFill>
              <w14:schemeClr w14:val="tx1"/>
            </w14:solidFill>
          </w14:textFill>
        </w:rPr>
        <w:t>26345</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15~30cm</w:t>
      </w:r>
      <w:r>
        <w:rPr>
          <w:rFonts w:hint="eastAsia" w:ascii="Times New Roman" w:hAnsi="Times New Roman" w:cs="Times New Roman"/>
          <w:bCs/>
          <w:color w:val="000000" w:themeColor="text1"/>
          <w:lang w:bidi="en-US"/>
          <w14:textFill>
            <w14:solidFill>
              <w14:schemeClr w14:val="tx1"/>
            </w14:solidFill>
          </w14:textFill>
        </w:rPr>
        <w:t>的</w:t>
      </w:r>
      <w:r>
        <w:rPr>
          <w:rFonts w:ascii="Times New Roman" w:hAnsi="Times New Roman" w:cs="Times New Roman"/>
          <w:bCs/>
          <w:color w:val="000000" w:themeColor="text1"/>
          <w:lang w:bidi="en-US"/>
          <w14:textFill>
            <w14:solidFill>
              <w14:schemeClr w14:val="tx1"/>
            </w14:solidFill>
          </w14:textFill>
        </w:rPr>
        <w:t>17859</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30cm</w:t>
      </w:r>
      <w:r>
        <w:rPr>
          <w:rFonts w:hint="eastAsia" w:ascii="Times New Roman" w:hAnsi="Times New Roman" w:cs="Times New Roman"/>
          <w:bCs/>
          <w:color w:val="000000" w:themeColor="text1"/>
          <w:lang w:bidi="en-US"/>
          <w14:textFill>
            <w14:solidFill>
              <w14:schemeClr w14:val="tx1"/>
            </w14:solidFill>
          </w14:textFill>
        </w:rPr>
        <w:t>以上的</w:t>
      </w:r>
      <w:r>
        <w:rPr>
          <w:rFonts w:ascii="Times New Roman" w:hAnsi="Times New Roman" w:cs="Times New Roman"/>
          <w:bCs/>
          <w:color w:val="000000" w:themeColor="text1"/>
          <w:lang w:bidi="en-US"/>
          <w14:textFill>
            <w14:solidFill>
              <w14:schemeClr w14:val="tx1"/>
            </w14:solidFill>
          </w14:textFill>
        </w:rPr>
        <w:t>6886</w:t>
      </w:r>
      <w:r>
        <w:rPr>
          <w:rFonts w:hint="eastAsia" w:ascii="Times New Roman" w:hAnsi="Times New Roman" w:cs="Times New Roman"/>
          <w:bCs/>
          <w:color w:val="000000" w:themeColor="text1"/>
          <w:lang w:bidi="en-US"/>
          <w14:textFill>
            <w14:solidFill>
              <w14:schemeClr w14:val="tx1"/>
            </w14:solidFill>
          </w14:textFill>
        </w:rPr>
        <w:t>株；</w:t>
      </w:r>
      <w:r>
        <w:rPr>
          <w:rFonts w:ascii="Times New Roman" w:hAnsi="Times New Roman" w:cs="Times New Roman"/>
          <w:bCs/>
          <w:color w:val="000000" w:themeColor="text1"/>
          <w:lang w:bidi="en-US"/>
          <w14:textFill>
            <w14:solidFill>
              <w14:schemeClr w14:val="tx1"/>
            </w14:solidFill>
          </w14:textFill>
        </w:rPr>
        <w:t>赔偿</w:t>
      </w:r>
      <w:r>
        <w:rPr>
          <w:rFonts w:hint="eastAsia" w:ascii="Times New Roman" w:hAnsi="Times New Roman" w:cs="Times New Roman"/>
          <w:bCs/>
          <w:color w:val="000000" w:themeColor="text1"/>
          <w:lang w:bidi="en-US"/>
          <w14:textFill>
            <w14:solidFill>
              <w14:schemeClr w14:val="tx1"/>
            </w14:solidFill>
          </w14:textFill>
        </w:rPr>
        <w:t>果树2</w:t>
      </w:r>
      <w:r>
        <w:rPr>
          <w:rFonts w:ascii="Times New Roman" w:hAnsi="Times New Roman" w:cs="Times New Roman"/>
          <w:bCs/>
          <w:color w:val="000000" w:themeColor="text1"/>
          <w:lang w:bidi="en-US"/>
          <w14:textFill>
            <w14:solidFill>
              <w14:schemeClr w14:val="tx1"/>
            </w14:solidFill>
          </w14:textFill>
        </w:rPr>
        <w:t>356</w:t>
      </w:r>
      <w:r>
        <w:rPr>
          <w:rFonts w:hint="eastAsia" w:ascii="Times New Roman" w:hAnsi="Times New Roman" w:cs="Times New Roman"/>
          <w:bCs/>
          <w:color w:val="000000" w:themeColor="text1"/>
          <w:lang w:bidi="en-US"/>
          <w14:textFill>
            <w14:solidFill>
              <w14:schemeClr w14:val="tx1"/>
            </w14:solidFill>
          </w14:textFill>
        </w:rPr>
        <w:t>株，其中胸径</w:t>
      </w:r>
      <w:r>
        <w:rPr>
          <w:rFonts w:ascii="Times New Roman" w:hAnsi="Times New Roman" w:cs="Times New Roman"/>
          <w:bCs/>
          <w:color w:val="000000" w:themeColor="text1"/>
          <w:lang w:bidi="en-US"/>
          <w14:textFill>
            <w14:solidFill>
              <w14:schemeClr w14:val="tx1"/>
            </w14:solidFill>
          </w14:textFill>
        </w:rPr>
        <w:t>15cm</w:t>
      </w:r>
      <w:r>
        <w:rPr>
          <w:rFonts w:hint="eastAsia" w:ascii="Times New Roman" w:hAnsi="Times New Roman" w:cs="Times New Roman"/>
          <w:bCs/>
          <w:color w:val="000000" w:themeColor="text1"/>
          <w:lang w:bidi="en-US"/>
          <w14:textFill>
            <w14:solidFill>
              <w14:schemeClr w14:val="tx1"/>
            </w14:solidFill>
          </w14:textFill>
        </w:rPr>
        <w:t>以下的</w:t>
      </w:r>
      <w:r>
        <w:rPr>
          <w:rFonts w:ascii="Times New Roman" w:hAnsi="Times New Roman" w:cs="Times New Roman"/>
          <w:bCs/>
          <w:color w:val="000000" w:themeColor="text1"/>
          <w:lang w:bidi="en-US"/>
          <w14:textFill>
            <w14:solidFill>
              <w14:schemeClr w14:val="tx1"/>
            </w14:solidFill>
          </w14:textFill>
        </w:rPr>
        <w:t>2062</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15cm</w:t>
      </w:r>
      <w:r>
        <w:rPr>
          <w:rFonts w:hint="eastAsia" w:ascii="Times New Roman" w:hAnsi="Times New Roman" w:cs="Times New Roman"/>
          <w:bCs/>
          <w:color w:val="000000" w:themeColor="text1"/>
          <w:lang w:bidi="en-US"/>
          <w14:textFill>
            <w14:solidFill>
              <w14:schemeClr w14:val="tx1"/>
            </w14:solidFill>
          </w14:textFill>
        </w:rPr>
        <w:t>以上的</w:t>
      </w:r>
      <w:r>
        <w:rPr>
          <w:rFonts w:ascii="Times New Roman" w:hAnsi="Times New Roman" w:cs="Times New Roman"/>
          <w:bCs/>
          <w:color w:val="000000" w:themeColor="text1"/>
          <w:lang w:bidi="en-US"/>
          <w14:textFill>
            <w14:solidFill>
              <w14:schemeClr w14:val="tx1"/>
            </w14:solidFill>
          </w14:textFill>
        </w:rPr>
        <w:t>294</w:t>
      </w:r>
      <w:r>
        <w:rPr>
          <w:rFonts w:hint="eastAsia" w:ascii="Times New Roman" w:hAnsi="Times New Roman" w:cs="Times New Roman"/>
          <w:bCs/>
          <w:color w:val="000000" w:themeColor="text1"/>
          <w:lang w:bidi="en-US"/>
          <w14:textFill>
            <w14:solidFill>
              <w14:schemeClr w14:val="tx1"/>
            </w14:solidFill>
          </w14:textFill>
        </w:rPr>
        <w:t>株；赔偿灌木1</w:t>
      </w:r>
      <w:r>
        <w:rPr>
          <w:rFonts w:ascii="Times New Roman" w:hAnsi="Times New Roman" w:cs="Times New Roman"/>
          <w:bCs/>
          <w:color w:val="000000" w:themeColor="text1"/>
          <w:lang w:bidi="en-US"/>
          <w14:textFill>
            <w14:solidFill>
              <w14:schemeClr w14:val="tx1"/>
            </w14:solidFill>
          </w14:textFill>
        </w:rPr>
        <w:t>1.526</w:t>
      </w:r>
      <w:r>
        <w:rPr>
          <w:rFonts w:ascii="Times New Roman" w:hAnsi="Times New Roman" w:cs="Times New Roman"/>
          <w:color w:val="000000" w:themeColor="text1"/>
          <w14:textFill>
            <w14:solidFill>
              <w14:schemeClr w14:val="tx1"/>
            </w14:solidFill>
          </w14:textFill>
        </w:rPr>
        <w:t xml:space="preserve"> hm</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bCs/>
          <w:color w:val="000000" w:themeColor="text1"/>
          <w:lang w:bidi="en-US"/>
          <w14:textFill>
            <w14:solidFill>
              <w14:schemeClr w14:val="tx1"/>
            </w14:solidFill>
          </w14:textFill>
        </w:rPr>
        <w:t>；赔偿青苗3</w:t>
      </w:r>
      <w:r>
        <w:rPr>
          <w:rFonts w:ascii="Times New Roman" w:hAnsi="Times New Roman" w:cs="Times New Roman"/>
          <w:bCs/>
          <w:color w:val="000000" w:themeColor="text1"/>
          <w:lang w:bidi="en-US"/>
          <w14:textFill>
            <w14:solidFill>
              <w14:schemeClr w14:val="tx1"/>
            </w14:solidFill>
          </w14:textFill>
        </w:rPr>
        <w:t>44.52</w:t>
      </w:r>
      <w:r>
        <w:rPr>
          <w:rFonts w:hint="eastAsia" w:ascii="Times New Roman" w:hAnsi="Times New Roman" w:cs="Times New Roman"/>
          <w:bCs/>
          <w:color w:val="000000" w:themeColor="text1"/>
          <w:lang w:bidi="en-US"/>
          <w14:textFill>
            <w14:solidFill>
              <w14:schemeClr w14:val="tx1"/>
            </w14:solidFill>
          </w14:textFill>
        </w:rPr>
        <w:t>亩。</w:t>
      </w:r>
    </w:p>
    <w:p w14:paraId="178736CF">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bCs/>
          <w:color w:val="000000" w:themeColor="text1"/>
          <w:lang w:bidi="en-US"/>
          <w14:textFill>
            <w14:solidFill>
              <w14:schemeClr w14:val="tx1"/>
            </w14:solidFill>
          </w14:textFill>
        </w:rPr>
        <w:t>建议项目优化设计，作为行道树，尽量减少砍伐，对避免不了砍伐的树木对树木采取保护性移栽，避免直接砍伐。</w:t>
      </w:r>
    </w:p>
    <w:p w14:paraId="394E6450">
      <w:pPr>
        <w:spacing w:before="156" w:beforeLines="50" w:after="156" w:after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7.1.1.3临时占地的恢复和减缓措施</w:t>
      </w:r>
    </w:p>
    <w:p w14:paraId="0F6B24F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项目临时占地主要包括2处施工综合场站、3处弃土场、施工便道，各类临时占地在施工过程中应遵守以下措施：</w:t>
      </w:r>
    </w:p>
    <w:p w14:paraId="1C769BC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（1）各类施工应严格控制在设计范围内，不可随意乱开便道，在施工时要严格控制施工范围。</w:t>
      </w:r>
    </w:p>
    <w:p w14:paraId="0D4419E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（2）严格按设计要求，在指定地点堆放工程弃土，严禁随意弃土。</w:t>
      </w:r>
    </w:p>
    <w:p w14:paraId="08A1CA1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（3）施工结束后，2处施工综合</w:t>
      </w:r>
      <w:r>
        <w:rPr>
          <w:rFonts w:hint="eastAsia" w:ascii="Times New Roman" w:hAnsi="Times New Roman" w:cs="Times New Roman"/>
          <w:snapToGrid w:val="0"/>
          <w:color w:val="000000" w:themeColor="text1"/>
          <w:lang w:val="zh-CN"/>
          <w14:textFill>
            <w14:solidFill>
              <w14:schemeClr w14:val="tx1"/>
            </w14:solidFill>
          </w14:textFill>
        </w:rPr>
        <w:t>场站</w:t>
      </w:r>
      <w:r>
        <w:rPr>
          <w:rFonts w:ascii="Times New Roman" w:hAnsi="Times New Roman" w:cs="Times New Roman"/>
          <w:snapToGrid w:val="0"/>
          <w:color w:val="000000" w:themeColor="text1"/>
          <w:lang w:val="zh-CN"/>
          <w14:textFill>
            <w14:solidFill>
              <w14:schemeClr w14:val="tx1"/>
            </w14:solidFill>
          </w14:textFill>
        </w:rPr>
        <w:t>、3处弃土场等，一律平整土地，清除用地范围内的一切固体废物；恢复地貌原状，不得随意倾倒沥青废料，特别注意拌合站和路基两侧。</w:t>
      </w:r>
    </w:p>
    <w:p w14:paraId="41D2D02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（4）弃土场应与原地形地势尽可能基本一致，工程结束后，弃土场外围不得堆存未利用的土石方、砂石料。</w:t>
      </w:r>
    </w:p>
    <w:p w14:paraId="4F87AB40">
      <w:pPr>
        <w:spacing w:before="156" w:beforeLines="50" w:after="156" w:after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7.1.1.4施工期对全线</w:t>
      </w:r>
      <w:r>
        <w:rPr>
          <w:rFonts w:ascii="Times New Roman" w:hAnsi="Times New Roman" w:cs="Times New Roman"/>
          <w:b/>
          <w:bCs/>
          <w:color w:val="000000" w:themeColor="text1"/>
          <w14:textFill>
            <w14:solidFill>
              <w14:schemeClr w14:val="tx1"/>
            </w14:solidFill>
          </w14:textFill>
        </w:rPr>
        <w:t>水土流失防治措施</w:t>
      </w:r>
    </w:p>
    <w:p w14:paraId="22C19C9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（1）加强施工管理，认真搞好施工组织设计，合理安排施工进度，将施工措施计划做深做细，尽量减少临时工程占地，缩短临时占地使用时间，及时恢复土地原有功能。</w:t>
      </w:r>
    </w:p>
    <w:p w14:paraId="78A19E6D">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（2）尽可能地缩短疏松地面、坡面的裸露时间，合理安排施工时间，避开大风和雨天施工。</w:t>
      </w:r>
    </w:p>
    <w:p w14:paraId="6B47BDA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（3）路基边坡在达到设计要求后应迅速进行防护，同时做好坡面、坡脚排水，做到施工一处，及时治理保护一处。</w:t>
      </w:r>
    </w:p>
    <w:p w14:paraId="3A4455E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（4）施工机械和施工人员要按照施工总体平面布置图进行作业，不得乱占土地，施工机械、土石及其他材料不得乱停乱放，防止破坏植被，加剧水土流失。</w:t>
      </w:r>
    </w:p>
    <w:p w14:paraId="6AA0B12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（5）施工期应限制施工区域，限制人的活动范围，所有车辆按选定的公路走</w:t>
      </w:r>
      <w:r>
        <w:rPr>
          <w:rFonts w:hint="eastAsia" w:ascii="Times New Roman" w:hAnsi="Times New Roman" w:cs="Times New Roman"/>
          <w:snapToGrid w:val="0"/>
          <w:color w:val="000000" w:themeColor="text1"/>
          <w:lang w:val="zh-CN"/>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一</w:t>
      </w:r>
      <w:r>
        <w:rPr>
          <w:rFonts w:hint="eastAsia" w:ascii="Times New Roman" w:hAnsi="Times New Roman" w:cs="Times New Roman"/>
          <w:snapToGrid w:val="0"/>
          <w:color w:val="000000" w:themeColor="text1"/>
          <w:lang w:val="zh-CN"/>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字型作业法，走同一车辙，避免加开新路，尽可能减少对地表的破坏。</w:t>
      </w:r>
    </w:p>
    <w:p w14:paraId="31B9C38C">
      <w:pPr>
        <w:spacing w:before="156" w:beforeLines="50" w:after="156" w:afterLines="50" w:line="360" w:lineRule="auto"/>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7.1.1.5陆生野生动物保护措施</w:t>
      </w:r>
    </w:p>
    <w:p w14:paraId="3E8F8E2D">
      <w:pPr>
        <w:spacing w:line="360" w:lineRule="auto"/>
        <w:ind w:firstLine="48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（1）避免措施</w:t>
      </w:r>
    </w:p>
    <w:p w14:paraId="244E36A8">
      <w:pPr>
        <w:spacing w:line="360" w:lineRule="auto"/>
        <w:ind w:firstLine="48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从保护生态与环境的角度出发，工程建设前，尽量做好施工规划前期工作。</w:t>
      </w:r>
      <w:r>
        <w:rPr>
          <w:rFonts w:ascii="Times New Roman" w:hAnsi="Times New Roman" w:cs="Times New Roman"/>
          <w:snapToGrid w:val="0"/>
          <w:color w:val="000000" w:themeColor="text1"/>
          <w14:textFill>
            <w14:solidFill>
              <w14:schemeClr w14:val="tx1"/>
            </w14:solidFill>
          </w14:textFill>
        </w:rPr>
        <w:t>严格控制施工范围，保护好</w:t>
      </w:r>
      <w:r>
        <w:rPr>
          <w:rFonts w:hint="eastAsia" w:ascii="Times New Roman" w:hAnsi="Times New Roman" w:cs="Times New Roman"/>
          <w:snapToGrid w:val="0"/>
          <w:color w:val="000000" w:themeColor="text1"/>
          <w14:textFill>
            <w14:solidFill>
              <w14:schemeClr w14:val="tx1"/>
            </w14:solidFill>
          </w14:textFill>
        </w:rPr>
        <w:t>野生动物</w:t>
      </w:r>
      <w:r>
        <w:rPr>
          <w:rFonts w:ascii="Times New Roman" w:hAnsi="Times New Roman" w:cs="Times New Roman"/>
          <w:snapToGrid w:val="0"/>
          <w:color w:val="000000" w:themeColor="text1"/>
          <w14:textFill>
            <w14:solidFill>
              <w14:schemeClr w14:val="tx1"/>
            </w14:solidFill>
          </w14:textFill>
        </w:rPr>
        <w:t>的觅食地</w:t>
      </w:r>
      <w:r>
        <w:rPr>
          <w:rFonts w:hint="eastAsia" w:ascii="Times New Roman" w:hAnsi="Times New Roman" w:cs="Times New Roman"/>
          <w:snapToGrid w:val="0"/>
          <w:color w:val="000000" w:themeColor="text1"/>
          <w14:textFill>
            <w14:solidFill>
              <w14:schemeClr w14:val="tx1"/>
            </w14:solidFill>
          </w14:textFill>
        </w:rPr>
        <w:t>、活动区域</w:t>
      </w:r>
      <w:r>
        <w:rPr>
          <w:rFonts w:ascii="Times New Roman" w:hAnsi="Times New Roman" w:cs="Times New Roman"/>
          <w:snapToGrid w:val="0"/>
          <w:color w:val="000000" w:themeColor="text1"/>
          <w14:textFill>
            <w14:solidFill>
              <w14:schemeClr w14:val="tx1"/>
            </w14:solidFill>
          </w14:textFill>
        </w:rPr>
        <w:t>。</w:t>
      </w:r>
    </w:p>
    <w:p w14:paraId="67938A7E">
      <w:pPr>
        <w:spacing w:line="360" w:lineRule="auto"/>
        <w:ind w:firstLine="48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（2）削减措施</w:t>
      </w:r>
    </w:p>
    <w:p w14:paraId="2234FE35">
      <w:pPr>
        <w:spacing w:line="360" w:lineRule="auto"/>
        <w:ind w:firstLine="48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施工单位应加强施工管理，加强施工区弃</w:t>
      </w:r>
      <w:r>
        <w:rPr>
          <w:rFonts w:hint="eastAsia" w:ascii="Times New Roman" w:hAnsi="Times New Roman" w:cs="Times New Roman"/>
          <w:snapToGrid w:val="0"/>
          <w:color w:val="000000" w:themeColor="text1"/>
          <w:lang w:val="zh-CN"/>
          <w14:textFill>
            <w14:solidFill>
              <w14:schemeClr w14:val="tx1"/>
            </w14:solidFill>
          </w14:textFill>
        </w:rPr>
        <w:t>土</w:t>
      </w:r>
      <w:r>
        <w:rPr>
          <w:rFonts w:ascii="Times New Roman" w:hAnsi="Times New Roman" w:cs="Times New Roman"/>
          <w:snapToGrid w:val="0"/>
          <w:color w:val="000000" w:themeColor="text1"/>
          <w:lang w:val="zh-CN"/>
          <w14:textFill>
            <w14:solidFill>
              <w14:schemeClr w14:val="tx1"/>
            </w14:solidFill>
          </w14:textFill>
        </w:rPr>
        <w:t>场的堆置和防护，</w:t>
      </w:r>
      <w:r>
        <w:rPr>
          <w:rFonts w:ascii="Times New Roman" w:hAnsi="Times New Roman" w:cs="Times New Roman"/>
          <w:snapToGrid w:val="0"/>
          <w:color w:val="000000" w:themeColor="text1"/>
          <w14:textFill>
            <w14:solidFill>
              <w14:schemeClr w14:val="tx1"/>
            </w14:solidFill>
          </w14:textFill>
        </w:rPr>
        <w:t>对工程废物和施工人员的生活垃圾进行彻底清理，尽量避免生活垃圾为鼠类等疫源性哺乳类提供生活环境。</w:t>
      </w:r>
      <w:r>
        <w:rPr>
          <w:rFonts w:ascii="Times New Roman" w:hAnsi="Times New Roman" w:cs="Times New Roman"/>
          <w:snapToGrid w:val="0"/>
          <w:color w:val="000000" w:themeColor="text1"/>
          <w:lang w:val="zh-CN"/>
          <w14:textFill>
            <w14:solidFill>
              <w14:schemeClr w14:val="tx1"/>
            </w14:solidFill>
          </w14:textFill>
        </w:rPr>
        <w:t>施工结束后，做好沿线植被的恢复工作，尽量减少植被破坏对水土流失、水质不利影响，最大限度保护</w:t>
      </w:r>
      <w:r>
        <w:rPr>
          <w:rFonts w:hint="eastAsia" w:ascii="Times New Roman" w:hAnsi="Times New Roman" w:cs="Times New Roman"/>
          <w:snapToGrid w:val="0"/>
          <w:color w:val="000000" w:themeColor="text1"/>
          <w:lang w:val="zh-CN"/>
          <w14:textFill>
            <w14:solidFill>
              <w14:schemeClr w14:val="tx1"/>
            </w14:solidFill>
          </w14:textFill>
        </w:rPr>
        <w:t>野生动物</w:t>
      </w:r>
      <w:r>
        <w:rPr>
          <w:rFonts w:ascii="Times New Roman" w:hAnsi="Times New Roman" w:cs="Times New Roman"/>
          <w:snapToGrid w:val="0"/>
          <w:color w:val="000000" w:themeColor="text1"/>
          <w:lang w:val="zh-CN"/>
          <w14:textFill>
            <w14:solidFill>
              <w14:schemeClr w14:val="tx1"/>
            </w14:solidFill>
          </w14:textFill>
        </w:rPr>
        <w:t>生境。</w:t>
      </w:r>
    </w:p>
    <w:p w14:paraId="66090973">
      <w:pPr>
        <w:spacing w:line="360" w:lineRule="auto"/>
        <w:ind w:firstLine="48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（3）恢复与补偿措施</w:t>
      </w:r>
    </w:p>
    <w:p w14:paraId="03BC6496">
      <w:pPr>
        <w:spacing w:line="360" w:lineRule="auto"/>
        <w:ind w:firstLine="48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减少灯光和噪声对野生动物造成的不利影响。</w:t>
      </w:r>
    </w:p>
    <w:p w14:paraId="6D6B7FDE">
      <w:pPr>
        <w:spacing w:line="360" w:lineRule="auto"/>
        <w:ind w:firstLine="48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（4）管理措施</w:t>
      </w:r>
    </w:p>
    <w:p w14:paraId="50155C63">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施工单位应对施工人员进行环保教育，让施工人员了解《中华人民共和国野生动物保护法》，提高施工人员的环保意识</w:t>
      </w:r>
      <w:bookmarkStart w:id="536" w:name="_Hlk171854918"/>
      <w:r>
        <w:rPr>
          <w:rFonts w:ascii="Times New Roman" w:hAnsi="Times New Roman" w:cs="Times New Roman"/>
          <w:snapToGrid w:val="0"/>
          <w:color w:val="000000" w:themeColor="text1"/>
          <w14:textFill>
            <w14:solidFill>
              <w14:schemeClr w14:val="tx1"/>
            </w14:solidFill>
          </w14:textFill>
        </w:rPr>
        <w:t>。</w:t>
      </w:r>
      <w:bookmarkEnd w:id="536"/>
    </w:p>
    <w:bookmarkEnd w:id="531"/>
    <w:bookmarkEnd w:id="532"/>
    <w:bookmarkEnd w:id="533"/>
    <w:bookmarkEnd w:id="534"/>
    <w:bookmarkEnd w:id="535"/>
    <w:p w14:paraId="5E861BCD">
      <w:pPr>
        <w:spacing w:before="156" w:beforeLines="50" w:after="156" w:afterLines="50" w:line="360" w:lineRule="auto"/>
        <w:outlineLvl w:val="3"/>
        <w:rPr>
          <w:rFonts w:ascii="Times New Roman" w:hAnsi="Times New Roman" w:cs="Times New Roman"/>
          <w:b/>
          <w:color w:val="000000" w:themeColor="text1"/>
          <w14:textFill>
            <w14:solidFill>
              <w14:schemeClr w14:val="tx1"/>
            </w14:solidFill>
          </w14:textFill>
        </w:rPr>
      </w:pPr>
      <w:bookmarkStart w:id="537" w:name="_Toc34989614"/>
      <w:bookmarkStart w:id="538" w:name="_Toc98414255"/>
      <w:bookmarkStart w:id="539" w:name="_Toc57826777"/>
      <w:bookmarkStart w:id="540" w:name="_Toc97464679"/>
      <w:bookmarkStart w:id="541" w:name="_Toc98413573"/>
      <w:r>
        <w:rPr>
          <w:rFonts w:ascii="Times New Roman" w:hAnsi="Times New Roman" w:cs="Times New Roman"/>
          <w:b/>
          <w:color w:val="000000" w:themeColor="text1"/>
          <w14:textFill>
            <w14:solidFill>
              <w14:schemeClr w14:val="tx1"/>
            </w14:solidFill>
          </w14:textFill>
        </w:rPr>
        <w:t>7.1.1.6施工管理要求</w:t>
      </w:r>
    </w:p>
    <w:p w14:paraId="59E57F8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1）严格按照设计文件确定征占土地范围，严格控制路基开挖施工作业面，避免超挖破坏周围植被。</w:t>
      </w:r>
    </w:p>
    <w:p w14:paraId="5459779D">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（2）划定施工范围，严禁施工人员和器械超出施工区域。通报所有施工人员活动规则并在施工综合场站、公路沿线等设置警示标牌，任何施工人员不得越过红线施工或任意活动，以减小施工</w:t>
      </w:r>
      <w:r>
        <w:rPr>
          <w:rFonts w:hint="eastAsia" w:ascii="Times New Roman" w:hAnsi="Times New Roman" w:cs="Times New Roman"/>
          <w:snapToGrid w:val="0"/>
          <w:color w:val="000000" w:themeColor="text1"/>
          <w:lang w:val="zh-CN"/>
          <w14:textFill>
            <w14:solidFill>
              <w14:schemeClr w14:val="tx1"/>
            </w14:solidFill>
          </w14:textFill>
        </w:rPr>
        <w:t>活动影响公路</w:t>
      </w:r>
      <w:r>
        <w:rPr>
          <w:rFonts w:ascii="Times New Roman" w:hAnsi="Times New Roman" w:cs="Times New Roman"/>
          <w:snapToGrid w:val="0"/>
          <w:color w:val="000000" w:themeColor="text1"/>
          <w:lang w:val="zh-CN"/>
          <w14:textFill>
            <w14:solidFill>
              <w14:schemeClr w14:val="tx1"/>
            </w14:solidFill>
          </w14:textFill>
        </w:rPr>
        <w:t>周围植被的影响。</w:t>
      </w:r>
    </w:p>
    <w:p w14:paraId="074EB6A1">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r>
        <w:rPr>
          <w:rFonts w:ascii="Times New Roman" w:hAnsi="Times New Roman" w:cs="Times New Roman"/>
          <w:color w:val="000000" w:themeColor="text1"/>
          <w:sz w:val="30"/>
          <w14:textFill>
            <w14:solidFill>
              <w14:schemeClr w14:val="tx1"/>
            </w14:solidFill>
          </w14:textFill>
        </w:rPr>
        <w:t>7.1.2营运期生态保护措施</w:t>
      </w:r>
      <w:bookmarkEnd w:id="537"/>
      <w:bookmarkEnd w:id="538"/>
      <w:bookmarkEnd w:id="539"/>
      <w:bookmarkEnd w:id="540"/>
      <w:bookmarkEnd w:id="541"/>
    </w:p>
    <w:p w14:paraId="71C0E3E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车辆需按规定速度从区域通过，不得逗留。设明显标识标牌，禁止往车外扔垃圾。安排维护人员定期清理公路沿线垃圾。营运期，公路管理部门要接受生态功能保护管理部门的监督。</w:t>
      </w:r>
    </w:p>
    <w:p w14:paraId="0FF2FAB8">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采取有效措施，防止和减少各类污染以及危险物品运输、交通事故等对环境生态的破坏和潜在危险。完善危险品运输的管理及抢救对策。</w:t>
      </w:r>
    </w:p>
    <w:p w14:paraId="77891F8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加强对公路沿线生态环境的管理、保护、巡护工作。实施维护工作时应尽力避免影响野生动物正常的活动。</w:t>
      </w:r>
    </w:p>
    <w:p w14:paraId="628AC70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由于受严酷的自然条件限制，工程施工结束后，不具备恢复乔灌植被条件，可采取撒播草籽进行初级防护。</w:t>
      </w:r>
    </w:p>
    <w:p w14:paraId="0102E4E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施工结束后对弃土场、综合场站、全线施工便道进行绿化保护，根据初设计划撒播草籽4</w:t>
      </w:r>
      <w:r>
        <w:rPr>
          <w:rFonts w:ascii="Times New Roman" w:hAnsi="Times New Roman" w:cs="Times New Roman"/>
          <w:snapToGrid w:val="0"/>
          <w:color w:val="000000" w:themeColor="text1"/>
          <w:lang w:val="zh-CN"/>
          <w14:textFill>
            <w14:solidFill>
              <w14:schemeClr w14:val="tx1"/>
            </w14:solidFill>
          </w14:textFill>
        </w:rPr>
        <w:t>19.9</w:t>
      </w:r>
      <w:r>
        <w:rPr>
          <w:rFonts w:hint="eastAsia" w:ascii="Times New Roman" w:hAnsi="Times New Roman" w:cs="Times New Roman"/>
          <w:snapToGrid w:val="0"/>
          <w:color w:val="000000" w:themeColor="text1"/>
          <w:lang w:val="zh-CN"/>
          <w14:textFill>
            <w14:solidFill>
              <w14:schemeClr w14:val="tx1"/>
            </w14:solidFill>
          </w14:textFill>
        </w:rPr>
        <w:t>亩。</w:t>
      </w:r>
    </w:p>
    <w:bookmarkEnd w:id="529"/>
    <w:bookmarkEnd w:id="530"/>
    <w:p w14:paraId="67149868">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542" w:name="_Toc4507867"/>
      <w:bookmarkStart w:id="543" w:name="_Toc185408983"/>
      <w:bookmarkStart w:id="544" w:name="_Toc316561735"/>
      <w:bookmarkStart w:id="545" w:name="_Toc381606082"/>
      <w:bookmarkStart w:id="546" w:name="_Toc316511169"/>
      <w:bookmarkStart w:id="547" w:name="_Toc187675436"/>
      <w:bookmarkStart w:id="548" w:name="_Toc98413574"/>
      <w:r>
        <w:rPr>
          <w:rFonts w:ascii="Times New Roman" w:hAnsi="Times New Roman" w:cs="Times New Roman"/>
          <w:color w:val="000000" w:themeColor="text1"/>
          <w14:textFill>
            <w14:solidFill>
              <w14:schemeClr w14:val="tx1"/>
            </w14:solidFill>
          </w14:textFill>
        </w:rPr>
        <w:t>7.</w:t>
      </w:r>
      <w:bookmarkEnd w:id="542"/>
      <w:bookmarkEnd w:id="543"/>
      <w:bookmarkEnd w:id="544"/>
      <w:bookmarkEnd w:id="545"/>
      <w:bookmarkEnd w:id="546"/>
      <w:r>
        <w:rPr>
          <w:rFonts w:ascii="Times New Roman" w:hAnsi="Times New Roman" w:cs="Times New Roman"/>
          <w:color w:val="000000" w:themeColor="text1"/>
          <w14:textFill>
            <w14:solidFill>
              <w14:schemeClr w14:val="tx1"/>
            </w14:solidFill>
          </w14:textFill>
        </w:rPr>
        <w:t>2环境空气污染防治措施</w:t>
      </w:r>
      <w:bookmarkEnd w:id="547"/>
      <w:bookmarkEnd w:id="548"/>
    </w:p>
    <w:p w14:paraId="1C27BEDA">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bookmarkStart w:id="549" w:name="_Toc97464681"/>
      <w:bookmarkStart w:id="550" w:name="_Toc98413575"/>
      <w:bookmarkStart w:id="551" w:name="_Toc98414257"/>
      <w:bookmarkStart w:id="552" w:name="_Toc34989616"/>
      <w:bookmarkStart w:id="553" w:name="_Toc57826779"/>
      <w:r>
        <w:rPr>
          <w:rFonts w:ascii="Times New Roman" w:hAnsi="Times New Roman" w:cs="Times New Roman"/>
          <w:color w:val="000000" w:themeColor="text1"/>
          <w:sz w:val="30"/>
          <w14:textFill>
            <w14:solidFill>
              <w14:schemeClr w14:val="tx1"/>
            </w14:solidFill>
          </w14:textFill>
        </w:rPr>
        <w:t>7.2.1施工期</w:t>
      </w:r>
      <w:bookmarkEnd w:id="549"/>
      <w:bookmarkEnd w:id="550"/>
      <w:bookmarkEnd w:id="551"/>
      <w:bookmarkEnd w:id="552"/>
      <w:bookmarkEnd w:id="553"/>
    </w:p>
    <w:p w14:paraId="3BD173CF">
      <w:pPr>
        <w:pStyle w:val="5"/>
        <w:keepLines/>
        <w:topLinePunct/>
        <w:autoSpaceDE/>
        <w:adjustRightInd/>
        <w:spacing w:before="100" w:beforeLines="0" w:beforeAutospacing="1" w:after="156"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7.2.1.1施工扬尘污染防治要求</w:t>
      </w:r>
    </w:p>
    <w:p w14:paraId="6D549208">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工程在施工中装卸、堆放过程中会产生扬尘污染，为减缓项目地区环境空气中的TSP污染，施工单位应严格执行国家、自治区的相关规定，采取如下措施：</w:t>
      </w:r>
    </w:p>
    <w:p w14:paraId="607321D5">
      <w:pPr>
        <w:spacing w:line="360" w:lineRule="auto"/>
        <w:ind w:firstLine="482" w:firstLineChars="200"/>
        <w:jc w:val="both"/>
        <w:rPr>
          <w:rFonts w:ascii="Times New Roman" w:hAnsi="Times New Roman" w:cs="Times New Roman"/>
          <w:b/>
          <w:snapToGrid w:val="0"/>
          <w:color w:val="000000" w:themeColor="text1"/>
          <w:lang w:val="zh-CN"/>
          <w14:textFill>
            <w14:solidFill>
              <w14:schemeClr w14:val="tx1"/>
            </w14:solidFill>
          </w14:textFill>
        </w:rPr>
      </w:pPr>
      <w:r>
        <w:rPr>
          <w:rFonts w:ascii="Times New Roman" w:hAnsi="Times New Roman" w:cs="Times New Roman"/>
          <w:b/>
          <w:snapToGrid w:val="0"/>
          <w:color w:val="000000" w:themeColor="text1"/>
          <w:lang w:val="zh-CN"/>
          <w14:textFill>
            <w14:solidFill>
              <w14:schemeClr w14:val="tx1"/>
            </w14:solidFill>
          </w14:textFill>
        </w:rPr>
        <w:t>（1）施工场地管理</w:t>
      </w:r>
    </w:p>
    <w:p w14:paraId="3BE5DBF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施工工地出口处应当设置冲洗设施以及配套的排水、泥浆沉淀设施，运输车辆驶出施工现场前应当将槽帮和车轮冲洗干净。</w:t>
      </w:r>
    </w:p>
    <w:p w14:paraId="7C35838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施工工地应当硬化并保持清洁；闲置三个月以上的施工工地，应当对其裸露泥地进行临时绿化或者采用铺装等防尘措施。</w:t>
      </w:r>
    </w:p>
    <w:p w14:paraId="2C03AD3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3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施工综合场站地面应进行硬化处理，并设置冲洗水导流槽，通往沉淀池。</w:t>
      </w:r>
    </w:p>
    <w:p w14:paraId="24198C8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4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④</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各施工段应设置1名专职环境保护管理人员，指导和管理施工现场的工程弃土、建筑垃圾的处置、清运、堆放和场地恢复</w:t>
      </w:r>
      <w:r>
        <w:rPr>
          <w:rFonts w:hint="eastAsia" w:ascii="Times New Roman" w:hAnsi="Times New Roman" w:cs="Times New Roman"/>
          <w:snapToGrid w:val="0"/>
          <w:color w:val="000000" w:themeColor="text1"/>
          <w:lang w:val="zh-CN"/>
          <w14:textFill>
            <w14:solidFill>
              <w14:schemeClr w14:val="tx1"/>
            </w14:solidFill>
          </w14:textFill>
        </w:rPr>
        <w:t>等</w:t>
      </w:r>
      <w:r>
        <w:rPr>
          <w:rFonts w:ascii="Times New Roman" w:hAnsi="Times New Roman" w:cs="Times New Roman"/>
          <w:snapToGrid w:val="0"/>
          <w:color w:val="000000" w:themeColor="text1"/>
          <w:lang w:val="zh-CN"/>
          <w14:textFill>
            <w14:solidFill>
              <w14:schemeClr w14:val="tx1"/>
            </w14:solidFill>
          </w14:textFill>
        </w:rPr>
        <w:t>，清除进出施工现场道路上的泥土、弃料等，以减少二次扬尘。</w:t>
      </w:r>
    </w:p>
    <w:p w14:paraId="0330AD3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⑤</w:t>
      </w:r>
      <w:r>
        <w:rPr>
          <w:rFonts w:ascii="Times New Roman" w:hAnsi="Times New Roman" w:cs="Times New Roman"/>
          <w:snapToGrid w:val="0"/>
          <w:color w:val="000000" w:themeColor="text1"/>
          <w:lang w:val="zh-CN"/>
          <w14:textFill>
            <w14:solidFill>
              <w14:schemeClr w14:val="tx1"/>
            </w14:solidFill>
          </w14:textFill>
        </w:rPr>
        <w:t>加强施工现场管理，强化文明施工与作业。在选择施工单位时，建设单位应将施工期的环境减缓措施写入合同文本中，并加强督促与检查，确保施工期的环境减缓措施落到实处。</w:t>
      </w:r>
    </w:p>
    <w:p w14:paraId="7D72348D">
      <w:pPr>
        <w:spacing w:line="360" w:lineRule="auto"/>
        <w:ind w:firstLine="482" w:firstLineChars="200"/>
        <w:jc w:val="both"/>
        <w:rPr>
          <w:rFonts w:ascii="Times New Roman" w:hAnsi="Times New Roman" w:cs="Times New Roman"/>
          <w:b/>
          <w:snapToGrid w:val="0"/>
          <w:color w:val="000000" w:themeColor="text1"/>
          <w:lang w:val="zh-CN"/>
          <w14:textFill>
            <w14:solidFill>
              <w14:schemeClr w14:val="tx1"/>
            </w14:solidFill>
          </w14:textFill>
        </w:rPr>
      </w:pPr>
      <w:r>
        <w:rPr>
          <w:rFonts w:ascii="Times New Roman" w:hAnsi="Times New Roman" w:cs="Times New Roman"/>
          <w:b/>
          <w:snapToGrid w:val="0"/>
          <w:color w:val="000000" w:themeColor="text1"/>
          <w:lang w:val="zh-CN"/>
          <w14:textFill>
            <w14:solidFill>
              <w14:schemeClr w14:val="tx1"/>
            </w14:solidFill>
          </w14:textFill>
        </w:rPr>
        <w:t>（2）道路运输防尘</w:t>
      </w:r>
    </w:p>
    <w:p w14:paraId="2157050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施工场地应配备洒水车定期清扫洒水，特别是风沙区要加强洒水降尘，保证道路表面密实、湿润，防止因土质松散、干燥而产生扬尘。</w:t>
      </w:r>
    </w:p>
    <w:p w14:paraId="2269AFF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土方和散货物料的运输采用密闭方式，运输车辆的车厢应配备顶棚或遮盖物，运输路线尽量避开集中居住区，并对车辆经过的道路进行洒水降尘，以减少扬尘污染；对于不慎洒落的废渣、材料等派专人负责清扫，避免引起二次扬尘污染。</w:t>
      </w:r>
    </w:p>
    <w:p w14:paraId="4B918F2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土方、水泥和石灰等散装物料运输、临时存放和装卸过程中，应采取防风遮挡措施或降尘措施。</w:t>
      </w:r>
    </w:p>
    <w:p w14:paraId="2A2E540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④</w:t>
      </w:r>
      <w:r>
        <w:rPr>
          <w:rFonts w:ascii="Times New Roman" w:hAnsi="Times New Roman" w:cs="Times New Roman"/>
          <w:snapToGrid w:val="0"/>
          <w:color w:val="000000" w:themeColor="text1"/>
          <w:lang w:val="zh-CN"/>
          <w14:textFill>
            <w14:solidFill>
              <w14:schemeClr w14:val="tx1"/>
            </w14:solidFill>
          </w14:textFill>
        </w:rPr>
        <w:t>设置限速标志牌，控制场内车辆行驶速度小于20km/h。</w:t>
      </w:r>
    </w:p>
    <w:p w14:paraId="4E5AE14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⑤</w:t>
      </w:r>
      <w:r>
        <w:rPr>
          <w:rFonts w:ascii="Times New Roman" w:hAnsi="Times New Roman" w:cs="Times New Roman"/>
          <w:snapToGrid w:val="0"/>
          <w:color w:val="000000" w:themeColor="text1"/>
          <w:lang w:val="zh-CN"/>
          <w14:textFill>
            <w14:solidFill>
              <w14:schemeClr w14:val="tx1"/>
            </w14:solidFill>
          </w14:textFill>
        </w:rPr>
        <w:t>建设单位应合理设计材料运输路线，运输道路。</w:t>
      </w:r>
    </w:p>
    <w:p w14:paraId="0F81D609">
      <w:pPr>
        <w:spacing w:line="360" w:lineRule="auto"/>
        <w:ind w:firstLine="482" w:firstLineChars="200"/>
        <w:jc w:val="both"/>
        <w:rPr>
          <w:rFonts w:ascii="Times New Roman" w:hAnsi="Times New Roman" w:cs="Times New Roman"/>
          <w:b/>
          <w:snapToGrid w:val="0"/>
          <w:color w:val="000000" w:themeColor="text1"/>
          <w:lang w:val="zh-CN"/>
          <w14:textFill>
            <w14:solidFill>
              <w14:schemeClr w14:val="tx1"/>
            </w14:solidFill>
          </w14:textFill>
        </w:rPr>
      </w:pPr>
      <w:r>
        <w:rPr>
          <w:rFonts w:ascii="Times New Roman" w:hAnsi="Times New Roman" w:cs="Times New Roman"/>
          <w:b/>
          <w:snapToGrid w:val="0"/>
          <w:color w:val="000000" w:themeColor="text1"/>
          <w:lang w:val="zh-CN"/>
          <w14:textFill>
            <w14:solidFill>
              <w14:schemeClr w14:val="tx1"/>
            </w14:solidFill>
          </w14:textFill>
        </w:rPr>
        <w:t>（3）材料堆场防尘</w:t>
      </w:r>
    </w:p>
    <w:p w14:paraId="02FCDE4E">
      <w:pPr>
        <w:pStyle w:val="426"/>
        <w:spacing w:line="360" w:lineRule="auto"/>
        <w:ind w:firstLine="48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1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土方、石灰、黄沙、水泥等散货物料的堆场四周设置围挡防风，控制堆垛的堆存高度小于5m。</w:t>
      </w:r>
    </w:p>
    <w:p w14:paraId="39E9114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2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土方、风积沙堆场采取定期洒水措施，保证堆垛的湿润，并配备篷布遮盖。</w:t>
      </w:r>
    </w:p>
    <w:p w14:paraId="3D49B54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石灰、水泥等不宜洒水的物料应贮存在三面封闭的堆场内，上部设置防雨顶棚。</w:t>
      </w:r>
    </w:p>
    <w:p w14:paraId="4FBD454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④</w:t>
      </w:r>
      <w:r>
        <w:rPr>
          <w:rFonts w:ascii="Times New Roman" w:hAnsi="Times New Roman" w:cs="Times New Roman"/>
          <w:snapToGrid w:val="0"/>
          <w:color w:val="000000" w:themeColor="text1"/>
          <w:lang w:val="zh-CN"/>
          <w14:textFill>
            <w14:solidFill>
              <w14:schemeClr w14:val="tx1"/>
            </w14:solidFill>
          </w14:textFill>
        </w:rPr>
        <w:t>施工工地内的散装物料和建筑垃圾应当遮盖或者在库房内存放，不得在施工工地外堆放。</w:t>
      </w:r>
    </w:p>
    <w:p w14:paraId="2B16B93D">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⑤制定</w:t>
      </w:r>
      <w:r>
        <w:rPr>
          <w:rFonts w:ascii="Times New Roman" w:hAnsi="Times New Roman" w:cs="Times New Roman"/>
          <w:snapToGrid w:val="0"/>
          <w:color w:val="000000" w:themeColor="text1"/>
          <w:lang w:val="zh-CN"/>
          <w14:textFill>
            <w14:solidFill>
              <w14:schemeClr w14:val="tx1"/>
            </w14:solidFill>
          </w14:textFill>
        </w:rPr>
        <w:t>合理的施工计划，合理调配施工物料，物料根据施工实际进度由产地调运进场，尽量减少堆场的堆存量和堆存周期。</w:t>
      </w:r>
    </w:p>
    <w:p w14:paraId="21CD1ED8">
      <w:pPr>
        <w:spacing w:line="360" w:lineRule="auto"/>
        <w:ind w:firstLine="482" w:firstLineChars="200"/>
        <w:jc w:val="both"/>
        <w:rPr>
          <w:rFonts w:ascii="Times New Roman" w:hAnsi="Times New Roman" w:cs="Times New Roman"/>
          <w:b/>
          <w:snapToGrid w:val="0"/>
          <w:color w:val="000000" w:themeColor="text1"/>
          <w:lang w:val="zh-CN"/>
          <w14:textFill>
            <w14:solidFill>
              <w14:schemeClr w14:val="tx1"/>
            </w14:solidFill>
          </w14:textFill>
        </w:rPr>
      </w:pPr>
      <w:r>
        <w:rPr>
          <w:rFonts w:ascii="Times New Roman" w:hAnsi="Times New Roman" w:cs="Times New Roman"/>
          <w:b/>
          <w:snapToGrid w:val="0"/>
          <w:color w:val="000000" w:themeColor="text1"/>
          <w:lang w:val="zh-CN"/>
          <w14:textFill>
            <w14:solidFill>
              <w14:schemeClr w14:val="tx1"/>
            </w14:solidFill>
          </w14:textFill>
        </w:rPr>
        <w:t>（4）土方及路基路面施工防尘</w:t>
      </w:r>
    </w:p>
    <w:p w14:paraId="55251B7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土方堆场集中布置在项目占地红线内，控制土方堆垛的高度不超过5m，并配备篷布覆盖，施工现场不得有裸露土堆。</w:t>
      </w:r>
    </w:p>
    <w:p w14:paraId="0B9B534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土方作业前采取洒水措施，保证土方的湿润。根据路基填筑进度安排运土计划，尽量做到运土、拌合、填筑过程顺畅衔接，减少土方的临时堆存时间。</w:t>
      </w:r>
    </w:p>
    <w:p w14:paraId="60D6F40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路基路面填筑时，及时压实，未完工路面及时洒水并用篷布覆盖，不得裸露。避免在大风天气进行施工。</w:t>
      </w:r>
    </w:p>
    <w:p w14:paraId="315DA37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④</w:t>
      </w:r>
      <w:r>
        <w:rPr>
          <w:rFonts w:ascii="Times New Roman" w:hAnsi="Times New Roman" w:cs="Times New Roman"/>
          <w:snapToGrid w:val="0"/>
          <w:color w:val="000000" w:themeColor="text1"/>
          <w:lang w:val="zh-CN"/>
          <w14:textFill>
            <w14:solidFill>
              <w14:schemeClr w14:val="tx1"/>
            </w14:solidFill>
          </w14:textFill>
        </w:rPr>
        <w:t>遇天气久旱，对堆放的风积沙，开挖的土方，工地地面等易产生扬尘的部位应经常洒水；遇恶劣天气减少堆存量并及时利用，设置围栏，定时洒水防尘；</w:t>
      </w:r>
    </w:p>
    <w:p w14:paraId="7053DE2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⑤</w:t>
      </w:r>
      <w:r>
        <w:rPr>
          <w:rFonts w:ascii="Times New Roman" w:hAnsi="Times New Roman" w:cs="Times New Roman"/>
          <w:snapToGrid w:val="0"/>
          <w:color w:val="000000" w:themeColor="text1"/>
          <w:lang w:val="zh-CN"/>
          <w14:textFill>
            <w14:solidFill>
              <w14:schemeClr w14:val="tx1"/>
            </w14:solidFill>
          </w14:textFill>
        </w:rPr>
        <w:t>工程土方开挖前施工单位应做好建筑垃圾和生活垃圾分类密闭存放装置、沙土覆盖、工地路面硬化和生活区合理规划等工作。</w:t>
      </w:r>
    </w:p>
    <w:p w14:paraId="5C7F19B2">
      <w:pPr>
        <w:spacing w:line="360" w:lineRule="auto"/>
        <w:ind w:firstLine="482" w:firstLineChars="200"/>
        <w:jc w:val="both"/>
        <w:rPr>
          <w:rFonts w:ascii="Times New Roman" w:hAnsi="Times New Roman" w:cs="Times New Roman"/>
          <w:b/>
          <w:snapToGrid w:val="0"/>
          <w:color w:val="000000" w:themeColor="text1"/>
          <w:lang w:val="zh-CN"/>
          <w14:textFill>
            <w14:solidFill>
              <w14:schemeClr w14:val="tx1"/>
            </w14:solidFill>
          </w14:textFill>
        </w:rPr>
      </w:pPr>
      <w:r>
        <w:rPr>
          <w:rFonts w:ascii="Times New Roman" w:hAnsi="Times New Roman" w:cs="Times New Roman"/>
          <w:b/>
          <w:snapToGrid w:val="0"/>
          <w:color w:val="000000" w:themeColor="text1"/>
          <w:lang w:val="zh-CN"/>
          <w14:textFill>
            <w14:solidFill>
              <w14:schemeClr w14:val="tx1"/>
            </w14:solidFill>
          </w14:textFill>
        </w:rPr>
        <w:t>（5）取料场（弃土场）防尘</w:t>
      </w:r>
    </w:p>
    <w:p w14:paraId="1309A818">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1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禁止在干旱大风天气禁止取土、弃土。</w:t>
      </w:r>
    </w:p>
    <w:p w14:paraId="74825FC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2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取土、弃土运输过程中做好三防措施：即防尘、防遗洒、防噪，具体为施工道路采用砂石路面，并经常洒水降尘；车辆运输土石料的过程中进行</w:t>
      </w:r>
      <w:r>
        <w:rPr>
          <w:rFonts w:hint="eastAsia" w:ascii="Times New Roman" w:hAnsi="Times New Roman" w:cs="Times New Roman"/>
          <w:snapToGrid w:val="0"/>
          <w:color w:val="000000" w:themeColor="text1"/>
          <w:lang w:val="zh-CN"/>
          <w14:textFill>
            <w14:solidFill>
              <w14:schemeClr w14:val="tx1"/>
            </w14:solidFill>
          </w14:textFill>
        </w:rPr>
        <w:t>苫盖</w:t>
      </w:r>
      <w:r>
        <w:rPr>
          <w:rFonts w:ascii="Times New Roman" w:hAnsi="Times New Roman" w:cs="Times New Roman"/>
          <w:snapToGrid w:val="0"/>
          <w:color w:val="000000" w:themeColor="text1"/>
          <w:lang w:val="zh-CN"/>
          <w14:textFill>
            <w14:solidFill>
              <w14:schemeClr w14:val="tx1"/>
            </w14:solidFill>
          </w14:textFill>
        </w:rPr>
        <w:t>、密闭；运输车辆加强维护、保养，减轻车辆噪声，施工道路尽量远离村民点，夜间24:00~08:00时间段禁止施工。</w:t>
      </w:r>
    </w:p>
    <w:p w14:paraId="48A25FC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3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严格控制运料车装料数量，避免沿路抛洒；在卸运时采用有效方法削减扬尘污染；弃渣运送时，要加盖蓬布，做到不散落。</w:t>
      </w:r>
    </w:p>
    <w:p w14:paraId="1841AF43">
      <w:pPr>
        <w:spacing w:line="360" w:lineRule="auto"/>
        <w:ind w:firstLine="482" w:firstLineChars="200"/>
        <w:jc w:val="both"/>
        <w:rPr>
          <w:rFonts w:ascii="Times New Roman" w:hAnsi="Times New Roman" w:cs="Times New Roman"/>
          <w:b/>
          <w:snapToGrid w:val="0"/>
          <w:color w:val="000000" w:themeColor="text1"/>
          <w:lang w:val="zh-CN"/>
          <w14:textFill>
            <w14:solidFill>
              <w14:schemeClr w14:val="tx1"/>
            </w14:solidFill>
          </w14:textFill>
        </w:rPr>
      </w:pPr>
      <w:r>
        <w:rPr>
          <w:rFonts w:ascii="Times New Roman" w:hAnsi="Times New Roman" w:cs="Times New Roman"/>
          <w:b/>
          <w:snapToGrid w:val="0"/>
          <w:color w:val="000000" w:themeColor="text1"/>
          <w:lang w:val="zh-CN"/>
          <w14:textFill>
            <w14:solidFill>
              <w14:schemeClr w14:val="tx1"/>
            </w14:solidFill>
          </w14:textFill>
        </w:rPr>
        <w:t>（6）拌合站和预制场防尘</w:t>
      </w:r>
    </w:p>
    <w:p w14:paraId="2AED5FE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水稳混凝土拌合站、水泥混凝土拌合站和预制场要求设置硬质围挡，站内洒水抑尘、定期冲洗地面和车辆。</w:t>
      </w:r>
    </w:p>
    <w:p w14:paraId="6F83F99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拌合站采取全封闭车间化生产，原材料、上料、配料、搅拌设备以及料仓存料库全封闭，砂石料拌合采用集中站拌方式，拌合站四周设置围挡防风阻尘，</w:t>
      </w:r>
      <w:r>
        <w:rPr>
          <w:rFonts w:ascii="Times New Roman" w:hAnsi="Times New Roman" w:cs="Times New Roman"/>
          <w:snapToGrid w:val="0"/>
          <w:color w:val="000000" w:themeColor="text1"/>
          <w14:textFill>
            <w14:solidFill>
              <w14:schemeClr w14:val="tx1"/>
            </w14:solidFill>
          </w14:textFill>
        </w:rPr>
        <w:t>混凝土拌合站的筒仓含尘废气经仓顶脉冲布袋除尘器处理后排放，废气中颗粒物排放浓度均满足《水泥工业大气污染物排放标准》（GB4915-2013）中表1散装水泥中转站及水泥制品生产排放限值（颗粒物≤20</w:t>
      </w:r>
      <w:r>
        <w:rPr>
          <w:rFonts w:ascii="Times New Roman" w:hAnsi="Times New Roman" w:cs="Times New Roman"/>
          <w:color w:val="000000" w:themeColor="text1"/>
          <w14:textFill>
            <w14:solidFill>
              <w14:schemeClr w14:val="tx1"/>
            </w14:solidFill>
          </w14:textFill>
        </w:rPr>
        <w:t xml:space="preserve"> 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）要求。</w:t>
      </w:r>
      <w:r>
        <w:rPr>
          <w:rFonts w:ascii="Times New Roman" w:hAnsi="Times New Roman" w:cs="Times New Roman"/>
          <w:color w:val="000000" w:themeColor="text1"/>
          <w14:textFill>
            <w14:solidFill>
              <w14:schemeClr w14:val="tx1"/>
            </w14:solidFill>
          </w14:textFill>
        </w:rPr>
        <w:t>在沥青拌合站设置除尘收集装置，防治扬尘污染。</w:t>
      </w:r>
      <w:bookmarkStart w:id="554" w:name="_Hlk154571933"/>
      <w:r>
        <w:rPr>
          <w:rFonts w:ascii="Times New Roman" w:hAnsi="Times New Roman" w:cs="Times New Roman"/>
          <w:color w:val="000000" w:themeColor="text1"/>
          <w14:textFill>
            <w14:solidFill>
              <w14:schemeClr w14:val="tx1"/>
            </w14:solidFill>
          </w14:textFill>
        </w:rPr>
        <w:t>沥青拌合站采用封闭式筒仓熬制沥青密闭作业，沥青烟气通过筒仓顶部排气孔排出，排气孔设置布袋除尘器。选取先进的沥青混凝土拌合设备，配备除尘设备、沥青烟净化和排放设施，保证沥青烟气达标排放，即沥青烟的排放浓度满足《大气污染物综合排放标准》（GB16297-1996）中沥青烟建筑搅拌的排放要求，即：75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bookmarkEnd w:id="554"/>
    </w:p>
    <w:p w14:paraId="350B71F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拌合站和预制场应定时清扫、洒水，每天至少两次（上、下班），在经过人员密集地区要加强洒水密度和强度。</w:t>
      </w:r>
    </w:p>
    <w:p w14:paraId="13211097">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④</w:t>
      </w:r>
      <w:r>
        <w:rPr>
          <w:rFonts w:ascii="Times New Roman" w:hAnsi="Times New Roman" w:cs="Times New Roman"/>
          <w:snapToGrid w:val="0"/>
          <w:color w:val="000000" w:themeColor="text1"/>
          <w:lang w:val="zh-CN"/>
          <w14:textFill>
            <w14:solidFill>
              <w14:schemeClr w14:val="tx1"/>
            </w14:solidFill>
          </w14:textFill>
        </w:rPr>
        <w:t>严格控制运料车装料数量，避免沿路抛洒；水泥等粉细散装材料在卸运时采用有效方法削减扬尘污染；弃渣运送时，要加盖蓬布，做到不散落。</w:t>
      </w:r>
    </w:p>
    <w:p w14:paraId="7686393C">
      <w:pPr>
        <w:pStyle w:val="5"/>
        <w:keepLines/>
        <w:topLinePunct/>
        <w:autoSpaceDE/>
        <w:adjustRightInd/>
        <w:spacing w:before="100" w:beforeLines="0" w:beforeAutospacing="1" w:after="156" w:line="240" w:lineRule="auto"/>
        <w:jc w:val="both"/>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7.2.1.2施工沥青烟气防治</w:t>
      </w:r>
    </w:p>
    <w:p w14:paraId="164E9E7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阶段的沥青烟气主要出现在沥青拌合和路面铺设过程中。由于本项目沥青由外购成品提供，施工过程不涉及沥青熬炼过程，仅涉及搅拌过程，按照《公路环境保护设计规范》（JTGB04-2010）的要求，采取以下措施：</w:t>
      </w:r>
    </w:p>
    <w:p w14:paraId="61223C2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1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拌合站边界设置硬质围挡，选用先进的拌合设备。</w:t>
      </w:r>
    </w:p>
    <w:p w14:paraId="796BA1B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沥青拌合站导热油炉、物料烘干筒所使用燃料必须使用柴油等清洁能源，不得使用高污染燃料。</w:t>
      </w:r>
    </w:p>
    <w:p w14:paraId="31274CE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沥青加热罐、输送斗车、搅拌缸设置集气罩，由风量不小于200m³/min的引风机收集烟气。</w:t>
      </w:r>
    </w:p>
    <w:p w14:paraId="4BBF3ED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④</w:t>
      </w:r>
      <w:r>
        <w:rPr>
          <w:rFonts w:ascii="Times New Roman" w:hAnsi="Times New Roman" w:cs="Times New Roman"/>
          <w:snapToGrid w:val="0"/>
          <w:color w:val="000000" w:themeColor="text1"/>
          <w:lang w:val="zh-CN"/>
          <w14:textFill>
            <w14:solidFill>
              <w14:schemeClr w14:val="tx1"/>
            </w14:solidFill>
          </w14:textFill>
        </w:rPr>
        <w:t>烟气收集管道下游设置烟气净化装置净化烟气，经净化的烟气由15m高的排气筒排放。为确保沥青烟气处理效率，沥青烟气采用烟气净化装置进行处理，去除苯并芘、轻质芳烃溶剂等VOC类污染物，根据采用类似工艺的沥青混凝土拌合站烟气出口监测结果，沥青烟和苯并[a]芘出口浓度可满足《大气污染物综合排放标准》（GB16297-1996）表2中的二级排放标准要求。</w:t>
      </w:r>
    </w:p>
    <w:p w14:paraId="02DBC6E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⑤</w:t>
      </w:r>
      <w:r>
        <w:rPr>
          <w:rFonts w:ascii="Times New Roman" w:hAnsi="Times New Roman" w:cs="Times New Roman"/>
          <w:snapToGrid w:val="0"/>
          <w:color w:val="000000" w:themeColor="text1"/>
          <w:lang w:val="zh-CN"/>
          <w14:textFill>
            <w14:solidFill>
              <w14:schemeClr w14:val="tx1"/>
            </w14:solidFill>
          </w14:textFill>
        </w:rPr>
        <w:t>采用先进的拌合设备，采用布袋除尘、骨料四周设置围挡，并覆盖毡布，减小粉尘的影响。</w:t>
      </w:r>
    </w:p>
    <w:p w14:paraId="446985B9">
      <w:pPr>
        <w:pStyle w:val="5"/>
        <w:keepLines/>
        <w:topLinePunct/>
        <w:autoSpaceDE/>
        <w:adjustRightInd/>
        <w:spacing w:before="100" w:beforeLines="0" w:beforeAutospacing="1" w:after="156" w:line="240" w:lineRule="auto"/>
        <w:jc w:val="both"/>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7.2.1.3施工运输车辆机械尾气控制</w:t>
      </w:r>
    </w:p>
    <w:p w14:paraId="1F3BD7D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运输车辆严禁超载运输，避免超过车载负荷而尾气排放量呈几何级数上升</w:t>
      </w:r>
      <w:r>
        <w:rPr>
          <w:rFonts w:hint="eastAsia" w:ascii="Times New Roman" w:hAnsi="Times New Roman" w:cs="Times New Roman"/>
          <w:snapToGrid w:val="0"/>
          <w:color w:val="000000" w:themeColor="text1"/>
          <w:lang w:val="zh-CN"/>
          <w14:textFill>
            <w14:solidFill>
              <w14:schemeClr w14:val="tx1"/>
            </w14:solidFill>
          </w14:textFill>
        </w:rPr>
        <w:t>。</w:t>
      </w:r>
    </w:p>
    <w:p w14:paraId="55D3FE1D">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运输车辆和施工机械要及时进行保养，保证其正常运行，避免因机械保养不当而导致的尾气排放量增大，对于排放量严重超标的机械应禁止使用。</w:t>
      </w:r>
    </w:p>
    <w:p w14:paraId="40C8826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施工单位必须选用符合国家卫生防护标准的施工机械设备和运输工具，确保其废气排放符合国家有关标准。</w:t>
      </w:r>
    </w:p>
    <w:p w14:paraId="673FFB37">
      <w:pPr>
        <w:keepNext/>
        <w:keepLines/>
        <w:adjustRightInd w:val="0"/>
        <w:snapToGrid w:val="0"/>
        <w:spacing w:before="156" w:beforeLines="50" w:after="156"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555" w:name="_Toc98414258"/>
      <w:bookmarkStart w:id="556" w:name="_Toc97464682"/>
      <w:bookmarkStart w:id="557" w:name="_Toc57826780"/>
      <w:bookmarkStart w:id="558" w:name="_Toc34989617"/>
      <w:bookmarkStart w:id="559" w:name="_Toc98413576"/>
      <w:r>
        <w:rPr>
          <w:rFonts w:ascii="Times New Roman" w:hAnsi="Times New Roman" w:cs="Times New Roman"/>
          <w:b/>
          <w:bCs/>
          <w:color w:val="000000" w:themeColor="text1"/>
          <w:sz w:val="30"/>
          <w:szCs w:val="32"/>
          <w14:textFill>
            <w14:solidFill>
              <w14:schemeClr w14:val="tx1"/>
            </w14:solidFill>
          </w14:textFill>
        </w:rPr>
        <w:t>7.2.2营运期</w:t>
      </w:r>
      <w:bookmarkEnd w:id="555"/>
      <w:bookmarkEnd w:id="556"/>
      <w:bookmarkEnd w:id="557"/>
      <w:bookmarkEnd w:id="558"/>
      <w:bookmarkEnd w:id="559"/>
    </w:p>
    <w:p w14:paraId="1C955D9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（1）加强公路管理及路面养护，保持公路良好营运状态。</w:t>
      </w:r>
    </w:p>
    <w:p w14:paraId="293490A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（2）严格执行汽车排放车检制度，限制尾气排放严重超标车辆上路。</w:t>
      </w:r>
    </w:p>
    <w:p w14:paraId="609DF084">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（3）加强运输散装物资如煤、水泥、砂石材料等车辆的管理，运送上述物品需加盖蓬布。</w:t>
      </w:r>
    </w:p>
    <w:p w14:paraId="2620EB58">
      <w:pPr>
        <w:pStyle w:val="3"/>
        <w:adjustRightInd w:val="0"/>
        <w:snapToGrid w:val="0"/>
        <w:spacing w:before="156" w:after="156" w:line="240" w:lineRule="auto"/>
        <w:jc w:val="both"/>
        <w:rPr>
          <w:rFonts w:ascii="Times New Roman" w:hAnsi="Times New Roman" w:cs="Times New Roman"/>
          <w:b w:val="0"/>
          <w:bCs w:val="0"/>
          <w:color w:val="000000" w:themeColor="text1"/>
          <w14:textFill>
            <w14:solidFill>
              <w14:schemeClr w14:val="tx1"/>
            </w14:solidFill>
          </w14:textFill>
        </w:rPr>
      </w:pPr>
      <w:bookmarkStart w:id="560" w:name="bookmark46"/>
      <w:bookmarkEnd w:id="560"/>
      <w:bookmarkStart w:id="561" w:name="_Toc98413577"/>
      <w:bookmarkStart w:id="562" w:name="_Toc187675437"/>
      <w:r>
        <w:rPr>
          <w:rFonts w:ascii="Times New Roman" w:hAnsi="Times New Roman" w:cs="Times New Roman"/>
          <w:color w:val="000000" w:themeColor="text1"/>
          <w14:textFill>
            <w14:solidFill>
              <w14:schemeClr w14:val="tx1"/>
            </w14:solidFill>
          </w14:textFill>
        </w:rPr>
        <w:t>7.3地表水环境污染防治措施</w:t>
      </w:r>
      <w:bookmarkEnd w:id="561"/>
      <w:bookmarkEnd w:id="562"/>
    </w:p>
    <w:p w14:paraId="57F15E51">
      <w:pPr>
        <w:keepNext/>
        <w:keepLines/>
        <w:adjustRightInd w:val="0"/>
        <w:snapToGrid w:val="0"/>
        <w:spacing w:before="156" w:beforeLines="50" w:after="156"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563" w:name="_Toc97464684"/>
      <w:bookmarkStart w:id="564" w:name="_Toc98413578"/>
      <w:bookmarkStart w:id="565" w:name="_Toc34989619"/>
      <w:bookmarkStart w:id="566" w:name="_Toc57826782"/>
      <w:bookmarkStart w:id="567" w:name="_Toc98414260"/>
      <w:r>
        <w:rPr>
          <w:rFonts w:ascii="Times New Roman" w:hAnsi="Times New Roman" w:cs="Times New Roman"/>
          <w:b/>
          <w:bCs/>
          <w:color w:val="000000" w:themeColor="text1"/>
          <w:sz w:val="30"/>
          <w:szCs w:val="32"/>
          <w14:textFill>
            <w14:solidFill>
              <w14:schemeClr w14:val="tx1"/>
            </w14:solidFill>
          </w14:textFill>
        </w:rPr>
        <w:t>7.3.1施工期</w:t>
      </w:r>
      <w:bookmarkEnd w:id="563"/>
      <w:bookmarkEnd w:id="564"/>
      <w:bookmarkEnd w:id="565"/>
      <w:bookmarkEnd w:id="566"/>
      <w:bookmarkEnd w:id="567"/>
    </w:p>
    <w:p w14:paraId="61BC30FA">
      <w:pPr>
        <w:spacing w:before="156" w:beforeLines="50" w:after="156" w:after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7.3.1.1施工生产废水环境保护措施</w:t>
      </w:r>
    </w:p>
    <w:p w14:paraId="0BAFC1B6">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w:t>
      </w:r>
      <w:r>
        <w:rPr>
          <w:rFonts w:ascii="Times New Roman" w:hAnsi="Times New Roman" w:cs="Times New Roman"/>
          <w:snapToGrid w:val="0"/>
          <w:color w:val="000000" w:themeColor="text1"/>
          <w:lang w:val="zh-CN"/>
          <w14:textFill>
            <w14:solidFill>
              <w14:schemeClr w14:val="tx1"/>
            </w14:solidFill>
          </w14:textFill>
        </w:rPr>
        <w:t>含油污水控制措施</w:t>
      </w:r>
    </w:p>
    <w:p w14:paraId="70A7234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采用施工过程控制、清洁生产的方案进行含油污水的控制。</w:t>
      </w:r>
    </w:p>
    <w:p w14:paraId="5700610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1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本项目机械及车辆维修依</w:t>
      </w:r>
      <w:r>
        <w:rPr>
          <w:rFonts w:hint="eastAsia" w:ascii="Times New Roman" w:hAnsi="Times New Roman" w:cs="Times New Roman"/>
          <w:snapToGrid w:val="0"/>
          <w:color w:val="000000" w:themeColor="text1"/>
          <w:lang w:val="zh-CN"/>
          <w14:textFill>
            <w14:solidFill>
              <w14:schemeClr w14:val="tx1"/>
            </w14:solidFill>
          </w14:textFill>
        </w:rPr>
        <w:t>草湖镇</w:t>
      </w:r>
      <w:r>
        <w:rPr>
          <w:rFonts w:ascii="Times New Roman" w:hAnsi="Times New Roman" w:cs="Times New Roman"/>
          <w:snapToGrid w:val="0"/>
          <w:color w:val="000000" w:themeColor="text1"/>
          <w:lang w:val="zh-CN"/>
          <w14:textFill>
            <w14:solidFill>
              <w14:schemeClr w14:val="tx1"/>
            </w14:solidFill>
          </w14:textFill>
        </w:rPr>
        <w:t>社会资源，施工综合场站不设机械维修站。</w:t>
      </w:r>
    </w:p>
    <w:p w14:paraId="449769D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2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尽量选用先进的设备、机械、以有效地减少跑、冒、滴、漏的数量及机械维修次数，从而减少含油污水的产生量。在不可避免的跑、冒、滴、漏过程中尽量采用固态吸油材料（如棉纱、木屑、吸油纸等），将废油收集转化到固态物质中，避免产生过多的含油污水。对渗漏到土场的油污应及时利用刮削装置收集封存，临时贮存设施应按国家</w:t>
      </w:r>
      <w:r>
        <w:rPr>
          <w:rFonts w:ascii="Times New Roman" w:hAnsi="Times New Roman" w:cs="Times New Roman"/>
          <w:color w:val="000000" w:themeColor="text1"/>
          <w14:textFill>
            <w14:solidFill>
              <w14:schemeClr w14:val="tx1"/>
            </w14:solidFill>
          </w14:textFill>
        </w:rPr>
        <w:t>《危险废物贮存污染控制标准》（GB18597-2023）</w:t>
      </w:r>
      <w:r>
        <w:rPr>
          <w:rFonts w:ascii="Times New Roman" w:hAnsi="Times New Roman" w:cs="Times New Roman"/>
          <w:snapToGrid w:val="0"/>
          <w:color w:val="000000" w:themeColor="text1"/>
          <w:lang w:val="zh-CN"/>
          <w14:textFill>
            <w14:solidFill>
              <w14:schemeClr w14:val="tx1"/>
            </w14:solidFill>
          </w14:textFill>
        </w:rPr>
        <w:t>的要求设置贮存场所，后交有危废处理资质的单位进行处理。</w:t>
      </w:r>
    </w:p>
    <w:p w14:paraId="7FC33EB4">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w:t>
      </w:r>
      <w:r>
        <w:rPr>
          <w:rFonts w:ascii="Times New Roman" w:hAnsi="Times New Roman" w:cs="Times New Roman"/>
          <w:snapToGrid w:val="0"/>
          <w:color w:val="000000" w:themeColor="text1"/>
          <w14:textFill>
            <w14:solidFill>
              <w14:schemeClr w14:val="tx1"/>
            </w14:solidFill>
          </w14:textFill>
        </w:rPr>
        <w:t>混凝土养护</w:t>
      </w:r>
      <w:r>
        <w:rPr>
          <w:rFonts w:ascii="Times New Roman" w:hAnsi="Times New Roman" w:cs="Times New Roman"/>
          <w:snapToGrid w:val="0"/>
          <w:color w:val="000000" w:themeColor="text1"/>
          <w:lang w:val="zh-CN"/>
          <w14:textFill>
            <w14:solidFill>
              <w14:schemeClr w14:val="tx1"/>
            </w14:solidFill>
          </w14:textFill>
        </w:rPr>
        <w:t>生产废水处理措施</w:t>
      </w:r>
    </w:p>
    <w:p w14:paraId="0049800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根据设计，综合场地内设置多个沉淀池，对搅拌车冲洗废水进行沉淀处理，沉淀后的废水回用，用于场地冲洗。同时，场地内设置有导水沟，冲洗水部分蒸发，剩余冲洗水经导水沟进入沉淀池。因此，搅拌站废水均经沉淀处理回用，不外排。对于沉淀池内的沉积物，定期清掏清运，确保沉淀池的正常运行。处理水首先循环回用于施工生产，其余用于施工现场、临时堆土场的洒水防尘，不向外排放，沉淀池定期进行清理，沉淀物运至弃土场。</w:t>
      </w:r>
    </w:p>
    <w:p w14:paraId="1EC1FB3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（3）生活污水控制措施</w:t>
      </w:r>
    </w:p>
    <w:p w14:paraId="12CE4E7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本项目施工生活污水采用以下措施：</w:t>
      </w:r>
    </w:p>
    <w:p w14:paraId="0FA3D311">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本项目2处自建施工综合场站的生活污水经一体化污水处理设施处理后，</w:t>
      </w:r>
      <w:r>
        <w:rPr>
          <w:rFonts w:hint="eastAsia" w:ascii="Times New Roman" w:hAnsi="Times New Roman" w:cs="Times New Roman"/>
          <w:color w:val="000000" w:themeColor="text1"/>
          <w14:textFill>
            <w14:solidFill>
              <w14:schemeClr w14:val="tx1"/>
            </w14:solidFill>
          </w14:textFill>
        </w:rPr>
        <w:t>用于洒水降尘</w:t>
      </w:r>
      <w:r>
        <w:rPr>
          <w:rFonts w:ascii="Times New Roman" w:hAnsi="Times New Roman" w:cs="Times New Roman"/>
          <w:color w:val="000000" w:themeColor="text1"/>
          <w14:textFill>
            <w14:solidFill>
              <w14:schemeClr w14:val="tx1"/>
            </w14:solidFill>
          </w14:textFill>
        </w:rPr>
        <w:t>。</w:t>
      </w:r>
    </w:p>
    <w:p w14:paraId="1AE4E56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（4）桥梁、涵洞施工减缓措施</w:t>
      </w:r>
    </w:p>
    <w:p w14:paraId="5A40888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为了防止河道范围内桥梁施工对河道的影响，建议本项目桥梁跨河施工应尽量选择在枯水期施工，严禁将桩基钻孔出渣及施工废弃物排入地表水体，桥墩施工区附近设置必要的排水沟用以疏导施工废水，排水沟土质边坡及时夯实。</w:t>
      </w:r>
    </w:p>
    <w:p w14:paraId="78C2E8D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2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fldChar w:fldCharType="end"/>
      </w:r>
      <w:r>
        <w:rPr>
          <w:rFonts w:hint="eastAsia" w:ascii="Times New Roman" w:hAnsi="Times New Roman" w:cs="Times New Roman"/>
          <w:snapToGrid w:val="0"/>
          <w:color w:val="000000" w:themeColor="text1"/>
          <w:lang w:val="zh-CN"/>
          <w14:textFill>
            <w14:solidFill>
              <w14:schemeClr w14:val="tx1"/>
            </w14:solidFill>
          </w14:textFill>
        </w:rPr>
        <w:t>在桥梁桩基施工过程中将产生一定量的泥浆水，为避免和减小桩基施工现场地面径流形成的悬浮物污染，设置泥浆三级沉淀池用于桥梁桩基施工产生的泥浆的自然干化处理，泥浆水分自然蒸发，无排放。泥浆干化后用作路基用土</w:t>
      </w:r>
      <w:r>
        <w:rPr>
          <w:rFonts w:ascii="Times New Roman" w:hAnsi="Times New Roman" w:cs="Times New Roman"/>
          <w:snapToGrid w:val="0"/>
          <w:color w:val="000000" w:themeColor="text1"/>
          <w:lang w:val="zh-CN"/>
          <w14:textFill>
            <w14:solidFill>
              <w14:schemeClr w14:val="tx1"/>
            </w14:solidFill>
          </w14:textFill>
        </w:rPr>
        <w:t>。</w:t>
      </w:r>
    </w:p>
    <w:p w14:paraId="686BE16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3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桥梁涵洞施工过程中，应加强现场管理，严禁将施工固体废物、废油、废水等弃入干沟。同时，桥梁及涵洞施工作业完毕后，要清理好施工现场，以防止施工废料等垃圾随雨水进入干沟。</w:t>
      </w:r>
    </w:p>
    <w:p w14:paraId="0DB380D8">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（5）水污染其他防治措施</w:t>
      </w:r>
    </w:p>
    <w:p w14:paraId="3A62901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1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工程承包合同中应明确筑路材料（如沥青、油料、化学品等）的运输过程中防止洒漏条款，堆放场地不得设在干沟附近。</w:t>
      </w:r>
    </w:p>
    <w:p w14:paraId="723DE5D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fldChar w:fldCharType="begin"/>
      </w:r>
      <w:r>
        <w:rPr>
          <w:rFonts w:ascii="Times New Roman" w:hAnsi="Times New Roman" w:cs="Times New Roman"/>
          <w:snapToGrid w:val="0"/>
          <w:color w:val="000000" w:themeColor="text1"/>
          <w:lang w:val="zh-CN"/>
          <w14:textFill>
            <w14:solidFill>
              <w14:schemeClr w14:val="tx1"/>
            </w14:solidFill>
          </w14:textFill>
        </w:rPr>
        <w:instrText xml:space="preserve"> = 2 \* GB3 </w:instrText>
      </w:r>
      <w:r>
        <w:rPr>
          <w:rFonts w:ascii="Times New Roman" w:hAnsi="Times New Roman" w:cs="Times New Roman"/>
          <w:snapToGrid w:val="0"/>
          <w:color w:val="000000" w:themeColor="text1"/>
          <w:lang w:val="zh-CN"/>
          <w14:textFill>
            <w14:solidFill>
              <w14:schemeClr w14:val="tx1"/>
            </w14:solidFill>
          </w14:textFill>
        </w:rPr>
        <w:fldChar w:fldCharType="separate"/>
      </w: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fldChar w:fldCharType="end"/>
      </w:r>
      <w:r>
        <w:rPr>
          <w:rFonts w:ascii="Times New Roman" w:hAnsi="Times New Roman" w:cs="Times New Roman"/>
          <w:snapToGrid w:val="0"/>
          <w:color w:val="000000" w:themeColor="text1"/>
          <w:lang w:val="zh-CN"/>
          <w14:textFill>
            <w14:solidFill>
              <w14:schemeClr w14:val="tx1"/>
            </w14:solidFill>
          </w14:textFill>
        </w:rPr>
        <w:t>施工材料如沥青、油料、化学品等有害物质堆放场地应设围挡措施，并加蓬布覆盖以减少雨水冲刷造成污染。</w:t>
      </w:r>
    </w:p>
    <w:p w14:paraId="4BA6769D">
      <w:pPr>
        <w:spacing w:before="156" w:beforeLines="50" w:after="156" w:afterLines="50" w:line="360" w:lineRule="auto"/>
        <w:jc w:val="both"/>
        <w:outlineLvl w:val="3"/>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7.3.1.2施工生活废水环境保护措施</w:t>
      </w:r>
    </w:p>
    <w:p w14:paraId="4C215042">
      <w:pPr>
        <w:autoSpaceDE w:val="0"/>
        <w:autoSpaceDN w:val="0"/>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2处施工综合场站的生活污水分别经过各自场站的一体化污水处理设施处理后</w:t>
      </w:r>
      <w:r>
        <w:rPr>
          <w:rFonts w:hint="eastAsia" w:ascii="Times New Roman" w:hAnsi="Times New Roman" w:cs="Times New Roman"/>
          <w:color w:val="000000" w:themeColor="text1"/>
          <w14:textFill>
            <w14:solidFill>
              <w14:schemeClr w14:val="tx1"/>
            </w14:solidFill>
          </w14:textFill>
        </w:rPr>
        <w:t>，回用于场地内地面冲洗、抑尘洒水降尘</w:t>
      </w:r>
      <w:r>
        <w:rPr>
          <w:rFonts w:ascii="Times New Roman" w:hAnsi="Times New Roman" w:cs="Times New Roman"/>
          <w:color w:val="000000" w:themeColor="text1"/>
          <w14:textFill>
            <w14:solidFill>
              <w14:schemeClr w14:val="tx1"/>
            </w14:solidFill>
          </w14:textFill>
        </w:rPr>
        <w:t>。</w:t>
      </w:r>
    </w:p>
    <w:p w14:paraId="3510CB0B">
      <w:pPr>
        <w:pStyle w:val="4"/>
        <w:adjustRightInd w:val="0"/>
        <w:snapToGrid w:val="0"/>
        <w:spacing w:before="156" w:after="156" w:line="240" w:lineRule="auto"/>
        <w:jc w:val="both"/>
        <w:rPr>
          <w:rFonts w:ascii="Times New Roman" w:hAnsi="Times New Roman" w:cs="Times New Roman"/>
          <w:color w:val="000000" w:themeColor="text1"/>
          <w:sz w:val="30"/>
          <w14:textFill>
            <w14:solidFill>
              <w14:schemeClr w14:val="tx1"/>
            </w14:solidFill>
          </w14:textFill>
        </w:rPr>
      </w:pPr>
      <w:bookmarkStart w:id="568" w:name="_Toc97464685"/>
      <w:bookmarkStart w:id="569" w:name="_Toc57826783"/>
      <w:bookmarkStart w:id="570" w:name="_Toc98414261"/>
      <w:bookmarkStart w:id="571" w:name="_Toc34989620"/>
      <w:bookmarkStart w:id="572" w:name="_Toc98413579"/>
      <w:r>
        <w:rPr>
          <w:rFonts w:ascii="Times New Roman" w:hAnsi="Times New Roman" w:cs="Times New Roman"/>
          <w:color w:val="000000" w:themeColor="text1"/>
          <w:sz w:val="30"/>
          <w14:textFill>
            <w14:solidFill>
              <w14:schemeClr w14:val="tx1"/>
            </w14:solidFill>
          </w14:textFill>
        </w:rPr>
        <w:t>7.3.2营运期</w:t>
      </w:r>
      <w:bookmarkEnd w:id="568"/>
      <w:bookmarkEnd w:id="569"/>
      <w:bookmarkEnd w:id="570"/>
      <w:bookmarkEnd w:id="571"/>
      <w:bookmarkEnd w:id="572"/>
    </w:p>
    <w:p w14:paraId="604A416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（1）定期检查公路的排水系统，确保排水系统畅通。</w:t>
      </w:r>
    </w:p>
    <w:p w14:paraId="1BBB250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（2）加强营运期宣传教育，严禁行驶车辆在跨河桥梁段乱丢垃圾。</w:t>
      </w:r>
    </w:p>
    <w:p w14:paraId="7587F12D">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（3）严禁各种泄漏、散装超载的车辆上路运行，以防止公路散失货物造成沿线水体污染。</w:t>
      </w:r>
    </w:p>
    <w:p w14:paraId="7B3C4CA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加强公路运输管理，建立危险品运输监管制度，针对运输有毒、易燃、易爆物品的车辆在道路涵洞及桥梁旁安装提示慢行的警告牌；禁止各类泄漏、散装超载车辆通过。本工程设有涵洞96道、桥梁10座，桥梁设置桥面径流收集系统。</w:t>
      </w:r>
    </w:p>
    <w:p w14:paraId="5356501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（5）本次公路涉及</w:t>
      </w:r>
      <w:r>
        <w:rPr>
          <w:rFonts w:hint="eastAsia" w:ascii="Times New Roman" w:hAnsi="Times New Roman" w:cs="Times New Roman"/>
          <w:snapToGrid w:val="0"/>
          <w:color w:val="000000" w:themeColor="text1"/>
          <w:lang w:val="zh-CN"/>
          <w14:textFill>
            <w14:solidFill>
              <w14:schemeClr w14:val="tx1"/>
            </w14:solidFill>
          </w14:textFill>
        </w:rPr>
        <w:t>跨河桥梁</w:t>
      </w:r>
      <w:r>
        <w:rPr>
          <w:rFonts w:ascii="Times New Roman" w:hAnsi="Times New Roman" w:cs="Times New Roman"/>
          <w:snapToGrid w:val="0"/>
          <w:color w:val="000000" w:themeColor="text1"/>
          <w:lang w:val="zh-CN"/>
          <w14:textFill>
            <w14:solidFill>
              <w14:schemeClr w14:val="tx1"/>
            </w14:solidFill>
          </w14:textFill>
        </w:rPr>
        <w:t>，在桥梁设置桥面径流收集系统，将桥面径流集中收集至桥两端</w:t>
      </w:r>
      <w:r>
        <w:rPr>
          <w:rFonts w:hint="eastAsia" w:ascii="Times New Roman" w:hAnsi="Times New Roman" w:cs="Times New Roman"/>
          <w:snapToGrid w:val="0"/>
          <w:color w:val="000000" w:themeColor="text1"/>
          <w:lang w:val="zh-CN"/>
          <w14:textFill>
            <w14:solidFill>
              <w14:schemeClr w14:val="tx1"/>
            </w14:solidFill>
          </w14:textFill>
        </w:rPr>
        <w:t>事故池</w:t>
      </w:r>
      <w:r>
        <w:rPr>
          <w:rFonts w:ascii="Times New Roman" w:hAnsi="Times New Roman" w:cs="Times New Roman"/>
          <w:snapToGrid w:val="0"/>
          <w:color w:val="000000" w:themeColor="text1"/>
          <w:lang w:val="zh-CN"/>
          <w14:textFill>
            <w14:solidFill>
              <w14:schemeClr w14:val="tx1"/>
            </w14:solidFill>
          </w14:textFill>
        </w:rPr>
        <w:t>处理后排放，避免桥面发生危险品事故时直接排入</w:t>
      </w:r>
      <w:r>
        <w:rPr>
          <w:rFonts w:hint="eastAsia" w:ascii="Times New Roman" w:hAnsi="Times New Roman" w:cs="Times New Roman"/>
          <w:snapToGrid w:val="0"/>
          <w:color w:val="000000" w:themeColor="text1"/>
          <w:lang w:val="zh-CN"/>
          <w14:textFill>
            <w14:solidFill>
              <w14:schemeClr w14:val="tx1"/>
            </w14:solidFill>
          </w14:textFill>
        </w:rPr>
        <w:t>河流</w:t>
      </w:r>
      <w:r>
        <w:rPr>
          <w:rFonts w:ascii="Times New Roman" w:hAnsi="Times New Roman" w:cs="Times New Roman"/>
          <w:snapToGrid w:val="0"/>
          <w:color w:val="000000" w:themeColor="text1"/>
          <w:lang w:val="zh-CN"/>
          <w14:textFill>
            <w14:solidFill>
              <w14:schemeClr w14:val="tx1"/>
            </w14:solidFill>
          </w14:textFill>
        </w:rPr>
        <w:t>。本次公路有</w:t>
      </w:r>
      <w:r>
        <w:rPr>
          <w:rFonts w:hint="eastAsia" w:ascii="Times New Roman" w:hAnsi="Times New Roman" w:cs="Times New Roman"/>
          <w:snapToGrid w:val="0"/>
          <w:color w:val="000000" w:themeColor="text1"/>
          <w:lang w:val="zh-CN"/>
          <w14:textFill>
            <w14:solidFill>
              <w14:schemeClr w14:val="tx1"/>
            </w14:solidFill>
          </w14:textFill>
        </w:rPr>
        <w:t>盖孜河</w:t>
      </w:r>
      <w:r>
        <w:rPr>
          <w:rFonts w:ascii="Times New Roman" w:hAnsi="Times New Roman" w:cs="Times New Roman"/>
          <w:snapToGrid w:val="0"/>
          <w:color w:val="000000" w:themeColor="text1"/>
          <w:lang w:val="zh-CN"/>
          <w14:textFill>
            <w14:solidFill>
              <w14:schemeClr w14:val="tx1"/>
            </w14:solidFill>
          </w14:textFill>
        </w:rPr>
        <w:t>等河流，故桥面径流收集至</w:t>
      </w:r>
      <w:r>
        <w:rPr>
          <w:rFonts w:hint="eastAsia" w:ascii="Times New Roman" w:hAnsi="Times New Roman" w:cs="Times New Roman"/>
          <w:snapToGrid w:val="0"/>
          <w:color w:val="000000" w:themeColor="text1"/>
          <w:lang w:val="zh-CN"/>
          <w14:textFill>
            <w14:solidFill>
              <w14:schemeClr w14:val="tx1"/>
            </w14:solidFill>
          </w14:textFill>
        </w:rPr>
        <w:t>事故池</w:t>
      </w:r>
      <w:r>
        <w:rPr>
          <w:rFonts w:ascii="Times New Roman" w:hAnsi="Times New Roman" w:cs="Times New Roman"/>
          <w:snapToGrid w:val="0"/>
          <w:color w:val="000000" w:themeColor="text1"/>
          <w:lang w:val="zh-CN"/>
          <w14:textFill>
            <w14:solidFill>
              <w14:schemeClr w14:val="tx1"/>
            </w14:solidFill>
          </w14:textFill>
        </w:rPr>
        <w:t>处理后，由有资质的单位负责收集后处理，不得直接排入河流、渠道内。</w:t>
      </w:r>
    </w:p>
    <w:p w14:paraId="314BEBC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6）运载危险品的车辆上路必须按国家有关规定报有关管理部门，车辆上必须设置危险品标志牌，对运输危化品车辆实施限速。同时加强有毒、有害化学品车辆运输的管理，化学品车辆必须标示醒目的标记，并对运行路线和时间加以限制，避开交通高峰时间，对可选择其他路线能够到达目的地的车辆应尽可能选择远离河流的道路；对一些剧毒化学品运输要求采取专门的许可制度和保安护卫工作。</w:t>
      </w:r>
    </w:p>
    <w:p w14:paraId="48A0440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采取以上措施后，可有效降低对项目运营对项目区水体的影响。</w:t>
      </w:r>
    </w:p>
    <w:p w14:paraId="475F60A4">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573" w:name="bookmark47"/>
      <w:bookmarkEnd w:id="573"/>
      <w:bookmarkStart w:id="574" w:name="bookmark48"/>
      <w:bookmarkEnd w:id="574"/>
      <w:bookmarkStart w:id="575" w:name="_Toc98413580"/>
      <w:bookmarkStart w:id="576" w:name="_Toc187675438"/>
      <w:r>
        <w:rPr>
          <w:rFonts w:ascii="Times New Roman" w:hAnsi="Times New Roman" w:cs="Times New Roman"/>
          <w:color w:val="000000" w:themeColor="text1"/>
          <w14:textFill>
            <w14:solidFill>
              <w14:schemeClr w14:val="tx1"/>
            </w14:solidFill>
          </w14:textFill>
        </w:rPr>
        <w:t>7.4噪声污染防治措施</w:t>
      </w:r>
      <w:bookmarkEnd w:id="575"/>
      <w:bookmarkEnd w:id="576"/>
    </w:p>
    <w:p w14:paraId="310B5D14">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bookmarkStart w:id="577" w:name="_Toc97464687"/>
      <w:bookmarkStart w:id="578" w:name="_Toc98414263"/>
      <w:bookmarkStart w:id="579" w:name="_Toc98413581"/>
      <w:r>
        <w:rPr>
          <w:rFonts w:ascii="Times New Roman" w:hAnsi="Times New Roman" w:cs="Times New Roman"/>
          <w:color w:val="000000" w:themeColor="text1"/>
          <w:sz w:val="30"/>
          <w14:textFill>
            <w14:solidFill>
              <w14:schemeClr w14:val="tx1"/>
            </w14:solidFill>
          </w14:textFill>
        </w:rPr>
        <w:t>7.4.1施工期</w:t>
      </w:r>
      <w:bookmarkEnd w:id="577"/>
      <w:bookmarkEnd w:id="578"/>
      <w:bookmarkEnd w:id="579"/>
    </w:p>
    <w:p w14:paraId="1BFE9884">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（1）合理布局施工现场</w:t>
      </w:r>
    </w:p>
    <w:p w14:paraId="112DC80A">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合理科学地布局施工现场是减少施工噪声的主要途径，如将施工现场的固定振动源相对集中，以减少影响的范围；如对可固定的机械设备如空压机、发电机安置在施工场地临时房间内，房屋内设隔音板，降低噪声。</w:t>
      </w:r>
    </w:p>
    <w:p w14:paraId="245FD11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w:t>
      </w:r>
      <w:r>
        <w:rPr>
          <w:rFonts w:ascii="Times New Roman" w:hAnsi="Times New Roman" w:cs="Times New Roman"/>
          <w:snapToGrid w:val="0"/>
          <w:color w:val="000000" w:themeColor="text1"/>
          <w:lang w:val="zh-CN"/>
          <w14:textFill>
            <w14:solidFill>
              <w14:schemeClr w14:val="tx1"/>
            </w14:solidFill>
          </w14:textFill>
        </w:rPr>
        <w:t>合理选择施工机械设备</w:t>
      </w:r>
    </w:p>
    <w:p w14:paraId="0AE4642D">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施工单位应尽量选用低噪音、振动的各类施工机械设备。</w:t>
      </w:r>
    </w:p>
    <w:p w14:paraId="76E3D48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（3）做好宣传工作，倡导科学管理和文明施工</w:t>
      </w:r>
    </w:p>
    <w:p w14:paraId="1D5C67F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由于技术条件、施工现场客观环境限制，即使采用了相应的控制对策和措施，施工噪声、振动仍可能对周围环境产生一定的影响；为此要向沿线受影响的居民和有关单位做好宣传工作，以提高人们对不利影响的心理承受力；加强施工现场的科学管理，做好施工人员的环境保护意识的教育；大力倡导文明施工的自觉性，尽量降低人为因素造成施工噪声的加重。</w:t>
      </w:r>
    </w:p>
    <w:p w14:paraId="7D0DB942">
      <w:pPr>
        <w:spacing w:line="360" w:lineRule="auto"/>
        <w:ind w:firstLine="480" w:firstLineChars="200"/>
        <w:jc w:val="both"/>
        <w:rPr>
          <w:rFonts w:ascii="Times New Roman" w:hAnsi="Times New Roman" w:cs="Times New Roman"/>
          <w:color w:val="000000" w:themeColor="text1"/>
          <w:szCs w:val="20"/>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w:t>
      </w:r>
      <w:r>
        <w:rPr>
          <w:rFonts w:ascii="Times New Roman" w:hAnsi="Times New Roman" w:cs="Times New Roman"/>
          <w:color w:val="000000" w:themeColor="text1"/>
          <w:szCs w:val="20"/>
          <w14:textFill>
            <w14:solidFill>
              <w14:schemeClr w14:val="tx1"/>
            </w14:solidFill>
          </w14:textFill>
        </w:rPr>
        <w:t>施工单位需贯彻各项施工管理制度</w:t>
      </w:r>
    </w:p>
    <w:p w14:paraId="12891835">
      <w:pPr>
        <w:spacing w:line="360" w:lineRule="auto"/>
        <w:ind w:firstLine="480" w:firstLineChars="200"/>
        <w:jc w:val="both"/>
        <w:rPr>
          <w:rFonts w:ascii="Times New Roman" w:hAnsi="Times New Roman" w:cs="Times New Roman"/>
          <w:color w:val="000000" w:themeColor="text1"/>
          <w:szCs w:val="20"/>
          <w14:textFill>
            <w14:solidFill>
              <w14:schemeClr w14:val="tx1"/>
            </w14:solidFill>
          </w14:textFill>
        </w:rPr>
      </w:pPr>
      <w:r>
        <w:rPr>
          <w:rFonts w:ascii="Times New Roman" w:hAnsi="Times New Roman" w:cs="Times New Roman"/>
          <w:color w:val="000000" w:themeColor="text1"/>
          <w:szCs w:val="20"/>
          <w14:textFill>
            <w14:solidFill>
              <w14:schemeClr w14:val="tx1"/>
            </w14:solidFill>
          </w14:textFill>
        </w:rPr>
        <w:t>施工单位要确保施工噪声满足《建筑施工场界环境噪声排放标准》（GB12523-2011），认真贯彻《中华人民共和国噪声污染防治法》等有关国家和地方的规定。</w:t>
      </w:r>
    </w:p>
    <w:p w14:paraId="30726D37">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bookmarkStart w:id="580" w:name="_Toc97464688"/>
      <w:bookmarkStart w:id="581" w:name="_Toc98414264"/>
      <w:bookmarkStart w:id="582" w:name="_Toc98413582"/>
      <w:r>
        <w:rPr>
          <w:rFonts w:ascii="Times New Roman" w:hAnsi="Times New Roman" w:cs="Times New Roman"/>
          <w:color w:val="000000" w:themeColor="text1"/>
          <w:sz w:val="30"/>
          <w14:textFill>
            <w14:solidFill>
              <w14:schemeClr w14:val="tx1"/>
            </w14:solidFill>
          </w14:textFill>
        </w:rPr>
        <w:t>7.4.2营运期</w:t>
      </w:r>
      <w:bookmarkEnd w:id="580"/>
      <w:bookmarkEnd w:id="581"/>
      <w:bookmarkEnd w:id="582"/>
    </w:p>
    <w:p w14:paraId="30D4A728">
      <w:pPr>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（1）加强道路通车后的道路养护工作，维持道路路面的平整度，避免因路况不佳造成车辆颠簸而引起交通噪声。</w:t>
      </w:r>
    </w:p>
    <w:p w14:paraId="691D6AA4">
      <w:pPr>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规划控制措施：本项目沿线两侧距路中心线</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米以内区域的临路第一排房屋不宜作为居民住宅、学校、医院等特殊敏感建筑规划建设用地。</w:t>
      </w:r>
    </w:p>
    <w:p w14:paraId="28910FDD">
      <w:pPr>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（3）结合当地生态建设规划，沿线路段进行人工绿化。</w:t>
      </w:r>
    </w:p>
    <w:p w14:paraId="601A558B">
      <w:pPr>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（4）加强机动车辆管理，严格执行限速和禁止超载的交通管理要求，尽量降低噪声污染源的噪声，严格限制技术状况差、噪声高的车辆上路，以减少交通噪声扰民问题。</w:t>
      </w:r>
    </w:p>
    <w:p w14:paraId="6D50A18A">
      <w:pPr>
        <w:pStyle w:val="3"/>
        <w:adjustRightInd w:val="0"/>
        <w:snapToGrid w:val="0"/>
        <w:spacing w:before="156" w:after="156" w:line="240" w:lineRule="auto"/>
        <w:jc w:val="both"/>
        <w:rPr>
          <w:rFonts w:ascii="Times New Roman" w:hAnsi="Times New Roman" w:cs="Times New Roman"/>
          <w:color w:val="000000" w:themeColor="text1"/>
          <w14:textFill>
            <w14:solidFill>
              <w14:schemeClr w14:val="tx1"/>
            </w14:solidFill>
          </w14:textFill>
        </w:rPr>
      </w:pPr>
      <w:bookmarkStart w:id="583" w:name="bookmark49"/>
      <w:bookmarkEnd w:id="583"/>
      <w:bookmarkStart w:id="584" w:name="_Toc187675439"/>
      <w:bookmarkStart w:id="585" w:name="_Toc98413583"/>
      <w:r>
        <w:rPr>
          <w:rFonts w:ascii="Times New Roman" w:hAnsi="Times New Roman" w:cs="Times New Roman"/>
          <w:color w:val="000000" w:themeColor="text1"/>
          <w14:textFill>
            <w14:solidFill>
              <w14:schemeClr w14:val="tx1"/>
            </w14:solidFill>
          </w14:textFill>
        </w:rPr>
        <w:t>7.5固体废物环境保护措施</w:t>
      </w:r>
      <w:bookmarkEnd w:id="584"/>
      <w:bookmarkEnd w:id="585"/>
    </w:p>
    <w:p w14:paraId="4952287D">
      <w:pPr>
        <w:pStyle w:val="4"/>
        <w:adjustRightInd w:val="0"/>
        <w:snapToGrid w:val="0"/>
        <w:spacing w:before="156" w:after="156" w:line="240" w:lineRule="auto"/>
        <w:jc w:val="both"/>
        <w:rPr>
          <w:rFonts w:ascii="Times New Roman" w:hAnsi="Times New Roman" w:cs="Times New Roman"/>
          <w:color w:val="000000" w:themeColor="text1"/>
          <w:sz w:val="30"/>
          <w14:textFill>
            <w14:solidFill>
              <w14:schemeClr w14:val="tx1"/>
            </w14:solidFill>
          </w14:textFill>
        </w:rPr>
      </w:pPr>
      <w:bookmarkStart w:id="586" w:name="_Toc98414266"/>
      <w:bookmarkStart w:id="587" w:name="_Toc98413584"/>
      <w:bookmarkStart w:id="588" w:name="_Toc97464690"/>
      <w:r>
        <w:rPr>
          <w:rFonts w:ascii="Times New Roman" w:hAnsi="Times New Roman" w:cs="Times New Roman"/>
          <w:color w:val="000000" w:themeColor="text1"/>
          <w:sz w:val="30"/>
          <w14:textFill>
            <w14:solidFill>
              <w14:schemeClr w14:val="tx1"/>
            </w14:solidFill>
          </w14:textFill>
        </w:rPr>
        <w:t>7.5.1施工期</w:t>
      </w:r>
      <w:bookmarkEnd w:id="586"/>
      <w:bookmarkEnd w:id="587"/>
      <w:bookmarkEnd w:id="588"/>
    </w:p>
    <w:p w14:paraId="6FE818E7">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施工期固体废物主要包括废弃土石方、建筑垃圾和施工人员生活垃圾。对施工期固体废物应采取</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集中收集、分类处理、尽量回用</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的原则，其中废弃土石方在设置的弃渣场进行处置，拆迁房屋、建筑物的建筑垃圾中能回收利用的进行综合利用，剩余部分运至建筑垃圾填埋场处理，生活垃圾集中收集后运送至附近垃圾处理场集中处理。</w:t>
      </w:r>
    </w:p>
    <w:p w14:paraId="3610396C">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（1）对收集、贮存、运输、处置固体废物的设施、设备和场所，应当加强管理和维护，保证其正常运行和使用。</w:t>
      </w:r>
    </w:p>
    <w:p w14:paraId="2777C678">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（2）本项目产生的弃渣全部运至弃土场，不随意外排。</w:t>
      </w:r>
    </w:p>
    <w:p w14:paraId="3905A217">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（3）施工期产生的生活垃圾统一收集后，清运至生活垃圾填埋</w:t>
      </w:r>
      <w:r>
        <w:rPr>
          <w:rFonts w:ascii="Times New Roman" w:hAnsi="Times New Roman" w:cs="Times New Roman"/>
          <w:snapToGrid w:val="0"/>
          <w:color w:val="000000" w:themeColor="text1"/>
          <w:lang w:val="zh-CN"/>
          <w14:textFill>
            <w14:solidFill>
              <w14:schemeClr w14:val="tx1"/>
            </w14:solidFill>
          </w14:textFill>
        </w:rPr>
        <w:t>场。</w:t>
      </w:r>
    </w:p>
    <w:p w14:paraId="2828248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（4）本项目危险废物沥青烟气净化产生的废活性炭，用于沥青站烟气净化设施，由设备厂家提供安装维护服务，活性炭也在维护过程中由厂家负责回收后再生处理，不在施工</w:t>
      </w:r>
      <w:r>
        <w:rPr>
          <w:rFonts w:hint="eastAsia" w:ascii="Times New Roman" w:hAnsi="Times New Roman" w:cs="Times New Roman"/>
          <w:color w:val="000000" w:themeColor="text1"/>
          <w14:textFill>
            <w14:solidFill>
              <w14:schemeClr w14:val="tx1"/>
            </w14:solidFill>
          </w14:textFill>
        </w:rPr>
        <w:t>现场</w:t>
      </w:r>
      <w:r>
        <w:rPr>
          <w:rFonts w:ascii="Times New Roman" w:hAnsi="Times New Roman" w:cs="Times New Roman"/>
          <w:color w:val="000000" w:themeColor="text1"/>
          <w14:textFill>
            <w14:solidFill>
              <w14:schemeClr w14:val="tx1"/>
            </w14:solidFill>
          </w14:textFill>
        </w:rPr>
        <w:t>临时贮存。</w:t>
      </w:r>
    </w:p>
    <w:p w14:paraId="270EE0AF">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bookmarkStart w:id="589" w:name="_Toc97464691"/>
      <w:bookmarkStart w:id="590" w:name="_Toc98413585"/>
      <w:bookmarkStart w:id="591" w:name="_Toc98414267"/>
      <w:r>
        <w:rPr>
          <w:rFonts w:ascii="Times New Roman" w:hAnsi="Times New Roman" w:cs="Times New Roman"/>
          <w:color w:val="000000" w:themeColor="text1"/>
          <w:sz w:val="30"/>
          <w14:textFill>
            <w14:solidFill>
              <w14:schemeClr w14:val="tx1"/>
            </w14:solidFill>
          </w14:textFill>
        </w:rPr>
        <w:t>7.5.2营运期</w:t>
      </w:r>
      <w:bookmarkEnd w:id="589"/>
      <w:bookmarkEnd w:id="590"/>
      <w:bookmarkEnd w:id="591"/>
    </w:p>
    <w:p w14:paraId="00CE5A8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本项目拟建道路路程较短，全程不设收费站及服务区，故营运期固废主要为道路养护过程中产生少量废渣及行驶货运车辆撒漏的少量物料，废渣主要为道路养护沥青废渣，产生量较小。沥青废渣由道路养护施工单位回送至具有废旧沥青回收处理资质的单位进行处理。</w:t>
      </w:r>
    </w:p>
    <w:p w14:paraId="0774261F">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592" w:name="_Toc98413586"/>
      <w:bookmarkStart w:id="593" w:name="_Toc187675440"/>
      <w:r>
        <w:rPr>
          <w:rFonts w:ascii="Times New Roman" w:hAnsi="Times New Roman" w:cs="Times New Roman"/>
          <w:color w:val="000000" w:themeColor="text1"/>
          <w14:textFill>
            <w14:solidFill>
              <w14:schemeClr w14:val="tx1"/>
            </w14:solidFill>
          </w14:textFill>
        </w:rPr>
        <w:t>7.6环保投资估算</w:t>
      </w:r>
      <w:bookmarkEnd w:id="592"/>
      <w:bookmarkEnd w:id="593"/>
    </w:p>
    <w:p w14:paraId="0DE71968">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本工程总投资为</w:t>
      </w:r>
      <w:bookmarkStart w:id="594" w:name="_Hlk172395787"/>
      <w:r>
        <w:rPr>
          <w:rFonts w:ascii="Times New Roman" w:hAnsi="Times New Roman" w:cs="Times New Roman"/>
          <w:color w:val="000000" w:themeColor="text1"/>
          <w14:textFill>
            <w14:solidFill>
              <w14:schemeClr w14:val="tx1"/>
            </w14:solidFill>
          </w14:textFill>
        </w:rPr>
        <w:t>69945.5019</w:t>
      </w:r>
      <w:r>
        <w:rPr>
          <w:rFonts w:ascii="Times New Roman" w:hAnsi="Times New Roman" w:cs="Times New Roman"/>
          <w:snapToGrid w:val="0"/>
          <w:color w:val="000000" w:themeColor="text1"/>
          <w:lang w:val="zh-CN"/>
          <w14:textFill>
            <w14:solidFill>
              <w14:schemeClr w14:val="tx1"/>
            </w14:solidFill>
          </w14:textFill>
        </w:rPr>
        <w:t>万元，环保投资273.4万元，占工程全部投资的0.39%</w:t>
      </w:r>
      <w:bookmarkEnd w:id="594"/>
      <w:r>
        <w:rPr>
          <w:rFonts w:ascii="Times New Roman" w:hAnsi="Times New Roman" w:cs="Times New Roman"/>
          <w:snapToGrid w:val="0"/>
          <w:color w:val="000000" w:themeColor="text1"/>
          <w:lang w:val="zh-CN"/>
          <w14:textFill>
            <w14:solidFill>
              <w14:schemeClr w14:val="tx1"/>
            </w14:solidFill>
          </w14:textFill>
        </w:rPr>
        <w:t>，本工程环保投资见表7.6-1。</w:t>
      </w:r>
    </w:p>
    <w:p w14:paraId="75C654DA">
      <w:pPr>
        <w:jc w:val="center"/>
        <w:rPr>
          <w:rFonts w:ascii="黑体" w:hAnsi="黑体" w:eastAsia="黑体" w:cs="Times New Roman"/>
          <w:color w:val="000000" w:themeColor="text1"/>
          <w:sz w:val="32"/>
          <w14:textFill>
            <w14:solidFill>
              <w14:schemeClr w14:val="tx1"/>
            </w14:solidFill>
          </w14:textFill>
        </w:rPr>
      </w:pPr>
      <w:r>
        <w:rPr>
          <w:rFonts w:ascii="黑体" w:hAnsi="黑体" w:eastAsia="黑体" w:cs="Times New Roman"/>
          <w:color w:val="000000" w:themeColor="text1"/>
          <w14:textFill>
            <w14:solidFill>
              <w14:schemeClr w14:val="tx1"/>
            </w14:solidFill>
          </w14:textFill>
        </w:rPr>
        <w:t>表7.6-1环保投资估算表</w:t>
      </w:r>
    </w:p>
    <w:tbl>
      <w:tblPr>
        <w:tblStyle w:val="8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5132"/>
        <w:gridCol w:w="1323"/>
      </w:tblGrid>
      <w:tr w14:paraId="2CE6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010" w:type="dxa"/>
            <w:vAlign w:val="center"/>
          </w:tcPr>
          <w:p w14:paraId="54B21BE1">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环保项目</w:t>
            </w:r>
          </w:p>
        </w:tc>
        <w:tc>
          <w:tcPr>
            <w:tcW w:w="4996" w:type="dxa"/>
            <w:vAlign w:val="center"/>
          </w:tcPr>
          <w:p w14:paraId="4FE45F87">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环境保护措施</w:t>
            </w:r>
          </w:p>
        </w:tc>
        <w:tc>
          <w:tcPr>
            <w:tcW w:w="1288" w:type="dxa"/>
            <w:vAlign w:val="center"/>
          </w:tcPr>
          <w:p w14:paraId="0731A140">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环保投资</w:t>
            </w:r>
          </w:p>
          <w:p w14:paraId="1603DA9C">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（万元）</w:t>
            </w:r>
          </w:p>
        </w:tc>
      </w:tr>
      <w:tr w14:paraId="0887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restart"/>
            <w:vAlign w:val="center"/>
          </w:tcPr>
          <w:p w14:paraId="1C56EC5D">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生态保</w:t>
            </w:r>
          </w:p>
          <w:p w14:paraId="4DB66554">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护措施</w:t>
            </w:r>
          </w:p>
        </w:tc>
        <w:tc>
          <w:tcPr>
            <w:tcW w:w="4996" w:type="dxa"/>
            <w:vAlign w:val="center"/>
          </w:tcPr>
          <w:p w14:paraId="695A3489">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沥青、水泥站场、弃土场平整、表土回填、自然恢复、边坡防护、砾石压实</w:t>
            </w:r>
          </w:p>
        </w:tc>
        <w:tc>
          <w:tcPr>
            <w:tcW w:w="1288" w:type="dxa"/>
            <w:vAlign w:val="center"/>
          </w:tcPr>
          <w:p w14:paraId="449E50A0">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55</w:t>
            </w:r>
          </w:p>
        </w:tc>
      </w:tr>
      <w:tr w14:paraId="1DC1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5D502E49">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680C8574">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占用灌木林地需按国家相关规定，采取货币补偿措施；弃土场恢复绿化</w:t>
            </w:r>
            <w:r>
              <w:rPr>
                <w:rFonts w:ascii="Times New Roman" w:hAnsi="Times New Roman" w:cs="Times New Roman"/>
                <w:bCs/>
                <w:color w:val="000000" w:themeColor="text1"/>
                <w:sz w:val="21"/>
                <w:szCs w:val="21"/>
                <w14:textFill>
                  <w14:solidFill>
                    <w14:schemeClr w14:val="tx1"/>
                  </w14:solidFill>
                </w14:textFill>
              </w:rPr>
              <w:t>等纳入工程款</w:t>
            </w:r>
          </w:p>
        </w:tc>
        <w:tc>
          <w:tcPr>
            <w:tcW w:w="1288" w:type="dxa"/>
            <w:vAlign w:val="center"/>
          </w:tcPr>
          <w:p w14:paraId="4368924D">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已计入主体工程投资</w:t>
            </w:r>
          </w:p>
        </w:tc>
      </w:tr>
      <w:tr w14:paraId="2EA5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Align w:val="center"/>
          </w:tcPr>
          <w:p w14:paraId="1ECCEB30">
            <w:pPr>
              <w:adjustRightInd w:val="0"/>
              <w:snapToGrid w:val="0"/>
              <w:ind w:firstLine="420" w:firstLineChars="20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噪声污染防治</w:t>
            </w:r>
          </w:p>
        </w:tc>
        <w:tc>
          <w:tcPr>
            <w:tcW w:w="4996" w:type="dxa"/>
            <w:vAlign w:val="center"/>
          </w:tcPr>
          <w:p w14:paraId="366752E6">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施工期临时围挡</w:t>
            </w:r>
          </w:p>
        </w:tc>
        <w:tc>
          <w:tcPr>
            <w:tcW w:w="1288" w:type="dxa"/>
            <w:vAlign w:val="center"/>
          </w:tcPr>
          <w:p w14:paraId="34E41FD1">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15</w:t>
            </w:r>
          </w:p>
        </w:tc>
      </w:tr>
      <w:tr w14:paraId="4BDE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restart"/>
            <w:vAlign w:val="center"/>
          </w:tcPr>
          <w:p w14:paraId="18BD07BA">
            <w:pPr>
              <w:adjustRightInd w:val="0"/>
              <w:snapToGrid w:val="0"/>
              <w:ind w:firstLine="420" w:firstLineChars="200"/>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大气污染防治</w:t>
            </w:r>
          </w:p>
        </w:tc>
        <w:tc>
          <w:tcPr>
            <w:tcW w:w="4996" w:type="dxa"/>
            <w:vAlign w:val="center"/>
          </w:tcPr>
          <w:p w14:paraId="26DE288A">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清除浮土、洒水降尘等</w:t>
            </w:r>
          </w:p>
        </w:tc>
        <w:tc>
          <w:tcPr>
            <w:tcW w:w="1288" w:type="dxa"/>
            <w:vAlign w:val="center"/>
          </w:tcPr>
          <w:p w14:paraId="33C5F1ED">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20</w:t>
            </w:r>
          </w:p>
        </w:tc>
      </w:tr>
      <w:tr w14:paraId="6B82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2010" w:type="dxa"/>
            <w:vMerge w:val="continue"/>
            <w:vAlign w:val="center"/>
          </w:tcPr>
          <w:p w14:paraId="419D0E39">
            <w:pPr>
              <w:adjustRightInd w:val="0"/>
              <w:snapToGrid w:val="0"/>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41377228">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材料堆放加盖苫布</w:t>
            </w:r>
          </w:p>
        </w:tc>
        <w:tc>
          <w:tcPr>
            <w:tcW w:w="1288" w:type="dxa"/>
            <w:vAlign w:val="center"/>
          </w:tcPr>
          <w:p w14:paraId="07232D05">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9.2</w:t>
            </w:r>
          </w:p>
        </w:tc>
      </w:tr>
      <w:tr w14:paraId="7F77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1400E9A1">
            <w:pPr>
              <w:adjustRightInd w:val="0"/>
              <w:snapToGrid w:val="0"/>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020F75AC">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snapToGrid w:val="0"/>
                <w:color w:val="000000" w:themeColor="text1"/>
                <w:sz w:val="21"/>
                <w:szCs w:val="21"/>
                <w14:textFill>
                  <w14:solidFill>
                    <w14:schemeClr w14:val="tx1"/>
                  </w14:solidFill>
                </w14:textFill>
              </w:rPr>
              <w:t>站场封闭，拌合站布袋除尘、沥青烟气采用烟气净化装置</w:t>
            </w:r>
          </w:p>
        </w:tc>
        <w:tc>
          <w:tcPr>
            <w:tcW w:w="1288" w:type="dxa"/>
            <w:vAlign w:val="center"/>
          </w:tcPr>
          <w:p w14:paraId="2621F318">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15</w:t>
            </w:r>
          </w:p>
        </w:tc>
      </w:tr>
      <w:tr w14:paraId="592B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10" w:type="dxa"/>
            <w:vMerge w:val="restart"/>
            <w:vAlign w:val="center"/>
          </w:tcPr>
          <w:p w14:paraId="2D72DE82">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水</w:t>
            </w:r>
            <w:r>
              <w:rPr>
                <w:rFonts w:ascii="Times New Roman" w:hAnsi="Times New Roman" w:cs="Times New Roman"/>
                <w:bCs/>
                <w:color w:val="000000" w:themeColor="text1"/>
                <w:sz w:val="21"/>
                <w:szCs w:val="21"/>
                <w14:textFill>
                  <w14:solidFill>
                    <w14:schemeClr w14:val="tx1"/>
                  </w14:solidFill>
                </w14:textFill>
              </w:rPr>
              <w:t>污染防治</w:t>
            </w:r>
          </w:p>
        </w:tc>
        <w:tc>
          <w:tcPr>
            <w:tcW w:w="4996" w:type="dxa"/>
            <w:vAlign w:val="center"/>
          </w:tcPr>
          <w:p w14:paraId="2ACEE57D">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施工场地（如拌和站、桥梁施工等处）沉淀池</w:t>
            </w:r>
          </w:p>
        </w:tc>
        <w:tc>
          <w:tcPr>
            <w:tcW w:w="1288" w:type="dxa"/>
            <w:vAlign w:val="center"/>
          </w:tcPr>
          <w:p w14:paraId="5E46B218">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25</w:t>
            </w:r>
          </w:p>
        </w:tc>
      </w:tr>
      <w:tr w14:paraId="0A84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10" w:type="dxa"/>
            <w:vMerge w:val="continue"/>
            <w:vAlign w:val="center"/>
          </w:tcPr>
          <w:p w14:paraId="65863089">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6800D44E">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一体化污水处理设施</w:t>
            </w:r>
          </w:p>
        </w:tc>
        <w:tc>
          <w:tcPr>
            <w:tcW w:w="1288" w:type="dxa"/>
            <w:vAlign w:val="center"/>
          </w:tcPr>
          <w:p w14:paraId="02DD9AB1">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46</w:t>
            </w:r>
          </w:p>
        </w:tc>
      </w:tr>
      <w:tr w14:paraId="33D5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010" w:type="dxa"/>
            <w:vMerge w:val="continue"/>
            <w:vAlign w:val="center"/>
          </w:tcPr>
          <w:p w14:paraId="0C427AF4">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6D739355">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应急事故池</w:t>
            </w:r>
          </w:p>
        </w:tc>
        <w:tc>
          <w:tcPr>
            <w:tcW w:w="1288" w:type="dxa"/>
            <w:vAlign w:val="center"/>
          </w:tcPr>
          <w:p w14:paraId="05E81760">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25</w:t>
            </w:r>
          </w:p>
        </w:tc>
      </w:tr>
      <w:tr w14:paraId="731C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Align w:val="center"/>
          </w:tcPr>
          <w:p w14:paraId="1EFFD4A5">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固体废物</w:t>
            </w:r>
          </w:p>
        </w:tc>
        <w:tc>
          <w:tcPr>
            <w:tcW w:w="4996" w:type="dxa"/>
            <w:vAlign w:val="center"/>
          </w:tcPr>
          <w:p w14:paraId="578D80DA">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生活垃圾的收集、清运</w:t>
            </w:r>
          </w:p>
        </w:tc>
        <w:tc>
          <w:tcPr>
            <w:tcW w:w="1288" w:type="dxa"/>
            <w:vAlign w:val="center"/>
          </w:tcPr>
          <w:p w14:paraId="6A950CE6">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1.2</w:t>
            </w:r>
          </w:p>
        </w:tc>
      </w:tr>
      <w:tr w14:paraId="3CA0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restart"/>
            <w:vAlign w:val="center"/>
          </w:tcPr>
          <w:p w14:paraId="33259476">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环境风险</w:t>
            </w:r>
          </w:p>
        </w:tc>
        <w:tc>
          <w:tcPr>
            <w:tcW w:w="4996" w:type="dxa"/>
            <w:vAlign w:val="center"/>
          </w:tcPr>
          <w:p w14:paraId="43BD4237">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盖孜河特大桥</w:t>
            </w:r>
            <w:r>
              <w:rPr>
                <w:color w:val="000000" w:themeColor="text1"/>
                <w:sz w:val="21"/>
                <w:szCs w:val="21"/>
                <w14:textFill>
                  <w14:solidFill>
                    <w14:schemeClr w14:val="tx1"/>
                  </w14:solidFill>
                </w14:textFill>
              </w:rPr>
              <w:t>桥梁两侧设置应急事故池</w:t>
            </w:r>
          </w:p>
        </w:tc>
        <w:tc>
          <w:tcPr>
            <w:tcW w:w="1288" w:type="dxa"/>
            <w:vAlign w:val="center"/>
          </w:tcPr>
          <w:p w14:paraId="4EA21F88">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18</w:t>
            </w:r>
          </w:p>
        </w:tc>
      </w:tr>
      <w:tr w14:paraId="5E55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744046BF">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60E6F9CE">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防撞护栏</w:t>
            </w:r>
          </w:p>
        </w:tc>
        <w:tc>
          <w:tcPr>
            <w:tcW w:w="1288" w:type="dxa"/>
            <w:vAlign w:val="center"/>
          </w:tcPr>
          <w:p w14:paraId="180A4DBF">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已计入主体工程投资</w:t>
            </w:r>
          </w:p>
        </w:tc>
      </w:tr>
      <w:tr w14:paraId="2780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restart"/>
            <w:vAlign w:val="center"/>
          </w:tcPr>
          <w:p w14:paraId="0C572BEA">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环境</w:t>
            </w:r>
          </w:p>
          <w:p w14:paraId="073C5EC4">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管理</w:t>
            </w:r>
          </w:p>
        </w:tc>
        <w:tc>
          <w:tcPr>
            <w:tcW w:w="4996" w:type="dxa"/>
            <w:vAlign w:val="center"/>
          </w:tcPr>
          <w:p w14:paraId="320C45DE">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警示牌、标识及应急物资</w:t>
            </w:r>
          </w:p>
        </w:tc>
        <w:tc>
          <w:tcPr>
            <w:tcW w:w="1288" w:type="dxa"/>
            <w:vAlign w:val="center"/>
          </w:tcPr>
          <w:p w14:paraId="1BE12620">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w:t>
            </w:r>
          </w:p>
        </w:tc>
      </w:tr>
      <w:tr w14:paraId="35BC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00936AB1">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3270A7B2">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施工期及营运期环境管理计划实施、人员培训</w:t>
            </w:r>
          </w:p>
        </w:tc>
        <w:tc>
          <w:tcPr>
            <w:tcW w:w="1288" w:type="dxa"/>
            <w:vAlign w:val="center"/>
          </w:tcPr>
          <w:p w14:paraId="26DE35A1">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7</w:t>
            </w:r>
          </w:p>
        </w:tc>
      </w:tr>
      <w:tr w14:paraId="3C5E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0BEEA44C">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5D21B473">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应急预案编制费用</w:t>
            </w:r>
          </w:p>
        </w:tc>
        <w:tc>
          <w:tcPr>
            <w:tcW w:w="1288" w:type="dxa"/>
            <w:vAlign w:val="center"/>
          </w:tcPr>
          <w:p w14:paraId="71148C7F">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w:t>
            </w:r>
          </w:p>
        </w:tc>
      </w:tr>
      <w:tr w14:paraId="29471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1CE3EC87">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6EF5BE86">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环保竣工验收费用</w:t>
            </w:r>
          </w:p>
        </w:tc>
        <w:tc>
          <w:tcPr>
            <w:tcW w:w="1288" w:type="dxa"/>
            <w:vAlign w:val="center"/>
          </w:tcPr>
          <w:p w14:paraId="649AFF75">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7</w:t>
            </w:r>
          </w:p>
        </w:tc>
      </w:tr>
      <w:tr w14:paraId="14BA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266AFE36">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71A711B1">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监测计划监测费用</w:t>
            </w:r>
          </w:p>
        </w:tc>
        <w:tc>
          <w:tcPr>
            <w:tcW w:w="1288" w:type="dxa"/>
            <w:vAlign w:val="center"/>
          </w:tcPr>
          <w:p w14:paraId="315E965B">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5</w:t>
            </w:r>
          </w:p>
        </w:tc>
      </w:tr>
      <w:tr w14:paraId="6A66E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10" w:type="dxa"/>
            <w:vMerge w:val="continue"/>
            <w:vAlign w:val="center"/>
          </w:tcPr>
          <w:p w14:paraId="64FB926E">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p>
        </w:tc>
        <w:tc>
          <w:tcPr>
            <w:tcW w:w="4996" w:type="dxa"/>
            <w:vAlign w:val="center"/>
          </w:tcPr>
          <w:p w14:paraId="222D7A07">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施工期环境监理</w:t>
            </w:r>
          </w:p>
        </w:tc>
        <w:tc>
          <w:tcPr>
            <w:tcW w:w="1288" w:type="dxa"/>
            <w:vAlign w:val="center"/>
          </w:tcPr>
          <w:p w14:paraId="45AF1FE1">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15</w:t>
            </w:r>
          </w:p>
        </w:tc>
      </w:tr>
      <w:tr w14:paraId="79DD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06" w:type="dxa"/>
            <w:gridSpan w:val="2"/>
            <w:vAlign w:val="center"/>
          </w:tcPr>
          <w:p w14:paraId="0834E993">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合计</w:t>
            </w:r>
          </w:p>
        </w:tc>
        <w:tc>
          <w:tcPr>
            <w:tcW w:w="1288" w:type="dxa"/>
            <w:vAlign w:val="center"/>
          </w:tcPr>
          <w:p w14:paraId="70F17335">
            <w:pPr>
              <w:adjustRightInd w:val="0"/>
              <w:snapToGrid w:val="0"/>
              <w:jc w:val="cente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2</w:t>
            </w:r>
            <w:r>
              <w:rPr>
                <w:rFonts w:ascii="Times New Roman" w:hAnsi="Times New Roman" w:cs="Times New Roman"/>
                <w:bCs/>
                <w:color w:val="000000" w:themeColor="text1"/>
                <w:sz w:val="21"/>
                <w:szCs w:val="21"/>
                <w14:textFill>
                  <w14:solidFill>
                    <w14:schemeClr w14:val="tx1"/>
                  </w14:solidFill>
                </w14:textFill>
              </w:rPr>
              <w:t>73.4</w:t>
            </w:r>
          </w:p>
        </w:tc>
      </w:tr>
    </w:tbl>
    <w:p w14:paraId="47F7A953">
      <w:pPr>
        <w:rPr>
          <w:rFonts w:ascii="Times New Roman" w:hAnsi="Times New Roman" w:cs="Times New Roman"/>
          <w:color w:val="000000" w:themeColor="text1"/>
          <w14:textFill>
            <w14:solidFill>
              <w14:schemeClr w14:val="tx1"/>
            </w14:solidFill>
          </w14:textFill>
        </w:rPr>
      </w:pPr>
      <w:bookmarkStart w:id="595" w:name="_Toc316561746"/>
      <w:bookmarkStart w:id="596" w:name="_Toc316511185"/>
      <w:bookmarkStart w:id="597" w:name="_Toc4507869"/>
      <w:bookmarkStart w:id="598" w:name="_Toc192264502"/>
      <w:bookmarkStart w:id="599" w:name="_Toc346739706"/>
      <w:bookmarkStart w:id="600" w:name="_Toc381606125"/>
      <w:bookmarkStart w:id="601" w:name="_Toc98413587"/>
    </w:p>
    <w:p w14:paraId="0327B763">
      <w:pPr>
        <w:rPr>
          <w:rFonts w:ascii="Times New Roman" w:hAnsi="Times New Roman" w:eastAsia="隶书" w:cs="Times New Roman"/>
          <w:color w:val="000000" w:themeColor="text1"/>
          <w:sz w:val="30"/>
          <w:szCs w:val="30"/>
          <w14:textFill>
            <w14:solidFill>
              <w14:schemeClr w14:val="tx1"/>
            </w14:solidFill>
          </w14:textFill>
        </w:rPr>
      </w:pPr>
    </w:p>
    <w:p w14:paraId="5EF89E1F">
      <w:pPr>
        <w:ind w:firstLine="643" w:firstLineChars="200"/>
        <w:rPr>
          <w:rFonts w:ascii="Times New Roman" w:hAnsi="Times New Roman" w:cs="Times New Roman"/>
          <w:b/>
          <w:bCs/>
          <w:color w:val="000000" w:themeColor="text1"/>
          <w:sz w:val="32"/>
          <w14:textFill>
            <w14:solidFill>
              <w14:schemeClr w14:val="tx1"/>
            </w14:solidFill>
          </w14:textFill>
        </w:rPr>
        <w:sectPr>
          <w:pgSz w:w="11906" w:h="16838"/>
          <w:pgMar w:top="1440" w:right="1797" w:bottom="1440" w:left="1797" w:header="794" w:footer="850" w:gutter="0"/>
          <w:cols w:space="720" w:num="1"/>
          <w:docGrid w:type="lines" w:linePitch="312" w:charSpace="0"/>
        </w:sectPr>
      </w:pPr>
    </w:p>
    <w:p w14:paraId="607ECC0F">
      <w:pPr>
        <w:pStyle w:val="2"/>
        <w:adjustRightInd w:val="0"/>
        <w:snapToGrid w:val="0"/>
        <w:spacing w:before="312" w:after="156" w:line="240" w:lineRule="auto"/>
        <w:rPr>
          <w:rFonts w:ascii="Times New Roman" w:hAnsi="Times New Roman" w:cs="Times New Roman"/>
          <w:color w:val="000000" w:themeColor="text1"/>
          <w14:textFill>
            <w14:solidFill>
              <w14:schemeClr w14:val="tx1"/>
            </w14:solidFill>
          </w14:textFill>
        </w:rPr>
      </w:pPr>
      <w:bookmarkStart w:id="602" w:name="_Toc187675441"/>
      <w:r>
        <w:rPr>
          <w:rFonts w:ascii="Times New Roman" w:hAnsi="Times New Roman" w:cs="Times New Roman"/>
          <w:color w:val="000000" w:themeColor="text1"/>
          <w14:textFill>
            <w14:solidFill>
              <w14:schemeClr w14:val="tx1"/>
            </w14:solidFill>
          </w14:textFill>
        </w:rPr>
        <w:t>8环境影响经济损益分析</w:t>
      </w:r>
      <w:bookmarkEnd w:id="595"/>
      <w:bookmarkEnd w:id="596"/>
      <w:bookmarkEnd w:id="597"/>
      <w:bookmarkEnd w:id="598"/>
      <w:bookmarkEnd w:id="599"/>
      <w:bookmarkEnd w:id="600"/>
      <w:bookmarkEnd w:id="601"/>
      <w:bookmarkEnd w:id="602"/>
    </w:p>
    <w:p w14:paraId="7B67444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由于环境资源的不可再生性，项目建设对环境带来的社会经济效益和生态效益的损失越来越受到重视，但目前关于环境经济损益尚无成熟的定量估算方法，本报告尝试地对社会经济损益作定量分析，对环保投资的环境效益、社会经济效益以及对项目采取环保措施所带来的环境、社会和经济效益作简要的定性分析。</w:t>
      </w:r>
    </w:p>
    <w:p w14:paraId="43B30FB1">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603" w:name="_Toc491045026"/>
      <w:bookmarkStart w:id="604" w:name="_Toc98413588"/>
      <w:bookmarkStart w:id="605" w:name="_Toc489608904"/>
      <w:bookmarkStart w:id="606" w:name="_Toc187675442"/>
      <w:r>
        <w:rPr>
          <w:rFonts w:ascii="Times New Roman" w:hAnsi="Times New Roman" w:cs="Times New Roman"/>
          <w:color w:val="000000" w:themeColor="text1"/>
          <w14:textFill>
            <w14:solidFill>
              <w14:schemeClr w14:val="tx1"/>
            </w14:solidFill>
          </w14:textFill>
        </w:rPr>
        <w:t>8.1经济效益分析</w:t>
      </w:r>
      <w:bookmarkEnd w:id="603"/>
      <w:bookmarkEnd w:id="604"/>
      <w:bookmarkEnd w:id="605"/>
      <w:bookmarkEnd w:id="606"/>
    </w:p>
    <w:p w14:paraId="476DC042">
      <w:pPr>
        <w:spacing w:line="360" w:lineRule="auto"/>
        <w:ind w:firstLine="476" w:firstLineChars="200"/>
        <w:jc w:val="both"/>
        <w:rPr>
          <w:rFonts w:ascii="Times New Roman" w:hAnsi="Times New Roman" w:cs="Times New Roman"/>
          <w:color w:val="000000" w:themeColor="text1"/>
          <w:spacing w:val="-1"/>
          <w14:textFill>
            <w14:solidFill>
              <w14:schemeClr w14:val="tx1"/>
            </w14:solidFill>
          </w14:textFill>
        </w:rPr>
      </w:pPr>
      <w:r>
        <w:rPr>
          <w:rFonts w:ascii="Times New Roman" w:hAnsi="Times New Roman" w:cs="Times New Roman"/>
          <w:color w:val="000000" w:themeColor="text1"/>
          <w:spacing w:val="-1"/>
          <w14:textFill>
            <w14:solidFill>
              <w14:schemeClr w14:val="tx1"/>
            </w14:solidFill>
          </w14:textFill>
        </w:rPr>
        <w:t>本项目推荐方案</w:t>
      </w:r>
      <w:r>
        <w:rPr>
          <w:rFonts w:ascii="Times New Roman" w:hAnsi="Times New Roman" w:cs="Times New Roman"/>
          <w:color w:val="000000" w:themeColor="text1"/>
          <w14:textFill>
            <w14:solidFill>
              <w14:schemeClr w14:val="tx1"/>
            </w14:solidFill>
          </w14:textFill>
        </w:rPr>
        <w:t>全长33.453 km（含完全利用段 0.795km）</w:t>
      </w:r>
      <w:r>
        <w:rPr>
          <w:rFonts w:ascii="Times New Roman" w:hAnsi="Times New Roman" w:cs="Times New Roman"/>
          <w:color w:val="000000" w:themeColor="text1"/>
          <w:spacing w:val="-1"/>
          <w14:textFill>
            <w14:solidFill>
              <w14:schemeClr w14:val="tx1"/>
            </w14:solidFill>
          </w14:textFill>
        </w:rPr>
        <w:t>，本工程总估算投资</w:t>
      </w:r>
      <w:r>
        <w:rPr>
          <w:rFonts w:ascii="Times New Roman" w:hAnsi="Times New Roman" w:cs="Times New Roman"/>
          <w:color w:val="000000" w:themeColor="text1"/>
          <w14:textFill>
            <w14:solidFill>
              <w14:schemeClr w14:val="tx1"/>
            </w14:solidFill>
          </w14:textFill>
        </w:rPr>
        <w:t>69945.5019</w:t>
      </w:r>
      <w:r>
        <w:rPr>
          <w:rFonts w:ascii="Times New Roman" w:hAnsi="Times New Roman" w:cs="Times New Roman"/>
          <w:color w:val="000000" w:themeColor="text1"/>
          <w:spacing w:val="-1"/>
          <w14:textFill>
            <w14:solidFill>
              <w14:schemeClr w14:val="tx1"/>
            </w14:solidFill>
          </w14:textFill>
        </w:rPr>
        <w:t>万元。根据国民经济评价结果该项目经济内部收益率为11.59%，大于财务基准收益率4.5%。大于社会折现率8%，投资回收期16.87年（不包括建设期），效益费用比EBCR=1.48，从国民经济评价的角度分析本项目是可行的。</w:t>
      </w:r>
      <w:bookmarkStart w:id="607" w:name="_Toc491045027"/>
      <w:bookmarkStart w:id="608" w:name="_Toc489608905"/>
      <w:bookmarkStart w:id="609" w:name="_Toc98413591"/>
    </w:p>
    <w:p w14:paraId="58757E57">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610" w:name="_Toc187675443"/>
      <w:r>
        <w:rPr>
          <w:rFonts w:ascii="Times New Roman" w:hAnsi="Times New Roman" w:cs="Times New Roman"/>
          <w:color w:val="000000" w:themeColor="text1"/>
          <w14:textFill>
            <w14:solidFill>
              <w14:schemeClr w14:val="tx1"/>
            </w14:solidFill>
          </w14:textFill>
        </w:rPr>
        <w:t>8.2社会效益分析</w:t>
      </w:r>
      <w:bookmarkEnd w:id="607"/>
      <w:bookmarkEnd w:id="608"/>
      <w:bookmarkEnd w:id="609"/>
      <w:bookmarkEnd w:id="610"/>
    </w:p>
    <w:p w14:paraId="2E7CABB2">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社会效益包括以下几个方面：</w:t>
      </w:r>
    </w:p>
    <w:p w14:paraId="7FD38834">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（1）全面建设小康社会目标，促进地区经济发展</w:t>
      </w:r>
    </w:p>
    <w:p w14:paraId="711D2A19">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拟建公路33.453km（实际建设里程32.658km），</w:t>
      </w:r>
      <w:r>
        <w:rPr>
          <w:rFonts w:hint="eastAsia" w:ascii="Times New Roman" w:hAnsi="Times New Roman" w:cs="Times New Roman"/>
          <w:color w:val="000000" w:themeColor="text1"/>
          <w14:textFill>
            <w14:solidFill>
              <w14:schemeClr w14:val="tx1"/>
            </w14:solidFill>
          </w14:textFill>
        </w:rPr>
        <w:t>是草湖项目区“三横七纵”规划路网的重要组成部分，是第三师图木舒克市“十四五”期间公路重点建设项目之一；是草湖项目区实施东西大通道发展战略和国防建设的重要保障。</w:t>
      </w:r>
    </w:p>
    <w:p w14:paraId="06E500FD">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沿线县、团场多属于经济待</w:t>
      </w:r>
      <w:r>
        <w:rPr>
          <w:rFonts w:hint="eastAsia" w:ascii="Times New Roman" w:hAnsi="Times New Roman" w:cs="Times New Roman"/>
          <w:snapToGrid w:val="0"/>
          <w:color w:val="000000" w:themeColor="text1"/>
          <w14:textFill>
            <w14:solidFill>
              <w14:schemeClr w14:val="tx1"/>
            </w14:solidFill>
          </w14:textFill>
        </w:rPr>
        <w:t>发展</w:t>
      </w:r>
      <w:r>
        <w:rPr>
          <w:rFonts w:ascii="Times New Roman" w:hAnsi="Times New Roman" w:cs="Times New Roman"/>
          <w:snapToGrid w:val="0"/>
          <w:color w:val="000000" w:themeColor="text1"/>
          <w14:textFill>
            <w14:solidFill>
              <w14:schemeClr w14:val="tx1"/>
            </w14:solidFill>
          </w14:textFill>
        </w:rPr>
        <w:t>空间大的不发达地区，经济发展长期以来较</w:t>
      </w:r>
      <w:r>
        <w:rPr>
          <w:rFonts w:hint="eastAsia" w:ascii="Times New Roman" w:hAnsi="Times New Roman" w:cs="Times New Roman"/>
          <w:snapToGrid w:val="0"/>
          <w:color w:val="000000" w:themeColor="text1"/>
          <w14:textFill>
            <w14:solidFill>
              <w14:schemeClr w14:val="tx1"/>
            </w14:solidFill>
          </w14:textFill>
        </w:rPr>
        <w:t>其他</w:t>
      </w:r>
      <w:r>
        <w:rPr>
          <w:rFonts w:ascii="Times New Roman" w:hAnsi="Times New Roman" w:cs="Times New Roman"/>
          <w:snapToGrid w:val="0"/>
          <w:color w:val="000000" w:themeColor="text1"/>
          <w14:textFill>
            <w14:solidFill>
              <w14:schemeClr w14:val="tx1"/>
            </w14:solidFill>
          </w14:textFill>
        </w:rPr>
        <w:t>地区滞后，其中公路等级低，路况差，密度小等成为制约经济发展的重要因素之一。</w:t>
      </w:r>
      <w:r>
        <w:rPr>
          <w:rFonts w:hint="eastAsia" w:ascii="Times New Roman" w:hAnsi="Times New Roman" w:cs="Times New Roman"/>
          <w:color w:val="000000" w:themeColor="text1"/>
          <w14:textFill>
            <w14:solidFill>
              <w14:schemeClr w14:val="tx1"/>
            </w14:solidFill>
          </w14:textFill>
        </w:rPr>
        <w:t>项目建成后，将对</w:t>
      </w:r>
      <w:r>
        <w:rPr>
          <w:rFonts w:ascii="Times New Roman" w:hAnsi="Times New Roman" w:cs="Times New Roman"/>
          <w:snapToGrid w:val="0"/>
          <w:color w:val="000000" w:themeColor="text1"/>
          <w14:textFill>
            <w14:solidFill>
              <w14:schemeClr w14:val="tx1"/>
            </w14:solidFill>
          </w14:textFill>
        </w:rPr>
        <w:t>地区间经济发展起到极大促进作用，有利于地区间经济发展。</w:t>
      </w:r>
    </w:p>
    <w:p w14:paraId="1A639FC9">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（2）保证南疆地区经济发展、政治稳定</w:t>
      </w:r>
    </w:p>
    <w:p w14:paraId="7AF5AC7F">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项目区有着丰富的自然资源优势，是我区粮食、棉花、畜牧业以及果业生产基地，许多农牧产品因其颇具特色而驰名中外；项目区有着丰富的水土光热资源，大片国土尚待开发利用，发展潜力巨大；项目区有着独特的自然风光和灿烂的历史文化以及丰富多彩的民风民俗。</w:t>
      </w:r>
    </w:p>
    <w:p w14:paraId="3DE7731B">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然而，极为不便的交通阻碍了招商引资的进程，妨碍了其将资源优势转化为产业优势和经济优势的进程，严重制约了项目区的经济发展。</w:t>
      </w:r>
      <w:r>
        <w:rPr>
          <w:rFonts w:hint="eastAsia" w:ascii="Times New Roman" w:hAnsi="Times New Roman" w:cs="Times New Roman"/>
          <w:color w:val="000000" w:themeColor="text1"/>
          <w14:textFill>
            <w14:solidFill>
              <w14:schemeClr w14:val="tx1"/>
            </w14:solidFill>
          </w14:textFill>
        </w:rPr>
        <w:t>项目的建设可将草湖项目区与国道</w:t>
      </w:r>
      <w:r>
        <w:rPr>
          <w:rFonts w:ascii="Times New Roman" w:hAnsi="Times New Roman" w:cs="Times New Roman"/>
          <w:color w:val="000000" w:themeColor="text1"/>
          <w14:textFill>
            <w14:solidFill>
              <w14:schemeClr w14:val="tx1"/>
            </w14:solidFill>
          </w14:textFill>
        </w:rPr>
        <w:t xml:space="preserve"> G314、规划S334、规划国道 G314 及多条内部路有效得连接起来，</w:t>
      </w:r>
      <w:r>
        <w:rPr>
          <w:rFonts w:hint="eastAsia" w:ascii="Times New Roman" w:hAnsi="Times New Roman" w:cs="Times New Roman"/>
          <w:color w:val="000000" w:themeColor="text1"/>
          <w14:textFill>
            <w14:solidFill>
              <w14:schemeClr w14:val="tx1"/>
            </w14:solidFill>
          </w14:textFill>
        </w:rPr>
        <w:t>对</w:t>
      </w:r>
      <w:r>
        <w:rPr>
          <w:rFonts w:ascii="Times New Roman" w:hAnsi="Times New Roman" w:cs="Times New Roman"/>
          <w:color w:val="000000" w:themeColor="text1"/>
          <w14:textFill>
            <w14:solidFill>
              <w14:schemeClr w14:val="tx1"/>
            </w14:solidFill>
          </w14:textFill>
        </w:rPr>
        <w:t>41团草湖镇经济发展起着重要的支撑作用；</w:t>
      </w:r>
      <w:r>
        <w:rPr>
          <w:rFonts w:hint="eastAsia" w:ascii="Times New Roman" w:hAnsi="Times New Roman" w:cs="Times New Roman"/>
          <w:color w:val="000000" w:themeColor="text1"/>
          <w14:textFill>
            <w14:solidFill>
              <w14:schemeClr w14:val="tx1"/>
            </w14:solidFill>
          </w14:textFill>
        </w:rPr>
        <w:t>同时本项目作为兵团高等级公路网的脉络之一，彻底贯通了南疆各产业崛起的草湖项目区、阿克陶县、疏附县，为全面铺设南疆高等级公路网迈出坚实的一步。</w:t>
      </w:r>
    </w:p>
    <w:p w14:paraId="7337AD18">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（3）响应国家优先发展基础产业，刺激经济增长的方针政策</w:t>
      </w:r>
    </w:p>
    <w:p w14:paraId="39F86D34">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公路作为最基本的公共基础设施，它的发展一直是经济发展的前提和命脉。无论是在发达国家，还是发展中国家，政府往往把增加公路投资作为改善经济疲软，刺激经济增长的手段。</w:t>
      </w:r>
    </w:p>
    <w:p w14:paraId="0A82248F">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新疆兵团要加快基础设施建设，把基础设施建设作为新的经济增长点，使资源优势尽快地转化为产业优势和经济优势。对于拟建公路沿线各市、团场、县来说，其薄弱环节正是交通基础设施条件差，交通运输路线长、道路等级低，路况差，导致运输成本高，制约了其资源优势向产业优势及经济优势的转换，发展交通已成为当务之急，重中之重</w:t>
      </w:r>
      <w:r>
        <w:rPr>
          <w:rFonts w:hint="eastAsia" w:ascii="Times New Roman" w:hAnsi="Times New Roman" w:cs="Times New Roman"/>
          <w:snapToGrid w:val="0"/>
          <w:color w:val="000000" w:themeColor="text1"/>
          <w14:textFill>
            <w14:solidFill>
              <w14:schemeClr w14:val="tx1"/>
            </w14:solidFill>
          </w14:textFill>
        </w:rPr>
        <w:t>。</w:t>
      </w:r>
    </w:p>
    <w:p w14:paraId="3DC12C0F">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（4）巩固国防，促进政治稳定，加强民族团结</w:t>
      </w:r>
    </w:p>
    <w:p w14:paraId="36C41870">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新疆维吾尔自治区地处我国西北边陲，与蒙古、俄罗斯、哈萨克斯坦、吉尔吉斯斯坦、塔吉克斯坦、阿富汗、巴基斯坦、印度等8个国家为邻，国境线长达5400多千米。随着我国综合国力的提高，国防建设将进一步向现代化迈进。国家的统一，民族的团结，在</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硬件</w:t>
      </w:r>
      <w:r>
        <w:rPr>
          <w:rFonts w:hint="eastAsia" w:ascii="Times New Roman" w:hAnsi="Times New Roman" w:cs="Times New Roman"/>
          <w:snapToGrid w:val="0"/>
          <w:color w:val="000000" w:themeColor="text1"/>
          <w14:textFill>
            <w14:solidFill>
              <w14:schemeClr w14:val="tx1"/>
            </w14:solidFill>
          </w14:textFill>
        </w:rPr>
        <w:t>”</w:t>
      </w:r>
      <w:r>
        <w:rPr>
          <w:rFonts w:ascii="Times New Roman" w:hAnsi="Times New Roman" w:cs="Times New Roman"/>
          <w:snapToGrid w:val="0"/>
          <w:color w:val="000000" w:themeColor="text1"/>
          <w14:textFill>
            <w14:solidFill>
              <w14:schemeClr w14:val="tx1"/>
            </w14:solidFill>
          </w14:textFill>
        </w:rPr>
        <w:t>上要靠交通来实现。</w:t>
      </w:r>
    </w:p>
    <w:p w14:paraId="1BEA442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发展是解决我们面临所有问题的关键。加快边疆地区发展，实现经济繁荣，提高人民生活水平，才能从根本上增强中华民族的凝聚力，保持国家长治久安。因此，本项目的实施对巩固国防、促进政治稳定、加强民族团结、维护国家统一有着十分重要的意义。</w:t>
      </w:r>
    </w:p>
    <w:p w14:paraId="05444563">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611" w:name="_Toc98413592"/>
      <w:bookmarkStart w:id="612" w:name="_Toc491045028"/>
      <w:bookmarkStart w:id="613" w:name="_Toc489608906"/>
      <w:bookmarkStart w:id="614" w:name="_Toc187675444"/>
      <w:r>
        <w:rPr>
          <w:rFonts w:ascii="Times New Roman" w:hAnsi="Times New Roman" w:cs="Times New Roman"/>
          <w:color w:val="000000" w:themeColor="text1"/>
          <w14:textFill>
            <w14:solidFill>
              <w14:schemeClr w14:val="tx1"/>
            </w14:solidFill>
          </w14:textFill>
        </w:rPr>
        <w:t>8.3环境效益分析</w:t>
      </w:r>
      <w:bookmarkEnd w:id="611"/>
      <w:bookmarkEnd w:id="612"/>
      <w:bookmarkEnd w:id="613"/>
      <w:bookmarkEnd w:id="614"/>
    </w:p>
    <w:p w14:paraId="27269E9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拟建公路穿越的区域主要为</w:t>
      </w:r>
      <w:r>
        <w:rPr>
          <w:rFonts w:hint="eastAsia" w:ascii="Times New Roman" w:hAnsi="Times New Roman" w:cs="Times New Roman"/>
          <w:snapToGrid w:val="0"/>
          <w:color w:val="000000" w:themeColor="text1"/>
          <w:lang w:val="zh-CN"/>
          <w14:textFill>
            <w14:solidFill>
              <w14:schemeClr w14:val="tx1"/>
            </w14:solidFill>
          </w14:textFill>
        </w:rPr>
        <w:t>灌木林地</w:t>
      </w:r>
      <w:r>
        <w:rPr>
          <w:rFonts w:ascii="Times New Roman" w:hAnsi="Times New Roman" w:cs="Times New Roman"/>
          <w:snapToGrid w:val="0"/>
          <w:color w:val="000000" w:themeColor="text1"/>
          <w:lang w:val="zh-CN"/>
          <w14:textFill>
            <w14:solidFill>
              <w14:schemeClr w14:val="tx1"/>
            </w14:solidFill>
          </w14:textFill>
        </w:rPr>
        <w:t>和</w:t>
      </w:r>
      <w:r>
        <w:rPr>
          <w:rFonts w:hint="eastAsia" w:ascii="Times New Roman" w:hAnsi="Times New Roman" w:cs="Times New Roman"/>
          <w:snapToGrid w:val="0"/>
          <w:color w:val="000000" w:themeColor="text1"/>
          <w:lang w:val="zh-CN"/>
          <w14:textFill>
            <w14:solidFill>
              <w14:schemeClr w14:val="tx1"/>
            </w14:solidFill>
          </w14:textFill>
        </w:rPr>
        <w:t>戈壁荒漠</w:t>
      </w:r>
      <w:r>
        <w:rPr>
          <w:rFonts w:ascii="Times New Roman" w:hAnsi="Times New Roman" w:cs="Times New Roman"/>
          <w:snapToGrid w:val="0"/>
          <w:color w:val="000000" w:themeColor="text1"/>
          <w:lang w:val="zh-CN"/>
          <w14:textFill>
            <w14:solidFill>
              <w14:schemeClr w14:val="tx1"/>
            </w14:solidFill>
          </w14:textFill>
        </w:rPr>
        <w:t>，项目的建设会使沿线地区的生态环境发生变化，主要表现在修建公路路基填料及施工便道等均要占用土地，打破了拟建公路沿线自然环境要素之间的平衡，造成生态环境问题、地表植被破坏及工程活动引发的地质病害等几个方面生态环境问题。但是，生态补偿费以及各项环境保护措施的实施，可以在一定程度上补偿公路建设带来的负面影响，使拟建公路产生经济和社会效益的同时，也产生一定的环境效益。</w:t>
      </w:r>
    </w:p>
    <w:p w14:paraId="0F9DCB9D">
      <w:pPr>
        <w:pStyle w:val="4"/>
        <w:adjustRightInd w:val="0"/>
        <w:snapToGrid w:val="0"/>
        <w:spacing w:before="156" w:after="156" w:line="240" w:lineRule="auto"/>
        <w:jc w:val="both"/>
        <w:rPr>
          <w:rFonts w:ascii="Times New Roman" w:hAnsi="Times New Roman" w:cs="Times New Roman"/>
          <w:color w:val="000000" w:themeColor="text1"/>
          <w:sz w:val="30"/>
          <w14:textFill>
            <w14:solidFill>
              <w14:schemeClr w14:val="tx1"/>
            </w14:solidFill>
          </w14:textFill>
        </w:rPr>
      </w:pPr>
      <w:bookmarkStart w:id="615" w:name="_Toc57826793"/>
      <w:bookmarkStart w:id="616" w:name="_Toc98414275"/>
      <w:bookmarkStart w:id="617" w:name="_Toc34989630"/>
      <w:bookmarkStart w:id="618" w:name="_Toc97464699"/>
      <w:bookmarkStart w:id="619" w:name="_Toc98413593"/>
      <w:r>
        <w:rPr>
          <w:rFonts w:ascii="Times New Roman" w:hAnsi="Times New Roman" w:cs="Times New Roman"/>
          <w:color w:val="000000" w:themeColor="text1"/>
          <w:sz w:val="30"/>
          <w14:textFill>
            <w14:solidFill>
              <w14:schemeClr w14:val="tx1"/>
            </w14:solidFill>
          </w14:textFill>
        </w:rPr>
        <w:t>8.3.1环境损失评价</w:t>
      </w:r>
      <w:bookmarkEnd w:id="615"/>
      <w:bookmarkEnd w:id="616"/>
      <w:bookmarkEnd w:id="617"/>
      <w:bookmarkEnd w:id="618"/>
      <w:bookmarkEnd w:id="619"/>
    </w:p>
    <w:p w14:paraId="3398FC9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在不采取任何环保措施的情况下，公路在施工期和营运期将会使沿线的自然生态环境受到不同程度的影响。</w:t>
      </w:r>
    </w:p>
    <w:p w14:paraId="0F1EC2F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（1）林业损失</w:t>
      </w:r>
    </w:p>
    <w:p w14:paraId="2A2A214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工程永久占用林地、草地等，</w:t>
      </w:r>
      <w:r>
        <w:rPr>
          <w:rFonts w:hint="eastAsia" w:ascii="Times New Roman" w:hAnsi="Times New Roman" w:cs="Times New Roman"/>
          <w:bCs/>
          <w:color w:val="000000" w:themeColor="text1"/>
          <w:lang w:bidi="en-US"/>
          <w14:textFill>
            <w14:solidFill>
              <w14:schemeClr w14:val="tx1"/>
            </w14:solidFill>
          </w14:textFill>
        </w:rPr>
        <w:t>本工程建设需砍伐或移栽主要树木林木、果树、灌木为主。</w:t>
      </w:r>
      <w:r>
        <w:rPr>
          <w:rFonts w:ascii="Times New Roman" w:hAnsi="Times New Roman" w:cs="Times New Roman"/>
          <w:snapToGrid w:val="0"/>
          <w:color w:val="000000" w:themeColor="text1"/>
          <w:lang w:val="zh-CN"/>
          <w14:textFill>
            <w14:solidFill>
              <w14:schemeClr w14:val="tx1"/>
            </w14:solidFill>
          </w14:textFill>
        </w:rPr>
        <w:t>需建设单位办理砍伐手续，经林业部门同意后，方可实施，并由当地政府按照</w:t>
      </w:r>
      <w:r>
        <w:rPr>
          <w:rFonts w:hint="eastAsia" w:ascii="Times New Roman" w:hAnsi="Times New Roman" w:cs="Times New Roman"/>
          <w:snapToGrid w:val="0"/>
          <w:color w:val="000000" w:themeColor="text1"/>
          <w:lang w:val="zh-CN"/>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自治区重点建设项目征地拆迁补偿标准》新国土资发[2009]131号、《关于公布实施自治区征地统一年产值标准的通知》新国土资发[2011]19号、《自治区国土资源系统土地管理行政事业收费标准的通知》（新计价房[2001]500号）</w:t>
      </w:r>
      <w:r>
        <w:rPr>
          <w:rFonts w:hint="eastAsia" w:ascii="Times New Roman" w:hAnsi="Times New Roman" w:cs="Times New Roman"/>
          <w:snapToGrid w:val="0"/>
          <w:color w:val="000000" w:themeColor="text1"/>
          <w:lang w:val="zh-CN"/>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对永久占用林地进行补偿。</w:t>
      </w:r>
      <w:r>
        <w:rPr>
          <w:rFonts w:hint="eastAsia" w:ascii="Times New Roman" w:hAnsi="Times New Roman" w:cs="Times New Roman"/>
          <w:snapToGrid w:val="0"/>
          <w:color w:val="000000" w:themeColor="text1"/>
          <w:lang w:val="zh-CN"/>
          <w14:textFill>
            <w14:solidFill>
              <w14:schemeClr w14:val="tx1"/>
            </w14:solidFill>
          </w14:textFill>
        </w:rPr>
        <w:t>本次项目</w:t>
      </w:r>
      <w:r>
        <w:rPr>
          <w:rFonts w:ascii="Times New Roman" w:hAnsi="Times New Roman" w:cs="Times New Roman"/>
          <w:bCs/>
          <w:color w:val="000000" w:themeColor="text1"/>
          <w:lang w:bidi="en-US"/>
          <w14:textFill>
            <w14:solidFill>
              <w14:schemeClr w14:val="tx1"/>
            </w14:solidFill>
          </w14:textFill>
        </w:rPr>
        <w:t>赔偿</w:t>
      </w:r>
      <w:r>
        <w:rPr>
          <w:rFonts w:hint="eastAsia" w:ascii="Times New Roman" w:hAnsi="Times New Roman" w:cs="Times New Roman"/>
          <w:bCs/>
          <w:color w:val="000000" w:themeColor="text1"/>
          <w:lang w:bidi="en-US"/>
          <w14:textFill>
            <w14:solidFill>
              <w14:schemeClr w14:val="tx1"/>
            </w14:solidFill>
          </w14:textFill>
        </w:rPr>
        <w:t>一般</w:t>
      </w:r>
      <w:r>
        <w:rPr>
          <w:rFonts w:ascii="Times New Roman" w:hAnsi="Times New Roman" w:cs="Times New Roman"/>
          <w:bCs/>
          <w:color w:val="000000" w:themeColor="text1"/>
          <w:lang w:bidi="en-US"/>
          <w14:textFill>
            <w14:solidFill>
              <w14:schemeClr w14:val="tx1"/>
            </w14:solidFill>
          </w14:textFill>
        </w:rPr>
        <w:t>树木</w:t>
      </w:r>
      <w:r>
        <w:rPr>
          <w:rFonts w:hint="eastAsia" w:ascii="Times New Roman" w:hAnsi="Times New Roman" w:cs="Times New Roman"/>
          <w:bCs/>
          <w:color w:val="000000" w:themeColor="text1"/>
          <w:lang w:bidi="en-US"/>
          <w14:textFill>
            <w14:solidFill>
              <w14:schemeClr w14:val="tx1"/>
            </w14:solidFill>
          </w14:textFill>
        </w:rPr>
        <w:t>1</w:t>
      </w:r>
      <w:r>
        <w:rPr>
          <w:rFonts w:ascii="Times New Roman" w:hAnsi="Times New Roman" w:cs="Times New Roman"/>
          <w:bCs/>
          <w:color w:val="000000" w:themeColor="text1"/>
          <w:lang w:bidi="en-US"/>
          <w14:textFill>
            <w14:solidFill>
              <w14:schemeClr w14:val="tx1"/>
            </w14:solidFill>
          </w14:textFill>
        </w:rPr>
        <w:t>38078</w:t>
      </w:r>
      <w:r>
        <w:rPr>
          <w:rFonts w:hint="eastAsia" w:ascii="Times New Roman" w:hAnsi="Times New Roman" w:cs="Times New Roman"/>
          <w:bCs/>
          <w:color w:val="000000" w:themeColor="text1"/>
          <w:lang w:bidi="en-US"/>
          <w14:textFill>
            <w14:solidFill>
              <w14:schemeClr w14:val="tx1"/>
            </w14:solidFill>
          </w14:textFill>
        </w:rPr>
        <w:t>株，其中胸径</w:t>
      </w:r>
      <w:r>
        <w:rPr>
          <w:rFonts w:ascii="Times New Roman" w:hAnsi="Times New Roman" w:cs="Times New Roman"/>
          <w:bCs/>
          <w:color w:val="000000" w:themeColor="text1"/>
          <w:lang w:bidi="en-US"/>
          <w14:textFill>
            <w14:solidFill>
              <w14:schemeClr w14:val="tx1"/>
            </w14:solidFill>
          </w14:textFill>
        </w:rPr>
        <w:t>5cm以下</w:t>
      </w:r>
      <w:r>
        <w:rPr>
          <w:rFonts w:hint="eastAsia" w:ascii="Times New Roman" w:hAnsi="Times New Roman" w:cs="Times New Roman"/>
          <w:bCs/>
          <w:color w:val="000000" w:themeColor="text1"/>
          <w:lang w:bidi="en-US"/>
          <w14:textFill>
            <w14:solidFill>
              <w14:schemeClr w14:val="tx1"/>
            </w14:solidFill>
          </w14:textFill>
        </w:rPr>
        <w:t>的</w:t>
      </w:r>
      <w:r>
        <w:rPr>
          <w:rFonts w:ascii="Times New Roman" w:hAnsi="Times New Roman" w:cs="Times New Roman"/>
          <w:bCs/>
          <w:color w:val="000000" w:themeColor="text1"/>
          <w:lang w:bidi="en-US"/>
          <w14:textFill>
            <w14:solidFill>
              <w14:schemeClr w14:val="tx1"/>
            </w14:solidFill>
          </w14:textFill>
        </w:rPr>
        <w:t>86988</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5~15cm</w:t>
      </w:r>
      <w:r>
        <w:rPr>
          <w:rFonts w:hint="eastAsia" w:ascii="Times New Roman" w:hAnsi="Times New Roman" w:cs="Times New Roman"/>
          <w:bCs/>
          <w:color w:val="000000" w:themeColor="text1"/>
          <w:lang w:bidi="en-US"/>
          <w14:textFill>
            <w14:solidFill>
              <w14:schemeClr w14:val="tx1"/>
            </w14:solidFill>
          </w14:textFill>
        </w:rPr>
        <w:t>的</w:t>
      </w:r>
      <w:r>
        <w:rPr>
          <w:rFonts w:ascii="Times New Roman" w:hAnsi="Times New Roman" w:cs="Times New Roman"/>
          <w:bCs/>
          <w:color w:val="000000" w:themeColor="text1"/>
          <w:lang w:bidi="en-US"/>
          <w14:textFill>
            <w14:solidFill>
              <w14:schemeClr w14:val="tx1"/>
            </w14:solidFill>
          </w14:textFill>
        </w:rPr>
        <w:t>26345</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15~30cm</w:t>
      </w:r>
      <w:r>
        <w:rPr>
          <w:rFonts w:hint="eastAsia" w:ascii="Times New Roman" w:hAnsi="Times New Roman" w:cs="Times New Roman"/>
          <w:bCs/>
          <w:color w:val="000000" w:themeColor="text1"/>
          <w:lang w:bidi="en-US"/>
          <w14:textFill>
            <w14:solidFill>
              <w14:schemeClr w14:val="tx1"/>
            </w14:solidFill>
          </w14:textFill>
        </w:rPr>
        <w:t>的</w:t>
      </w:r>
      <w:r>
        <w:rPr>
          <w:rFonts w:ascii="Times New Roman" w:hAnsi="Times New Roman" w:cs="Times New Roman"/>
          <w:bCs/>
          <w:color w:val="000000" w:themeColor="text1"/>
          <w:lang w:bidi="en-US"/>
          <w14:textFill>
            <w14:solidFill>
              <w14:schemeClr w14:val="tx1"/>
            </w14:solidFill>
          </w14:textFill>
        </w:rPr>
        <w:t>17859</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30cm</w:t>
      </w:r>
      <w:r>
        <w:rPr>
          <w:rFonts w:hint="eastAsia" w:ascii="Times New Roman" w:hAnsi="Times New Roman" w:cs="Times New Roman"/>
          <w:bCs/>
          <w:color w:val="000000" w:themeColor="text1"/>
          <w:lang w:bidi="en-US"/>
          <w14:textFill>
            <w14:solidFill>
              <w14:schemeClr w14:val="tx1"/>
            </w14:solidFill>
          </w14:textFill>
        </w:rPr>
        <w:t>以上的</w:t>
      </w:r>
      <w:r>
        <w:rPr>
          <w:rFonts w:ascii="Times New Roman" w:hAnsi="Times New Roman" w:cs="Times New Roman"/>
          <w:bCs/>
          <w:color w:val="000000" w:themeColor="text1"/>
          <w:lang w:bidi="en-US"/>
          <w14:textFill>
            <w14:solidFill>
              <w14:schemeClr w14:val="tx1"/>
            </w14:solidFill>
          </w14:textFill>
        </w:rPr>
        <w:t>6886</w:t>
      </w:r>
      <w:r>
        <w:rPr>
          <w:rFonts w:hint="eastAsia" w:ascii="Times New Roman" w:hAnsi="Times New Roman" w:cs="Times New Roman"/>
          <w:bCs/>
          <w:color w:val="000000" w:themeColor="text1"/>
          <w:lang w:bidi="en-US"/>
          <w14:textFill>
            <w14:solidFill>
              <w14:schemeClr w14:val="tx1"/>
            </w14:solidFill>
          </w14:textFill>
        </w:rPr>
        <w:t>株；</w:t>
      </w:r>
      <w:r>
        <w:rPr>
          <w:rFonts w:ascii="Times New Roman" w:hAnsi="Times New Roman" w:cs="Times New Roman"/>
          <w:bCs/>
          <w:color w:val="000000" w:themeColor="text1"/>
          <w:lang w:bidi="en-US"/>
          <w14:textFill>
            <w14:solidFill>
              <w14:schemeClr w14:val="tx1"/>
            </w14:solidFill>
          </w14:textFill>
        </w:rPr>
        <w:t>赔偿</w:t>
      </w:r>
      <w:r>
        <w:rPr>
          <w:rFonts w:hint="eastAsia" w:ascii="Times New Roman" w:hAnsi="Times New Roman" w:cs="Times New Roman"/>
          <w:bCs/>
          <w:color w:val="000000" w:themeColor="text1"/>
          <w:lang w:bidi="en-US"/>
          <w14:textFill>
            <w14:solidFill>
              <w14:schemeClr w14:val="tx1"/>
            </w14:solidFill>
          </w14:textFill>
        </w:rPr>
        <w:t>果树2</w:t>
      </w:r>
      <w:r>
        <w:rPr>
          <w:rFonts w:ascii="Times New Roman" w:hAnsi="Times New Roman" w:cs="Times New Roman"/>
          <w:bCs/>
          <w:color w:val="000000" w:themeColor="text1"/>
          <w:lang w:bidi="en-US"/>
          <w14:textFill>
            <w14:solidFill>
              <w14:schemeClr w14:val="tx1"/>
            </w14:solidFill>
          </w14:textFill>
        </w:rPr>
        <w:t>356</w:t>
      </w:r>
      <w:r>
        <w:rPr>
          <w:rFonts w:hint="eastAsia" w:ascii="Times New Roman" w:hAnsi="Times New Roman" w:cs="Times New Roman"/>
          <w:bCs/>
          <w:color w:val="000000" w:themeColor="text1"/>
          <w:lang w:bidi="en-US"/>
          <w14:textFill>
            <w14:solidFill>
              <w14:schemeClr w14:val="tx1"/>
            </w14:solidFill>
          </w14:textFill>
        </w:rPr>
        <w:t>株，其中胸径</w:t>
      </w:r>
      <w:r>
        <w:rPr>
          <w:rFonts w:ascii="Times New Roman" w:hAnsi="Times New Roman" w:cs="Times New Roman"/>
          <w:bCs/>
          <w:color w:val="000000" w:themeColor="text1"/>
          <w:lang w:bidi="en-US"/>
          <w14:textFill>
            <w14:solidFill>
              <w14:schemeClr w14:val="tx1"/>
            </w14:solidFill>
          </w14:textFill>
        </w:rPr>
        <w:t>15cm</w:t>
      </w:r>
      <w:r>
        <w:rPr>
          <w:rFonts w:hint="eastAsia" w:ascii="Times New Roman" w:hAnsi="Times New Roman" w:cs="Times New Roman"/>
          <w:bCs/>
          <w:color w:val="000000" w:themeColor="text1"/>
          <w:lang w:bidi="en-US"/>
          <w14:textFill>
            <w14:solidFill>
              <w14:schemeClr w14:val="tx1"/>
            </w14:solidFill>
          </w14:textFill>
        </w:rPr>
        <w:t>以下的</w:t>
      </w:r>
      <w:r>
        <w:rPr>
          <w:rFonts w:ascii="Times New Roman" w:hAnsi="Times New Roman" w:cs="Times New Roman"/>
          <w:bCs/>
          <w:color w:val="000000" w:themeColor="text1"/>
          <w:lang w:bidi="en-US"/>
          <w14:textFill>
            <w14:solidFill>
              <w14:schemeClr w14:val="tx1"/>
            </w14:solidFill>
          </w14:textFill>
        </w:rPr>
        <w:t>2062</w:t>
      </w:r>
      <w:r>
        <w:rPr>
          <w:rFonts w:hint="eastAsia" w:ascii="Times New Roman" w:hAnsi="Times New Roman" w:cs="Times New Roman"/>
          <w:bCs/>
          <w:color w:val="000000" w:themeColor="text1"/>
          <w:lang w:bidi="en-US"/>
          <w14:textFill>
            <w14:solidFill>
              <w14:schemeClr w14:val="tx1"/>
            </w14:solidFill>
          </w14:textFill>
        </w:rPr>
        <w:t>株、胸径</w:t>
      </w:r>
      <w:r>
        <w:rPr>
          <w:rFonts w:ascii="Times New Roman" w:hAnsi="Times New Roman" w:cs="Times New Roman"/>
          <w:bCs/>
          <w:color w:val="000000" w:themeColor="text1"/>
          <w:lang w:bidi="en-US"/>
          <w14:textFill>
            <w14:solidFill>
              <w14:schemeClr w14:val="tx1"/>
            </w14:solidFill>
          </w14:textFill>
        </w:rPr>
        <w:t>15cm</w:t>
      </w:r>
      <w:r>
        <w:rPr>
          <w:rFonts w:hint="eastAsia" w:ascii="Times New Roman" w:hAnsi="Times New Roman" w:cs="Times New Roman"/>
          <w:bCs/>
          <w:color w:val="000000" w:themeColor="text1"/>
          <w:lang w:bidi="en-US"/>
          <w14:textFill>
            <w14:solidFill>
              <w14:schemeClr w14:val="tx1"/>
            </w14:solidFill>
          </w14:textFill>
        </w:rPr>
        <w:t>以上的</w:t>
      </w:r>
      <w:r>
        <w:rPr>
          <w:rFonts w:ascii="Times New Roman" w:hAnsi="Times New Roman" w:cs="Times New Roman"/>
          <w:bCs/>
          <w:color w:val="000000" w:themeColor="text1"/>
          <w:lang w:bidi="en-US"/>
          <w14:textFill>
            <w14:solidFill>
              <w14:schemeClr w14:val="tx1"/>
            </w14:solidFill>
          </w14:textFill>
        </w:rPr>
        <w:t>294</w:t>
      </w:r>
      <w:r>
        <w:rPr>
          <w:rFonts w:hint="eastAsia" w:ascii="Times New Roman" w:hAnsi="Times New Roman" w:cs="Times New Roman"/>
          <w:bCs/>
          <w:color w:val="000000" w:themeColor="text1"/>
          <w:lang w:bidi="en-US"/>
          <w14:textFill>
            <w14:solidFill>
              <w14:schemeClr w14:val="tx1"/>
            </w14:solidFill>
          </w14:textFill>
        </w:rPr>
        <w:t>株；赔偿灌木1</w:t>
      </w:r>
      <w:r>
        <w:rPr>
          <w:rFonts w:ascii="Times New Roman" w:hAnsi="Times New Roman" w:cs="Times New Roman"/>
          <w:bCs/>
          <w:color w:val="000000" w:themeColor="text1"/>
          <w:lang w:bidi="en-US"/>
          <w14:textFill>
            <w14:solidFill>
              <w14:schemeClr w14:val="tx1"/>
            </w14:solidFill>
          </w14:textFill>
        </w:rPr>
        <w:t>1.526</w:t>
      </w:r>
      <w:r>
        <w:rPr>
          <w:rFonts w:ascii="Times New Roman" w:hAnsi="Times New Roman" w:cs="Times New Roman"/>
          <w:color w:val="000000" w:themeColor="text1"/>
          <w14:textFill>
            <w14:solidFill>
              <w14:schemeClr w14:val="tx1"/>
            </w14:solidFill>
          </w14:textFill>
        </w:rPr>
        <w:t xml:space="preserve"> hm</w:t>
      </w:r>
      <w:r>
        <w:rPr>
          <w:rFonts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bCs/>
          <w:color w:val="000000" w:themeColor="text1"/>
          <w:lang w:bidi="en-US"/>
          <w14:textFill>
            <w14:solidFill>
              <w14:schemeClr w14:val="tx1"/>
            </w14:solidFill>
          </w14:textFill>
        </w:rPr>
        <w:t>；赔偿青苗3</w:t>
      </w:r>
      <w:r>
        <w:rPr>
          <w:rFonts w:ascii="Times New Roman" w:hAnsi="Times New Roman" w:cs="Times New Roman"/>
          <w:bCs/>
          <w:color w:val="000000" w:themeColor="text1"/>
          <w:lang w:bidi="en-US"/>
          <w14:textFill>
            <w14:solidFill>
              <w14:schemeClr w14:val="tx1"/>
            </w14:solidFill>
          </w14:textFill>
        </w:rPr>
        <w:t>44.52</w:t>
      </w:r>
      <w:r>
        <w:rPr>
          <w:rFonts w:hint="eastAsia" w:ascii="Times New Roman" w:hAnsi="Times New Roman" w:cs="Times New Roman"/>
          <w:bCs/>
          <w:color w:val="000000" w:themeColor="text1"/>
          <w:lang w:bidi="en-US"/>
          <w14:textFill>
            <w14:solidFill>
              <w14:schemeClr w14:val="tx1"/>
            </w14:solidFill>
          </w14:textFill>
        </w:rPr>
        <w:t>亩。</w:t>
      </w:r>
    </w:p>
    <w:p w14:paraId="2D4A4B7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在施工过程中，当地林业部门和施工单位应共同划出保护线，明确保护对象和保护范围。</w:t>
      </w:r>
    </w:p>
    <w:p w14:paraId="163E35C7">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工程砍伐灌木林地致使区域损失相应生物量，但从生产力角度分析，对生态系统的影响尚在可接受范围之内。</w:t>
      </w:r>
    </w:p>
    <w:p w14:paraId="6BA1DE7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2）污染损失</w:t>
      </w:r>
    </w:p>
    <w:p w14:paraId="3BDF9C5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施工过程中扬尘、汽车尾气对自然植被</w:t>
      </w:r>
      <w:r>
        <w:rPr>
          <w:rFonts w:hint="eastAsia" w:ascii="Times New Roman" w:hAnsi="Times New Roman" w:cs="Times New Roman"/>
          <w:snapToGrid w:val="0"/>
          <w:color w:val="000000" w:themeColor="text1"/>
          <w:lang w:val="zh-CN"/>
          <w14:textFill>
            <w14:solidFill>
              <w14:schemeClr w14:val="tx1"/>
            </w14:solidFill>
          </w14:textFill>
        </w:rPr>
        <w:t>生长</w:t>
      </w:r>
      <w:r>
        <w:rPr>
          <w:rFonts w:ascii="Times New Roman" w:hAnsi="Times New Roman" w:cs="Times New Roman"/>
          <w:snapToGrid w:val="0"/>
          <w:color w:val="000000" w:themeColor="text1"/>
          <w:lang w:val="zh-CN"/>
          <w14:textFill>
            <w14:solidFill>
              <w14:schemeClr w14:val="tx1"/>
            </w14:solidFill>
          </w14:textFill>
        </w:rPr>
        <w:t>的污染损失，施工各类机械活动、人员扰动、工程占地对生态环境造成的影响和破坏是无法定量分析的，只能通过环保措施尽量加以减缓。</w:t>
      </w:r>
    </w:p>
    <w:p w14:paraId="0C7EC427">
      <w:pPr>
        <w:pStyle w:val="4"/>
        <w:adjustRightInd w:val="0"/>
        <w:snapToGrid w:val="0"/>
        <w:spacing w:before="156" w:after="156" w:line="240" w:lineRule="auto"/>
        <w:jc w:val="both"/>
        <w:rPr>
          <w:rFonts w:ascii="Times New Roman" w:hAnsi="Times New Roman" w:cs="Times New Roman"/>
          <w:color w:val="000000" w:themeColor="text1"/>
          <w:sz w:val="30"/>
          <w14:textFill>
            <w14:solidFill>
              <w14:schemeClr w14:val="tx1"/>
            </w14:solidFill>
          </w14:textFill>
        </w:rPr>
      </w:pPr>
      <w:bookmarkStart w:id="620" w:name="_Toc57826794"/>
      <w:bookmarkStart w:id="621" w:name="_Toc98414276"/>
      <w:bookmarkStart w:id="622" w:name="_Toc34989631"/>
      <w:bookmarkStart w:id="623" w:name="_Toc97464700"/>
      <w:bookmarkStart w:id="624" w:name="_Toc98413594"/>
      <w:r>
        <w:rPr>
          <w:rFonts w:ascii="Times New Roman" w:hAnsi="Times New Roman" w:cs="Times New Roman"/>
          <w:color w:val="000000" w:themeColor="text1"/>
          <w:sz w:val="30"/>
          <w14:textFill>
            <w14:solidFill>
              <w14:schemeClr w14:val="tx1"/>
            </w14:solidFill>
          </w14:textFill>
        </w:rPr>
        <w:t>8.3.2环境效益分析</w:t>
      </w:r>
      <w:bookmarkEnd w:id="620"/>
      <w:bookmarkEnd w:id="621"/>
      <w:bookmarkEnd w:id="622"/>
      <w:bookmarkEnd w:id="623"/>
      <w:bookmarkEnd w:id="624"/>
    </w:p>
    <w:p w14:paraId="7637C54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本项目建设环境效益体现在两个方面：一是工程建设带来的环境效益；二是实施环境保护措施带来的环境效益。</w:t>
      </w:r>
    </w:p>
    <w:p w14:paraId="549784E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（1）工程建设环境效益</w:t>
      </w:r>
    </w:p>
    <w:p w14:paraId="53D2DC4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生态效益</w:t>
      </w:r>
    </w:p>
    <w:p w14:paraId="5B5A40E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随着公路沿线各类工程防护措施和水土保持措施的完善，公路沿线的水土流失状况将会得到一定程度的改善，这也有利于保护和改善区域及沿线的生态环境状况。</w:t>
      </w:r>
    </w:p>
    <w:p w14:paraId="3078A9F9">
      <w:pPr>
        <w:pStyle w:val="426"/>
        <w:numPr>
          <w:ilvl w:val="0"/>
          <w:numId w:val="13"/>
        </w:numPr>
        <w:spacing w:line="360" w:lineRule="auto"/>
        <w:ind w:firstLineChars="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大气环境效益</w:t>
      </w:r>
    </w:p>
    <w:p w14:paraId="201D76F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汽车尾气</w:t>
      </w:r>
      <w:r>
        <w:rPr>
          <w:rFonts w:ascii="Times New Roman" w:hAnsi="Times New Roman" w:cs="Times New Roman"/>
          <w:snapToGrid w:val="0"/>
          <w:color w:val="000000" w:themeColor="text1"/>
          <w:lang w:val="zh-CN"/>
          <w14:textFill>
            <w14:solidFill>
              <w14:schemeClr w14:val="tx1"/>
            </w14:solidFill>
          </w14:textFill>
        </w:rPr>
        <w:t>的主要污染成分是CO、NO</w:t>
      </w:r>
      <w:r>
        <w:rPr>
          <w:rFonts w:ascii="Times New Roman" w:hAnsi="Times New Roman" w:cs="Times New Roman"/>
          <w:snapToGrid w:val="0"/>
          <w:color w:val="000000" w:themeColor="text1"/>
          <w:vertAlign w:val="subscript"/>
          <w:lang w:val="zh-CN"/>
          <w14:textFill>
            <w14:solidFill>
              <w14:schemeClr w14:val="tx1"/>
            </w14:solidFill>
          </w14:textFill>
        </w:rPr>
        <w:t>2</w:t>
      </w:r>
      <w:r>
        <w:rPr>
          <w:rFonts w:ascii="Times New Roman" w:hAnsi="Times New Roman" w:cs="Times New Roman"/>
          <w:snapToGrid w:val="0"/>
          <w:color w:val="000000" w:themeColor="text1"/>
          <w:lang w:val="zh-CN"/>
          <w14:textFill>
            <w14:solidFill>
              <w14:schemeClr w14:val="tx1"/>
            </w14:solidFill>
          </w14:textFill>
        </w:rPr>
        <w:t>和碳氢化合物。据相关资料表明，汽车在</w:t>
      </w:r>
      <w:r>
        <w:rPr>
          <w:rFonts w:hint="eastAsia" w:ascii="Times New Roman" w:hAnsi="Times New Roman" w:cs="Times New Roman"/>
          <w:snapToGrid w:val="0"/>
          <w:color w:val="000000" w:themeColor="text1"/>
          <w:lang w:val="zh-CN"/>
          <w14:textFill>
            <w14:solidFill>
              <w14:schemeClr w14:val="tx1"/>
            </w14:solidFill>
          </w14:textFill>
        </w:rPr>
        <w:t>空挡</w:t>
      </w:r>
      <w:r>
        <w:rPr>
          <w:rFonts w:ascii="Times New Roman" w:hAnsi="Times New Roman" w:cs="Times New Roman"/>
          <w:snapToGrid w:val="0"/>
          <w:color w:val="000000" w:themeColor="text1"/>
          <w:lang w:val="zh-CN"/>
          <w14:textFill>
            <w14:solidFill>
              <w14:schemeClr w14:val="tx1"/>
            </w14:solidFill>
          </w14:textFill>
        </w:rPr>
        <w:t>时碳氢化合物和CO浓度最高；低速时碳氢化合物和CO浓度较高；高速时CO和碳氢化合物浓度较低。在现有公路路况较差的情况下，行驶的汽车不得不频繁的加速和减速，从而导致尾气中碳氢化合物和CO的排放量增大。由此可见，本项目的实施有利于缓解交通压力，提高公路通畅程度，将有利于缓解汽车尾气对周围大气环境的影响。</w:t>
      </w:r>
    </w:p>
    <w:p w14:paraId="2568F25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（2）环境保护投资效益</w:t>
      </w:r>
    </w:p>
    <w:p w14:paraId="4624BD1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环境保护行动计划涉及工程建设的施工和营运两个阶段，环境保护措施包括确定环境可行的选线方案、生态破坏补偿、水土保持工程以及环境监督检查与管理等各个方面，采取的环境保护措施适当，环境保护投资合理，具有显著的环境效益，实现了工程建设的环境可行性，主要体现在：</w:t>
      </w:r>
    </w:p>
    <w:p w14:paraId="0A769630">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①</w:t>
      </w:r>
      <w:r>
        <w:rPr>
          <w:rFonts w:ascii="Times New Roman" w:hAnsi="Times New Roman" w:cs="Times New Roman"/>
          <w:snapToGrid w:val="0"/>
          <w:color w:val="000000" w:themeColor="text1"/>
          <w:lang w:val="zh-CN"/>
          <w14:textFill>
            <w14:solidFill>
              <w14:schemeClr w14:val="tx1"/>
            </w14:solidFill>
          </w14:textFill>
        </w:rPr>
        <w:t>弃土场选址于荒漠，最大程度地减轻了水土流失、扬尘污染；</w:t>
      </w:r>
    </w:p>
    <w:p w14:paraId="026C74D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②</w:t>
      </w:r>
      <w:r>
        <w:rPr>
          <w:rFonts w:ascii="Times New Roman" w:hAnsi="Times New Roman" w:cs="Times New Roman"/>
          <w:snapToGrid w:val="0"/>
          <w:color w:val="000000" w:themeColor="text1"/>
          <w:lang w:val="zh-CN"/>
          <w14:textFill>
            <w14:solidFill>
              <w14:schemeClr w14:val="tx1"/>
            </w14:solidFill>
          </w14:textFill>
        </w:rPr>
        <w:t>工程采取了路基防护工程，降低了水土流失影响，增加了工程的生态效益；设置过水涵洞等工程措施，保证了水力通道的通畅，消除了洪水威胁，保护了水利工程基础设施；</w:t>
      </w:r>
    </w:p>
    <w:p w14:paraId="15CA7DC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snapToGrid w:val="0"/>
          <w:color w:val="000000" w:themeColor="text1"/>
          <w:lang w:val="zh-CN"/>
          <w14:textFill>
            <w14:solidFill>
              <w14:schemeClr w14:val="tx1"/>
            </w14:solidFill>
          </w14:textFill>
        </w:rPr>
        <w:t>③</w:t>
      </w:r>
      <w:r>
        <w:rPr>
          <w:rFonts w:ascii="Times New Roman" w:hAnsi="Times New Roman" w:cs="Times New Roman"/>
          <w:snapToGrid w:val="0"/>
          <w:color w:val="000000" w:themeColor="text1"/>
          <w:lang w:val="zh-CN"/>
          <w14:textFill>
            <w14:solidFill>
              <w14:schemeClr w14:val="tx1"/>
            </w14:solidFill>
          </w14:textFill>
        </w:rPr>
        <w:t>实施环境监督和管理措施，增强了环境保护意识，预防了污染，避免了环境污染纠纷。</w:t>
      </w:r>
    </w:p>
    <w:p w14:paraId="1447D479">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bookmarkStart w:id="625" w:name="_Toc97464701"/>
      <w:bookmarkStart w:id="626" w:name="_Toc57826795"/>
      <w:bookmarkStart w:id="627" w:name="_Toc34989632"/>
      <w:bookmarkStart w:id="628" w:name="_Toc98413595"/>
      <w:bookmarkStart w:id="629" w:name="_Toc98414277"/>
      <w:r>
        <w:rPr>
          <w:rFonts w:ascii="Times New Roman" w:hAnsi="Times New Roman" w:cs="Times New Roman"/>
          <w:color w:val="000000" w:themeColor="text1"/>
          <w:sz w:val="30"/>
          <w14:textFill>
            <w14:solidFill>
              <w14:schemeClr w14:val="tx1"/>
            </w14:solidFill>
          </w14:textFill>
        </w:rPr>
        <w:t>8.3.3环境影响损益分析</w:t>
      </w:r>
      <w:bookmarkEnd w:id="625"/>
      <w:bookmarkEnd w:id="626"/>
      <w:bookmarkEnd w:id="627"/>
      <w:bookmarkEnd w:id="628"/>
      <w:bookmarkEnd w:id="629"/>
    </w:p>
    <w:p w14:paraId="22AEF1A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对受本项目影响的主要环境因素，分别采用补偿法、专家打分法等分析方法对本项目环境经济损益进行定性分析，其结果见表8.3-1。</w:t>
      </w:r>
    </w:p>
    <w:p w14:paraId="2C78BF3A">
      <w:pPr>
        <w:pStyle w:val="2296"/>
        <w:rPr>
          <w:rFonts w:ascii="黑体" w:hAnsi="黑体" w:cs="Times New Roman"/>
          <w:color w:val="000000" w:themeColor="text1"/>
          <w14:textFill>
            <w14:solidFill>
              <w14:schemeClr w14:val="tx1"/>
            </w14:solidFill>
          </w14:textFill>
        </w:rPr>
      </w:pPr>
      <w:r>
        <w:rPr>
          <w:rFonts w:ascii="黑体" w:hAnsi="黑体" w:cs="Times New Roman"/>
          <w:color w:val="000000" w:themeColor="text1"/>
          <w14:textFill>
            <w14:solidFill>
              <w14:schemeClr w14:val="tx1"/>
            </w14:solidFill>
          </w14:textFill>
        </w:rPr>
        <w:t>表8.3-1  本项目环境影响经济效益分析表</w:t>
      </w:r>
    </w:p>
    <w:tbl>
      <w:tblPr>
        <w:tblStyle w:val="8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465"/>
        <w:gridCol w:w="4223"/>
        <w:gridCol w:w="875"/>
        <w:gridCol w:w="1250"/>
      </w:tblGrid>
      <w:tr w14:paraId="5AAB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2F4CD2B6">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序号</w:t>
            </w:r>
          </w:p>
        </w:tc>
        <w:tc>
          <w:tcPr>
            <w:tcW w:w="859" w:type="pct"/>
            <w:vAlign w:val="center"/>
          </w:tcPr>
          <w:p w14:paraId="313C6443">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序号</w:t>
            </w:r>
          </w:p>
        </w:tc>
        <w:tc>
          <w:tcPr>
            <w:tcW w:w="2476" w:type="pct"/>
            <w:vAlign w:val="center"/>
          </w:tcPr>
          <w:p w14:paraId="74DF3780">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环境要素</w:t>
            </w:r>
          </w:p>
        </w:tc>
        <w:tc>
          <w:tcPr>
            <w:tcW w:w="513" w:type="pct"/>
            <w:vAlign w:val="center"/>
          </w:tcPr>
          <w:p w14:paraId="32612F8C">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效益</w:t>
            </w:r>
          </w:p>
        </w:tc>
        <w:tc>
          <w:tcPr>
            <w:tcW w:w="733" w:type="pct"/>
            <w:vAlign w:val="center"/>
          </w:tcPr>
          <w:p w14:paraId="5569E60D">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备注</w:t>
            </w:r>
          </w:p>
        </w:tc>
      </w:tr>
      <w:tr w14:paraId="0D35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798A85D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859" w:type="pct"/>
            <w:vAlign w:val="center"/>
          </w:tcPr>
          <w:p w14:paraId="523CB5A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环境空气</w:t>
            </w:r>
          </w:p>
          <w:p w14:paraId="7E10FADD">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声环境</w:t>
            </w:r>
          </w:p>
        </w:tc>
        <w:tc>
          <w:tcPr>
            <w:tcW w:w="2476" w:type="pct"/>
            <w:vAlign w:val="center"/>
          </w:tcPr>
          <w:p w14:paraId="6C74E984">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拟建公路沿线声环境、环境空气质量降低</w:t>
            </w:r>
          </w:p>
        </w:tc>
        <w:tc>
          <w:tcPr>
            <w:tcW w:w="513" w:type="pct"/>
            <w:vAlign w:val="center"/>
          </w:tcPr>
          <w:p w14:paraId="5C2F694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restart"/>
            <w:vAlign w:val="center"/>
          </w:tcPr>
          <w:p w14:paraId="21E5F001">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按影响程度由小到大分别打1、2、3分；“+”正效益；“-”负效益</w:t>
            </w:r>
          </w:p>
        </w:tc>
      </w:tr>
      <w:tr w14:paraId="0F11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4B1FBCBA">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2</w:t>
            </w:r>
          </w:p>
        </w:tc>
        <w:tc>
          <w:tcPr>
            <w:tcW w:w="859" w:type="pct"/>
            <w:vAlign w:val="center"/>
          </w:tcPr>
          <w:p w14:paraId="1B98155F">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水环境</w:t>
            </w:r>
          </w:p>
        </w:tc>
        <w:tc>
          <w:tcPr>
            <w:tcW w:w="2476" w:type="pct"/>
            <w:vAlign w:val="center"/>
          </w:tcPr>
          <w:p w14:paraId="3478A345">
            <w:pPr>
              <w:jc w:val="center"/>
              <w:rPr>
                <w:rFonts w:ascii="Times New Roman" w:hAnsi="Times New Roman" w:cs="Times New Roman"/>
                <w:bCs/>
                <w:color w:val="000000" w:themeColor="text1"/>
                <w:sz w:val="21"/>
                <w:szCs w:val="21"/>
                <w:lang w:bidi="en-US"/>
                <w14:textFill>
                  <w14:solidFill>
                    <w14:schemeClr w14:val="tx1"/>
                  </w14:solidFill>
                </w14:textFill>
              </w:rPr>
            </w:pPr>
            <w:r>
              <w:rPr>
                <w:rFonts w:hint="eastAsia" w:ascii="Times New Roman" w:hAnsi="Times New Roman" w:cs="Times New Roman"/>
                <w:bCs/>
                <w:color w:val="000000" w:themeColor="text1"/>
                <w:sz w:val="21"/>
                <w:szCs w:val="21"/>
                <w:lang w:bidi="en-US"/>
                <w14:textFill>
                  <w14:solidFill>
                    <w14:schemeClr w14:val="tx1"/>
                  </w14:solidFill>
                </w14:textFill>
              </w:rPr>
              <w:t>轻微影响，采取措施后可减缓对沿线河流等地表水体影响</w:t>
            </w:r>
          </w:p>
        </w:tc>
        <w:tc>
          <w:tcPr>
            <w:tcW w:w="513" w:type="pct"/>
            <w:vAlign w:val="center"/>
          </w:tcPr>
          <w:p w14:paraId="131C6C08">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446919D7">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5E31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2085BE49">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3</w:t>
            </w:r>
          </w:p>
        </w:tc>
        <w:tc>
          <w:tcPr>
            <w:tcW w:w="859" w:type="pct"/>
            <w:vAlign w:val="center"/>
          </w:tcPr>
          <w:p w14:paraId="45E1C066">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人群健康</w:t>
            </w:r>
          </w:p>
        </w:tc>
        <w:tc>
          <w:tcPr>
            <w:tcW w:w="2476" w:type="pct"/>
            <w:vAlign w:val="center"/>
          </w:tcPr>
          <w:p w14:paraId="009EE6A5">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无显著不利影响，交通方便有利于就医</w:t>
            </w:r>
          </w:p>
        </w:tc>
        <w:tc>
          <w:tcPr>
            <w:tcW w:w="513" w:type="pct"/>
            <w:vAlign w:val="center"/>
          </w:tcPr>
          <w:p w14:paraId="6B02F665">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6BB37235">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09E6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239D4B23">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4</w:t>
            </w:r>
          </w:p>
        </w:tc>
        <w:tc>
          <w:tcPr>
            <w:tcW w:w="859" w:type="pct"/>
            <w:vAlign w:val="center"/>
          </w:tcPr>
          <w:p w14:paraId="64583D41">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动物</w:t>
            </w:r>
          </w:p>
        </w:tc>
        <w:tc>
          <w:tcPr>
            <w:tcW w:w="2476" w:type="pct"/>
            <w:vAlign w:val="center"/>
          </w:tcPr>
          <w:p w14:paraId="2832C1A7">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涉及对野生动物生境的影响</w:t>
            </w:r>
          </w:p>
        </w:tc>
        <w:tc>
          <w:tcPr>
            <w:tcW w:w="513" w:type="pct"/>
            <w:vAlign w:val="center"/>
          </w:tcPr>
          <w:p w14:paraId="3E3BF1BE">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1CB5EA34">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2582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6FBF8F4D">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5</w:t>
            </w:r>
          </w:p>
        </w:tc>
        <w:tc>
          <w:tcPr>
            <w:tcW w:w="859" w:type="pct"/>
            <w:vAlign w:val="center"/>
          </w:tcPr>
          <w:p w14:paraId="22E97EE7">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植物</w:t>
            </w:r>
          </w:p>
        </w:tc>
        <w:tc>
          <w:tcPr>
            <w:tcW w:w="2476" w:type="pct"/>
            <w:vAlign w:val="center"/>
          </w:tcPr>
          <w:p w14:paraId="72B61631">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主要破坏永久占地范围内的地表植被，相对于区域损失较小</w:t>
            </w:r>
          </w:p>
        </w:tc>
        <w:tc>
          <w:tcPr>
            <w:tcW w:w="513" w:type="pct"/>
            <w:vAlign w:val="center"/>
          </w:tcPr>
          <w:p w14:paraId="4E7E516F">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5F06DE13">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3165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14066909">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6</w:t>
            </w:r>
          </w:p>
        </w:tc>
        <w:tc>
          <w:tcPr>
            <w:tcW w:w="859" w:type="pct"/>
            <w:vAlign w:val="center"/>
          </w:tcPr>
          <w:p w14:paraId="54F83B69">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旅游资源</w:t>
            </w:r>
          </w:p>
        </w:tc>
        <w:tc>
          <w:tcPr>
            <w:tcW w:w="2476" w:type="pct"/>
            <w:vAlign w:val="center"/>
          </w:tcPr>
          <w:p w14:paraId="520C0D60">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无显著的不利影响，有利于资源开发</w:t>
            </w:r>
          </w:p>
        </w:tc>
        <w:tc>
          <w:tcPr>
            <w:tcW w:w="513" w:type="pct"/>
            <w:vAlign w:val="center"/>
          </w:tcPr>
          <w:p w14:paraId="3369FABC">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03C4D67E">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20EF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1603FDC3">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7</w:t>
            </w:r>
          </w:p>
        </w:tc>
        <w:tc>
          <w:tcPr>
            <w:tcW w:w="859" w:type="pct"/>
            <w:vAlign w:val="center"/>
          </w:tcPr>
          <w:p w14:paraId="322AE7D3">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产业结构</w:t>
            </w:r>
          </w:p>
        </w:tc>
        <w:tc>
          <w:tcPr>
            <w:tcW w:w="2476" w:type="pct"/>
            <w:vAlign w:val="center"/>
          </w:tcPr>
          <w:p w14:paraId="330C5628">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有利于产业结构的转变，有利于第一产业转变为第二、三产业</w:t>
            </w:r>
          </w:p>
        </w:tc>
        <w:tc>
          <w:tcPr>
            <w:tcW w:w="513" w:type="pct"/>
            <w:vAlign w:val="center"/>
          </w:tcPr>
          <w:p w14:paraId="7B520176">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+2</w:t>
            </w:r>
          </w:p>
        </w:tc>
        <w:tc>
          <w:tcPr>
            <w:tcW w:w="733" w:type="pct"/>
            <w:vMerge w:val="continue"/>
            <w:vAlign w:val="center"/>
          </w:tcPr>
          <w:p w14:paraId="140F1045">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75684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2C665AC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8</w:t>
            </w:r>
          </w:p>
        </w:tc>
        <w:tc>
          <w:tcPr>
            <w:tcW w:w="859" w:type="pct"/>
            <w:vAlign w:val="center"/>
          </w:tcPr>
          <w:p w14:paraId="6DB47D3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规划</w:t>
            </w:r>
          </w:p>
        </w:tc>
        <w:tc>
          <w:tcPr>
            <w:tcW w:w="2476" w:type="pct"/>
            <w:vAlign w:val="center"/>
          </w:tcPr>
          <w:p w14:paraId="4033D443">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与路网规划等相协调</w:t>
            </w:r>
          </w:p>
        </w:tc>
        <w:tc>
          <w:tcPr>
            <w:tcW w:w="513" w:type="pct"/>
            <w:vAlign w:val="center"/>
          </w:tcPr>
          <w:p w14:paraId="1F62D3CD">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2D642190">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62F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3D547D59">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9</w:t>
            </w:r>
          </w:p>
        </w:tc>
        <w:tc>
          <w:tcPr>
            <w:tcW w:w="859" w:type="pct"/>
            <w:vAlign w:val="center"/>
          </w:tcPr>
          <w:p w14:paraId="6D5989E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水土保持</w:t>
            </w:r>
          </w:p>
        </w:tc>
        <w:tc>
          <w:tcPr>
            <w:tcW w:w="2476" w:type="pct"/>
            <w:vAlign w:val="center"/>
          </w:tcPr>
          <w:p w14:paraId="1F0B990B">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无显著的不利影响，但增加工程投资</w:t>
            </w:r>
          </w:p>
        </w:tc>
        <w:tc>
          <w:tcPr>
            <w:tcW w:w="513" w:type="pct"/>
            <w:vAlign w:val="center"/>
          </w:tcPr>
          <w:p w14:paraId="1AFAEAE1">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27116FD7">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5B27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02CE623C">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10</w:t>
            </w:r>
          </w:p>
        </w:tc>
        <w:tc>
          <w:tcPr>
            <w:tcW w:w="859" w:type="pct"/>
            <w:vAlign w:val="center"/>
          </w:tcPr>
          <w:p w14:paraId="429B4CC5">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征地拆迁</w:t>
            </w:r>
          </w:p>
        </w:tc>
        <w:tc>
          <w:tcPr>
            <w:tcW w:w="2476" w:type="pct"/>
            <w:vAlign w:val="center"/>
          </w:tcPr>
          <w:p w14:paraId="5ADD0B84">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涉及沿线电力设施的工程拆迁</w:t>
            </w:r>
          </w:p>
        </w:tc>
        <w:tc>
          <w:tcPr>
            <w:tcW w:w="513" w:type="pct"/>
            <w:vAlign w:val="center"/>
          </w:tcPr>
          <w:p w14:paraId="6D0FB1A6">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w:t>
            </w:r>
          </w:p>
        </w:tc>
        <w:tc>
          <w:tcPr>
            <w:tcW w:w="733" w:type="pct"/>
            <w:vMerge w:val="continue"/>
            <w:vAlign w:val="center"/>
          </w:tcPr>
          <w:p w14:paraId="0E1F2053">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14D7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1E80550F">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11</w:t>
            </w:r>
          </w:p>
        </w:tc>
        <w:tc>
          <w:tcPr>
            <w:tcW w:w="859" w:type="pct"/>
            <w:vAlign w:val="center"/>
          </w:tcPr>
          <w:p w14:paraId="3C4BF558">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土地价值</w:t>
            </w:r>
          </w:p>
        </w:tc>
        <w:tc>
          <w:tcPr>
            <w:tcW w:w="2476" w:type="pct"/>
            <w:vAlign w:val="center"/>
          </w:tcPr>
          <w:p w14:paraId="49100317">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基本无影响</w:t>
            </w:r>
          </w:p>
        </w:tc>
        <w:tc>
          <w:tcPr>
            <w:tcW w:w="513" w:type="pct"/>
            <w:vAlign w:val="center"/>
          </w:tcPr>
          <w:p w14:paraId="0653663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0</w:t>
            </w:r>
          </w:p>
        </w:tc>
        <w:tc>
          <w:tcPr>
            <w:tcW w:w="733" w:type="pct"/>
            <w:vMerge w:val="continue"/>
            <w:vAlign w:val="center"/>
          </w:tcPr>
          <w:p w14:paraId="488441AA">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1D14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396FC3B0">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12</w:t>
            </w:r>
          </w:p>
        </w:tc>
        <w:tc>
          <w:tcPr>
            <w:tcW w:w="859" w:type="pct"/>
            <w:vAlign w:val="center"/>
          </w:tcPr>
          <w:p w14:paraId="0FB30F48">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直接社会效益</w:t>
            </w:r>
          </w:p>
        </w:tc>
        <w:tc>
          <w:tcPr>
            <w:tcW w:w="2476" w:type="pct"/>
            <w:vAlign w:val="center"/>
          </w:tcPr>
          <w:p w14:paraId="635DF68D">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缩短里程、节约时间、降低运输成本、降低油耗、提高安全性等5种效益</w:t>
            </w:r>
          </w:p>
        </w:tc>
        <w:tc>
          <w:tcPr>
            <w:tcW w:w="513" w:type="pct"/>
            <w:vAlign w:val="center"/>
          </w:tcPr>
          <w:p w14:paraId="26C85E4F">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+2</w:t>
            </w:r>
          </w:p>
        </w:tc>
        <w:tc>
          <w:tcPr>
            <w:tcW w:w="733" w:type="pct"/>
            <w:vMerge w:val="continue"/>
            <w:vAlign w:val="center"/>
          </w:tcPr>
          <w:p w14:paraId="6FD6C36E">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358D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2CB9672F">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13</w:t>
            </w:r>
          </w:p>
        </w:tc>
        <w:tc>
          <w:tcPr>
            <w:tcW w:w="859" w:type="pct"/>
            <w:vAlign w:val="center"/>
          </w:tcPr>
          <w:p w14:paraId="5FB83876">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间接社会效益</w:t>
            </w:r>
          </w:p>
        </w:tc>
        <w:tc>
          <w:tcPr>
            <w:tcW w:w="2476" w:type="pct"/>
            <w:vAlign w:val="center"/>
          </w:tcPr>
          <w:p w14:paraId="395ADE29">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体现社会共同进步、公平原则，改善投资环境、促进经济发展、增强环境意识</w:t>
            </w:r>
          </w:p>
        </w:tc>
        <w:tc>
          <w:tcPr>
            <w:tcW w:w="513" w:type="pct"/>
            <w:vAlign w:val="center"/>
          </w:tcPr>
          <w:p w14:paraId="6E0995D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+3</w:t>
            </w:r>
          </w:p>
        </w:tc>
        <w:tc>
          <w:tcPr>
            <w:tcW w:w="733" w:type="pct"/>
            <w:vMerge w:val="continue"/>
            <w:vAlign w:val="center"/>
          </w:tcPr>
          <w:p w14:paraId="00C58BB5">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4F74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9" w:type="pct"/>
            <w:vAlign w:val="center"/>
          </w:tcPr>
          <w:p w14:paraId="0BB4DACC">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14</w:t>
            </w:r>
          </w:p>
        </w:tc>
        <w:tc>
          <w:tcPr>
            <w:tcW w:w="859" w:type="pct"/>
            <w:vAlign w:val="center"/>
          </w:tcPr>
          <w:p w14:paraId="343A7B1C">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环保措施</w:t>
            </w:r>
          </w:p>
        </w:tc>
        <w:tc>
          <w:tcPr>
            <w:tcW w:w="2476" w:type="pct"/>
            <w:vAlign w:val="center"/>
          </w:tcPr>
          <w:p w14:paraId="4291A116">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增加工程投资，但所占比例总体较小</w:t>
            </w:r>
          </w:p>
        </w:tc>
        <w:tc>
          <w:tcPr>
            <w:tcW w:w="513" w:type="pct"/>
            <w:vAlign w:val="center"/>
          </w:tcPr>
          <w:p w14:paraId="67DDA08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+3</w:t>
            </w:r>
          </w:p>
        </w:tc>
        <w:tc>
          <w:tcPr>
            <w:tcW w:w="733" w:type="pct"/>
            <w:vMerge w:val="continue"/>
            <w:vAlign w:val="center"/>
          </w:tcPr>
          <w:p w14:paraId="3C637B0F">
            <w:pPr>
              <w:jc w:val="center"/>
              <w:rPr>
                <w:rFonts w:ascii="Times New Roman" w:hAnsi="Times New Roman" w:cs="Times New Roman"/>
                <w:bCs/>
                <w:color w:val="000000" w:themeColor="text1"/>
                <w:sz w:val="21"/>
                <w:szCs w:val="21"/>
                <w:lang w:bidi="en-US"/>
                <w14:textFill>
                  <w14:solidFill>
                    <w14:schemeClr w14:val="tx1"/>
                  </w14:solidFill>
                </w14:textFill>
              </w:rPr>
            </w:pPr>
          </w:p>
        </w:tc>
      </w:tr>
      <w:tr w14:paraId="359F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8" w:type="pct"/>
            <w:gridSpan w:val="2"/>
            <w:vAlign w:val="center"/>
          </w:tcPr>
          <w:p w14:paraId="50091B79">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合计</w:t>
            </w:r>
          </w:p>
        </w:tc>
        <w:tc>
          <w:tcPr>
            <w:tcW w:w="2476" w:type="pct"/>
            <w:vAlign w:val="center"/>
          </w:tcPr>
          <w:p w14:paraId="086FDD28">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正效益：+14；负效益：-5。</w:t>
            </w:r>
          </w:p>
          <w:p w14:paraId="46840619">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正效益/负效益=2.8</w:t>
            </w:r>
          </w:p>
        </w:tc>
        <w:tc>
          <w:tcPr>
            <w:tcW w:w="513" w:type="pct"/>
            <w:vAlign w:val="center"/>
          </w:tcPr>
          <w:p w14:paraId="51EABA42">
            <w:pPr>
              <w:jc w:val="center"/>
              <w:rPr>
                <w:rFonts w:ascii="Times New Roman" w:hAnsi="Times New Roman" w:cs="Times New Roman"/>
                <w:bCs/>
                <w:color w:val="000000" w:themeColor="text1"/>
                <w:sz w:val="21"/>
                <w:szCs w:val="21"/>
                <w:lang w:bidi="en-US"/>
                <w14:textFill>
                  <w14:solidFill>
                    <w14:schemeClr w14:val="tx1"/>
                  </w14:solidFill>
                </w14:textFill>
              </w:rPr>
            </w:pPr>
            <w:r>
              <w:rPr>
                <w:rFonts w:ascii="Times New Roman" w:hAnsi="Times New Roman" w:cs="Times New Roman"/>
                <w:bCs/>
                <w:color w:val="000000" w:themeColor="text1"/>
                <w:sz w:val="21"/>
                <w:szCs w:val="21"/>
                <w:lang w:bidi="en-US"/>
                <w14:textFill>
                  <w14:solidFill>
                    <w14:schemeClr w14:val="tx1"/>
                  </w14:solidFill>
                </w14:textFill>
              </w:rPr>
              <w:t>+9</w:t>
            </w:r>
          </w:p>
        </w:tc>
        <w:tc>
          <w:tcPr>
            <w:tcW w:w="733" w:type="pct"/>
            <w:vAlign w:val="center"/>
          </w:tcPr>
          <w:p w14:paraId="34F85343">
            <w:pPr>
              <w:jc w:val="center"/>
              <w:rPr>
                <w:rFonts w:ascii="Times New Roman" w:hAnsi="Times New Roman" w:cs="Times New Roman"/>
                <w:bCs/>
                <w:color w:val="000000" w:themeColor="text1"/>
                <w:sz w:val="21"/>
                <w:szCs w:val="21"/>
                <w:lang w:bidi="en-US"/>
                <w14:textFill>
                  <w14:solidFill>
                    <w14:schemeClr w14:val="tx1"/>
                  </w14:solidFill>
                </w14:textFill>
              </w:rPr>
            </w:pPr>
          </w:p>
        </w:tc>
      </w:tr>
    </w:tbl>
    <w:p w14:paraId="324E8BF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环境损益分析结果表明，拟建公路环境正效益是负效益的2.8倍，说明，拟建公路所产生环境经济的正效益占主导地位。从环境影响的经济损益角度来看拟建公路是可行的。</w:t>
      </w:r>
      <w:bookmarkStart w:id="630" w:name="_Toc381606133"/>
      <w:bookmarkStart w:id="631" w:name="_Toc98413596"/>
      <w:bookmarkStart w:id="632" w:name="_Toc4507874"/>
    </w:p>
    <w:p w14:paraId="0A5B7C03">
      <w:pPr>
        <w:spacing w:line="360" w:lineRule="auto"/>
        <w:ind w:firstLine="480" w:firstLineChars="200"/>
        <w:rPr>
          <w:rFonts w:ascii="Times New Roman" w:hAnsi="Times New Roman" w:cs="Times New Roman"/>
          <w:snapToGrid w:val="0"/>
          <w:color w:val="000000" w:themeColor="text1"/>
          <w:lang w:val="zh-CN"/>
          <w14:textFill>
            <w14:solidFill>
              <w14:schemeClr w14:val="tx1"/>
            </w14:solidFill>
          </w14:textFill>
        </w:rPr>
      </w:pPr>
    </w:p>
    <w:p w14:paraId="72B1424C">
      <w:pPr>
        <w:spacing w:line="360" w:lineRule="auto"/>
        <w:ind w:firstLine="480" w:firstLineChars="200"/>
        <w:rPr>
          <w:rFonts w:ascii="Times New Roman" w:hAnsi="Times New Roman" w:cs="Times New Roman"/>
          <w:snapToGrid w:val="0"/>
          <w:color w:val="00B050"/>
          <w:lang w:val="zh-CN"/>
        </w:rPr>
      </w:pPr>
    </w:p>
    <w:p w14:paraId="15495B31">
      <w:pPr>
        <w:spacing w:line="360" w:lineRule="auto"/>
        <w:ind w:firstLine="480" w:firstLineChars="200"/>
        <w:rPr>
          <w:rFonts w:ascii="Times New Roman" w:hAnsi="Times New Roman" w:cs="Times New Roman"/>
          <w:snapToGrid w:val="0"/>
          <w:color w:val="00B050"/>
          <w:lang w:val="zh-CN"/>
        </w:rPr>
      </w:pPr>
    </w:p>
    <w:p w14:paraId="3A3C2AC3">
      <w:pPr>
        <w:spacing w:line="360" w:lineRule="auto"/>
        <w:ind w:firstLine="480" w:firstLineChars="200"/>
        <w:rPr>
          <w:rFonts w:ascii="Times New Roman" w:hAnsi="Times New Roman" w:cs="Times New Roman"/>
          <w:snapToGrid w:val="0"/>
          <w:color w:val="00B050"/>
          <w:lang w:val="zh-CN"/>
        </w:rPr>
      </w:pPr>
    </w:p>
    <w:p w14:paraId="31414B04">
      <w:pPr>
        <w:spacing w:line="360" w:lineRule="auto"/>
        <w:ind w:firstLine="480" w:firstLineChars="200"/>
        <w:rPr>
          <w:rFonts w:ascii="Times New Roman" w:hAnsi="Times New Roman" w:cs="Times New Roman"/>
          <w:snapToGrid w:val="0"/>
          <w:color w:val="00B050"/>
          <w:lang w:val="zh-CN"/>
        </w:rPr>
      </w:pPr>
    </w:p>
    <w:p w14:paraId="30E79991">
      <w:pPr>
        <w:rPr>
          <w:rFonts w:ascii="Times New Roman" w:hAnsi="Times New Roman" w:eastAsia="隶书" w:cs="Times New Roman"/>
          <w:color w:val="00B050"/>
          <w:sz w:val="30"/>
          <w:szCs w:val="30"/>
        </w:rPr>
      </w:pPr>
    </w:p>
    <w:p w14:paraId="54716BC3">
      <w:pPr>
        <w:ind w:firstLine="643" w:firstLineChars="200"/>
        <w:rPr>
          <w:rFonts w:ascii="Times New Roman" w:hAnsi="Times New Roman" w:cs="Times New Roman"/>
          <w:b/>
          <w:bCs/>
          <w:color w:val="00B050"/>
          <w:sz w:val="32"/>
        </w:rPr>
        <w:sectPr>
          <w:pgSz w:w="11906" w:h="16838"/>
          <w:pgMar w:top="1440" w:right="1797" w:bottom="1440" w:left="1797" w:header="794" w:footer="850" w:gutter="0"/>
          <w:cols w:space="720" w:num="1"/>
          <w:docGrid w:type="lines" w:linePitch="312" w:charSpace="0"/>
        </w:sectPr>
      </w:pPr>
    </w:p>
    <w:p w14:paraId="209168D8">
      <w:pPr>
        <w:pStyle w:val="2"/>
        <w:adjustRightInd w:val="0"/>
        <w:snapToGrid w:val="0"/>
        <w:spacing w:before="312" w:after="156" w:line="240" w:lineRule="auto"/>
        <w:rPr>
          <w:rFonts w:ascii="Times New Roman" w:hAnsi="Times New Roman" w:cs="Times New Roman"/>
          <w:color w:val="000000" w:themeColor="text1"/>
          <w14:textFill>
            <w14:solidFill>
              <w14:schemeClr w14:val="tx1"/>
            </w14:solidFill>
          </w14:textFill>
        </w:rPr>
      </w:pPr>
      <w:bookmarkStart w:id="633" w:name="_Toc187675445"/>
      <w:r>
        <w:rPr>
          <w:rFonts w:ascii="Times New Roman" w:hAnsi="Times New Roman" w:cs="Times New Roman"/>
          <w:color w:val="000000" w:themeColor="text1"/>
          <w14:textFill>
            <w14:solidFill>
              <w14:schemeClr w14:val="tx1"/>
            </w14:solidFill>
          </w14:textFill>
        </w:rPr>
        <w:t>9环境管理与环境监测计划</w:t>
      </w:r>
      <w:bookmarkEnd w:id="633"/>
    </w:p>
    <w:bookmarkEnd w:id="630"/>
    <w:bookmarkEnd w:id="631"/>
    <w:bookmarkEnd w:id="632"/>
    <w:p w14:paraId="056FEC28">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634" w:name="_Toc98413597"/>
      <w:bookmarkStart w:id="635" w:name="_Toc187675446"/>
      <w:r>
        <w:rPr>
          <w:rFonts w:ascii="Times New Roman" w:hAnsi="Times New Roman" w:cs="Times New Roman"/>
          <w:color w:val="000000" w:themeColor="text1"/>
          <w14:textFill>
            <w14:solidFill>
              <w14:schemeClr w14:val="tx1"/>
            </w14:solidFill>
          </w14:textFill>
        </w:rPr>
        <w:t>9.1环境管理计划</w:t>
      </w:r>
      <w:bookmarkEnd w:id="634"/>
      <w:bookmarkEnd w:id="635"/>
    </w:p>
    <w:p w14:paraId="31C36B29">
      <w:pPr>
        <w:keepNext/>
        <w:keepLines/>
        <w:adjustRightInd w:val="0"/>
        <w:snapToGrid w:val="0"/>
        <w:spacing w:before="156" w:beforeLines="50" w:after="156" w:afterLines="50"/>
        <w:outlineLvl w:val="2"/>
        <w:rPr>
          <w:rFonts w:ascii="Times New Roman" w:hAnsi="Times New Roman" w:cs="Times New Roman"/>
          <w:b/>
          <w:bCs/>
          <w:color w:val="000000" w:themeColor="text1"/>
          <w:sz w:val="30"/>
          <w:szCs w:val="32"/>
          <w14:textFill>
            <w14:solidFill>
              <w14:schemeClr w14:val="tx1"/>
            </w14:solidFill>
          </w14:textFill>
        </w:rPr>
      </w:pPr>
      <w:bookmarkStart w:id="636" w:name="_Toc34989635"/>
      <w:bookmarkStart w:id="637" w:name="_Toc57826798"/>
      <w:bookmarkStart w:id="638" w:name="_Toc97464704"/>
      <w:bookmarkStart w:id="639" w:name="_Toc98414280"/>
      <w:bookmarkStart w:id="640" w:name="_Toc98413598"/>
      <w:r>
        <w:rPr>
          <w:rFonts w:ascii="Times New Roman" w:hAnsi="Times New Roman" w:cs="Times New Roman"/>
          <w:b/>
          <w:bCs/>
          <w:color w:val="000000" w:themeColor="text1"/>
          <w:sz w:val="30"/>
          <w:szCs w:val="32"/>
          <w14:textFill>
            <w14:solidFill>
              <w14:schemeClr w14:val="tx1"/>
            </w14:solidFill>
          </w14:textFill>
        </w:rPr>
        <w:t>9.1.1环境保护管理</w:t>
      </w:r>
      <w:bookmarkEnd w:id="636"/>
      <w:r>
        <w:rPr>
          <w:rFonts w:ascii="Times New Roman" w:hAnsi="Times New Roman" w:cs="Times New Roman"/>
          <w:b/>
          <w:bCs/>
          <w:color w:val="000000" w:themeColor="text1"/>
          <w:sz w:val="30"/>
          <w:szCs w:val="32"/>
          <w14:textFill>
            <w14:solidFill>
              <w14:schemeClr w14:val="tx1"/>
            </w14:solidFill>
          </w14:textFill>
        </w:rPr>
        <w:t>机构</w:t>
      </w:r>
      <w:bookmarkEnd w:id="637"/>
      <w:bookmarkEnd w:id="638"/>
      <w:bookmarkEnd w:id="639"/>
      <w:bookmarkEnd w:id="640"/>
    </w:p>
    <w:p w14:paraId="30F2D950">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本项目的环保机构可分为：管理机构、监督机构、实施机构和辅助机构。</w:t>
      </w:r>
    </w:p>
    <w:p w14:paraId="6F87AE99">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（1）管理机构</w:t>
      </w:r>
    </w:p>
    <w:p w14:paraId="434209EF">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为了保障第</w:t>
      </w:r>
      <w:r>
        <w:rPr>
          <w:rFonts w:hint="eastAsia" w:ascii="Times New Roman" w:hAnsi="Times New Roman" w:cs="Times New Roman"/>
          <w:color w:val="000000" w:themeColor="text1"/>
          <w14:textFill>
            <w14:solidFill>
              <w14:schemeClr w14:val="tx1"/>
            </w14:solidFill>
          </w14:textFill>
        </w:rPr>
        <w:t>三</w:t>
      </w:r>
      <w:r>
        <w:rPr>
          <w:rFonts w:ascii="Times New Roman" w:hAnsi="Times New Roman" w:cs="Times New Roman"/>
          <w:color w:val="000000" w:themeColor="text1"/>
          <w14:textFill>
            <w14:solidFill>
              <w14:schemeClr w14:val="tx1"/>
            </w14:solidFill>
          </w14:textFill>
        </w:rPr>
        <w:t>师G3012-草湖-G314公路（草湖-G314段）公路顺利实施，兵团交通局、三师交通局及项目建设单位等共同协力项目办理前期手续。</w:t>
      </w:r>
    </w:p>
    <w:p w14:paraId="5783F475">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公路施工期的环境管理由施工监督部门执行。全线设环境监督小组，环境监督小组的人员中至少有1名具备一定的环境保护知识，能进行一些简单的现场环境调查。环境监督小组的成员要包括各不同合同段的人员，各合同段的环境监督人员负责监督本合同段内的施工是否按合同要求实施环境保护措施，对施工全过程进行监督，随时发现环境问题，并及时给予解决。</w:t>
      </w:r>
    </w:p>
    <w:p w14:paraId="7C461626">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公路施工完成后，建设单位应委托有资质单位对公路进行有关环保方面的竣工验收，主要内容为生态环境保护、工程防护措施及有关环保措施落实情况，并将验收结果上报第</w:t>
      </w:r>
      <w:r>
        <w:rPr>
          <w:rFonts w:hint="eastAsia" w:ascii="Times New Roman" w:hAnsi="Times New Roman" w:cs="Times New Roman"/>
          <w:color w:val="000000" w:themeColor="text1"/>
          <w:szCs w:val="22"/>
          <w14:textFill>
            <w14:solidFill>
              <w14:schemeClr w14:val="tx1"/>
            </w14:solidFill>
          </w14:textFill>
        </w:rPr>
        <w:t>三</w:t>
      </w:r>
      <w:r>
        <w:rPr>
          <w:rFonts w:ascii="Times New Roman" w:hAnsi="Times New Roman" w:cs="Times New Roman"/>
          <w:color w:val="000000" w:themeColor="text1"/>
          <w:szCs w:val="22"/>
          <w14:textFill>
            <w14:solidFill>
              <w14:schemeClr w14:val="tx1"/>
            </w14:solidFill>
          </w14:textFill>
        </w:rPr>
        <w:t>师生态环境局备案。</w:t>
      </w:r>
    </w:p>
    <w:p w14:paraId="27CCB45B">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（2）监督机构</w:t>
      </w:r>
    </w:p>
    <w:p w14:paraId="732FC6F8">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hint="eastAsia" w:ascii="Times New Roman" w:hAnsi="Times New Roman" w:cs="Times New Roman"/>
          <w:color w:val="000000" w:themeColor="text1"/>
          <w:szCs w:val="22"/>
          <w14:textFill>
            <w14:solidFill>
              <w14:schemeClr w14:val="tx1"/>
            </w14:solidFill>
          </w14:textFill>
        </w:rPr>
        <w:t>本项目施工期和营运期的环境保护监督工作由第三师生态环境局执行，主要是监督建设单位实施环境行动计划，执行有关环境管理法规、标准；协调各部门之间做好环保工作；负责项目环保设施的施工、竣工、运行情况的检查、监督管理等</w:t>
      </w:r>
      <w:r>
        <w:rPr>
          <w:rFonts w:ascii="Times New Roman" w:hAnsi="Times New Roman" w:cs="Times New Roman"/>
          <w:color w:val="000000" w:themeColor="text1"/>
          <w:szCs w:val="22"/>
          <w14:textFill>
            <w14:solidFill>
              <w14:schemeClr w14:val="tx1"/>
            </w14:solidFill>
          </w14:textFill>
        </w:rPr>
        <w:t>。</w:t>
      </w:r>
    </w:p>
    <w:p w14:paraId="0AF115FA">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（3）实施机构</w:t>
      </w:r>
    </w:p>
    <w:p w14:paraId="5DE4D14A">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建设单位在工程招标过程中将环境保护要求列入标书，由施工单位负责各项环保措施的实施。</w:t>
      </w:r>
      <w:r>
        <w:rPr>
          <w:rFonts w:ascii="Times New Roman" w:hAnsi="Times New Roman" w:cs="Times New Roman"/>
          <w:color w:val="000000" w:themeColor="text1"/>
          <w14:textFill>
            <w14:solidFill>
              <w14:schemeClr w14:val="tx1"/>
            </w14:solidFill>
          </w14:textFill>
        </w:rPr>
        <w:t>建设单位</w:t>
      </w:r>
      <w:r>
        <w:rPr>
          <w:rFonts w:ascii="Times New Roman" w:hAnsi="Times New Roman" w:cs="Times New Roman"/>
          <w:color w:val="000000" w:themeColor="text1"/>
          <w:szCs w:val="22"/>
          <w14:textFill>
            <w14:solidFill>
              <w14:schemeClr w14:val="tx1"/>
            </w14:solidFill>
          </w14:textFill>
        </w:rPr>
        <w:t>对设计及施工进行监管，以确保环保措施的落实。</w:t>
      </w:r>
    </w:p>
    <w:p w14:paraId="2E3DE9F0">
      <w:pPr>
        <w:keepNext/>
        <w:keepLines/>
        <w:adjustRightInd w:val="0"/>
        <w:snapToGrid w:val="0"/>
        <w:spacing w:before="156" w:beforeLines="50" w:after="156" w:afterLines="50"/>
        <w:outlineLvl w:val="2"/>
        <w:rPr>
          <w:rFonts w:ascii="Times New Roman" w:hAnsi="Times New Roman" w:cs="Times New Roman"/>
          <w:b/>
          <w:bCs/>
          <w:color w:val="000000" w:themeColor="text1"/>
          <w:sz w:val="30"/>
          <w:szCs w:val="32"/>
          <w14:textFill>
            <w14:solidFill>
              <w14:schemeClr w14:val="tx1"/>
            </w14:solidFill>
          </w14:textFill>
        </w:rPr>
      </w:pPr>
      <w:bookmarkStart w:id="641" w:name="_Toc34989636"/>
      <w:bookmarkStart w:id="642" w:name="_Toc57826799"/>
      <w:bookmarkStart w:id="643" w:name="_Toc98413599"/>
      <w:bookmarkStart w:id="644" w:name="_Toc97464705"/>
      <w:bookmarkStart w:id="645" w:name="_Toc98414281"/>
      <w:r>
        <w:rPr>
          <w:rFonts w:ascii="Times New Roman" w:hAnsi="Times New Roman" w:cs="Times New Roman"/>
          <w:b/>
          <w:bCs/>
          <w:color w:val="000000" w:themeColor="text1"/>
          <w:sz w:val="30"/>
          <w:szCs w:val="32"/>
          <w14:textFill>
            <w14:solidFill>
              <w14:schemeClr w14:val="tx1"/>
            </w14:solidFill>
          </w14:textFill>
        </w:rPr>
        <w:t>9.1.2环境保护管理</w:t>
      </w:r>
      <w:bookmarkEnd w:id="641"/>
      <w:r>
        <w:rPr>
          <w:rFonts w:ascii="Times New Roman" w:hAnsi="Times New Roman" w:cs="Times New Roman"/>
          <w:b/>
          <w:bCs/>
          <w:color w:val="000000" w:themeColor="text1"/>
          <w:sz w:val="30"/>
          <w:szCs w:val="32"/>
          <w14:textFill>
            <w14:solidFill>
              <w14:schemeClr w14:val="tx1"/>
            </w14:solidFill>
          </w14:textFill>
        </w:rPr>
        <w:t>内容</w:t>
      </w:r>
      <w:bookmarkEnd w:id="642"/>
      <w:bookmarkEnd w:id="643"/>
      <w:bookmarkEnd w:id="644"/>
      <w:bookmarkEnd w:id="645"/>
    </w:p>
    <w:p w14:paraId="18445ECD">
      <w:pPr>
        <w:pStyle w:val="6"/>
        <w:tabs>
          <w:tab w:val="left" w:pos="3552"/>
        </w:tabs>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bCs/>
          <w:iCs/>
          <w:snapToGrid w:val="0"/>
          <w:color w:val="000000" w:themeColor="text1"/>
          <w:kern w:val="2"/>
          <w14:textFill>
            <w14:solidFill>
              <w14:schemeClr w14:val="tx1"/>
            </w14:solidFill>
          </w14:textFill>
        </w:rPr>
        <w:t>根据</w:t>
      </w:r>
      <w:r>
        <w:rPr>
          <w:rFonts w:ascii="Times New Roman" w:hAnsi="Times New Roman" w:cs="Times New Roman"/>
          <w:snapToGrid w:val="0"/>
          <w:color w:val="000000" w:themeColor="text1"/>
          <w:kern w:val="2"/>
          <w14:textFill>
            <w14:solidFill>
              <w14:schemeClr w14:val="tx1"/>
            </w14:solidFill>
          </w14:textFill>
        </w:rPr>
        <w:t>项目环境管理的要求，提出了本项目环境管理计划内容，</w:t>
      </w:r>
      <w:r>
        <w:rPr>
          <w:rFonts w:ascii="Times New Roman" w:hAnsi="Times New Roman" w:cs="Times New Roman"/>
          <w:snapToGrid w:val="0"/>
          <w:color w:val="000000" w:themeColor="text1"/>
          <w:kern w:val="2"/>
          <w:lang w:val="zh-CN"/>
          <w14:textFill>
            <w14:solidFill>
              <w14:schemeClr w14:val="tx1"/>
            </w14:solidFill>
          </w14:textFill>
        </w:rPr>
        <w:t>具体情况见表9.1-1。</w:t>
      </w:r>
    </w:p>
    <w:p w14:paraId="11F5A44F">
      <w:pPr>
        <w:pStyle w:val="6"/>
        <w:tabs>
          <w:tab w:val="left" w:pos="2835"/>
        </w:tabs>
        <w:kinsoku w:val="0"/>
        <w:overflowPunct w:val="0"/>
        <w:spacing w:after="0" w:line="338" w:lineRule="auto"/>
        <w:jc w:val="center"/>
        <w:rPr>
          <w:rFonts w:ascii="黑体" w:hAnsi="黑体" w:eastAsia="黑体" w:cs="Times New Roman"/>
          <w:color w:val="000000" w:themeColor="text1"/>
          <w:kern w:val="2"/>
          <w14:textFill>
            <w14:solidFill>
              <w14:schemeClr w14:val="tx1"/>
            </w14:solidFill>
          </w14:textFill>
        </w:rPr>
      </w:pPr>
      <w:r>
        <w:rPr>
          <w:rFonts w:ascii="黑体" w:hAnsi="黑体" w:eastAsia="黑体" w:cs="Times New Roman"/>
          <w:color w:val="000000" w:themeColor="text1"/>
          <w:kern w:val="2"/>
          <w14:textFill>
            <w14:solidFill>
              <w14:schemeClr w14:val="tx1"/>
            </w14:solidFill>
          </w14:textFill>
        </w:rPr>
        <w:t>表9.1-1  环境管理计划一览表</w:t>
      </w:r>
    </w:p>
    <w:tbl>
      <w:tblPr>
        <w:tblStyle w:val="87"/>
        <w:tblW w:w="51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6271"/>
        <w:gridCol w:w="822"/>
        <w:gridCol w:w="924"/>
      </w:tblGrid>
      <w:tr w14:paraId="5649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409" w:type="pct"/>
            <w:vAlign w:val="center"/>
          </w:tcPr>
          <w:p w14:paraId="17AD2944">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环境</w:t>
            </w:r>
          </w:p>
          <w:p w14:paraId="6914E2E1">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问题</w:t>
            </w:r>
          </w:p>
        </w:tc>
        <w:tc>
          <w:tcPr>
            <w:tcW w:w="3591" w:type="pct"/>
            <w:vAlign w:val="center"/>
          </w:tcPr>
          <w:p w14:paraId="6150AF06">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环境管理目标</w:t>
            </w:r>
          </w:p>
        </w:tc>
        <w:tc>
          <w:tcPr>
            <w:tcW w:w="471" w:type="pct"/>
            <w:vAlign w:val="center"/>
          </w:tcPr>
          <w:p w14:paraId="6F57587C">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实施</w:t>
            </w:r>
          </w:p>
          <w:p w14:paraId="04EA8F0D">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机构</w:t>
            </w:r>
          </w:p>
        </w:tc>
        <w:tc>
          <w:tcPr>
            <w:tcW w:w="529" w:type="pct"/>
            <w:vAlign w:val="center"/>
          </w:tcPr>
          <w:p w14:paraId="357E9EE5">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负责</w:t>
            </w:r>
          </w:p>
          <w:p w14:paraId="55A2815F">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机构</w:t>
            </w:r>
          </w:p>
        </w:tc>
      </w:tr>
      <w:tr w14:paraId="3BF2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vAlign w:val="center"/>
          </w:tcPr>
          <w:p w14:paraId="6D06E101">
            <w:pPr>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施工期</w:t>
            </w:r>
          </w:p>
        </w:tc>
      </w:tr>
      <w:tr w14:paraId="02AB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6E171A2E">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生态</w:t>
            </w:r>
          </w:p>
          <w:p w14:paraId="075459D7">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环境</w:t>
            </w:r>
          </w:p>
        </w:tc>
        <w:tc>
          <w:tcPr>
            <w:tcW w:w="3591" w:type="pct"/>
            <w:vAlign w:val="center"/>
          </w:tcPr>
          <w:p w14:paraId="4A073BC9">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①</w:t>
            </w:r>
            <w:r>
              <w:rPr>
                <w:rFonts w:ascii="Times New Roman" w:hAnsi="Times New Roman" w:cs="Times New Roman"/>
                <w:bCs/>
                <w:color w:val="000000" w:themeColor="text1"/>
                <w:sz w:val="21"/>
                <w:szCs w:val="21"/>
                <w14:textFill>
                  <w14:solidFill>
                    <w14:schemeClr w14:val="tx1"/>
                  </w14:solidFill>
                </w14:textFill>
              </w:rPr>
              <w:t>严格划定项目施工作业区（带）边界，严禁超界占用；</w:t>
            </w:r>
          </w:p>
          <w:p w14:paraId="128D6E15">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②</w:t>
            </w:r>
            <w:r>
              <w:rPr>
                <w:rFonts w:ascii="Times New Roman" w:hAnsi="Times New Roman" w:cs="Times New Roman"/>
                <w:bCs/>
                <w:color w:val="000000" w:themeColor="text1"/>
                <w:sz w:val="21"/>
                <w:szCs w:val="21"/>
                <w14:textFill>
                  <w14:solidFill>
                    <w14:schemeClr w14:val="tx1"/>
                  </w14:solidFill>
                </w14:textFill>
              </w:rPr>
              <w:t>临时占地尽量设置在永久占地范围内；</w:t>
            </w:r>
          </w:p>
          <w:p w14:paraId="56C4C9DC">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③</w:t>
            </w:r>
            <w:r>
              <w:rPr>
                <w:rFonts w:ascii="Times New Roman" w:hAnsi="Times New Roman" w:cs="Times New Roman"/>
                <w:bCs/>
                <w:color w:val="000000" w:themeColor="text1"/>
                <w:sz w:val="21"/>
                <w:szCs w:val="21"/>
                <w14:textFill>
                  <w14:solidFill>
                    <w14:schemeClr w14:val="tx1"/>
                  </w14:solidFill>
                </w14:textFill>
              </w:rPr>
              <w:t>减少临时占地，作好临时用地的恢复工作；</w:t>
            </w:r>
          </w:p>
          <w:p w14:paraId="5680D988">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④</w:t>
            </w:r>
            <w:r>
              <w:rPr>
                <w:rFonts w:ascii="Times New Roman" w:hAnsi="Times New Roman" w:cs="Times New Roman"/>
                <w:bCs/>
                <w:color w:val="000000" w:themeColor="text1"/>
                <w:sz w:val="21"/>
                <w:szCs w:val="21"/>
                <w14:textFill>
                  <w14:solidFill>
                    <w14:schemeClr w14:val="tx1"/>
                  </w14:solidFill>
                </w14:textFill>
              </w:rPr>
              <w:t>保护植被，及时恢复被破坏的地表；</w:t>
            </w:r>
          </w:p>
          <w:p w14:paraId="282623BA">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⑤</w:t>
            </w:r>
            <w:r>
              <w:rPr>
                <w:rFonts w:ascii="Times New Roman" w:hAnsi="Times New Roman" w:cs="Times New Roman"/>
                <w:bCs/>
                <w:color w:val="000000" w:themeColor="text1"/>
                <w:sz w:val="21"/>
                <w:szCs w:val="21"/>
                <w14:textFill>
                  <w14:solidFill>
                    <w14:schemeClr w14:val="tx1"/>
                  </w14:solidFill>
                </w14:textFill>
              </w:rPr>
              <w:t>做好路基、弃土场、边坡的水土保持工作，防治水土流失，及时进行土地复垦；</w:t>
            </w:r>
          </w:p>
          <w:p w14:paraId="5A3570EF">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⑥</w:t>
            </w:r>
            <w:r>
              <w:rPr>
                <w:rFonts w:ascii="Times New Roman" w:hAnsi="Times New Roman" w:cs="Times New Roman"/>
                <w:bCs/>
                <w:color w:val="000000" w:themeColor="text1"/>
                <w:sz w:val="21"/>
                <w:szCs w:val="21"/>
                <w14:textFill>
                  <w14:solidFill>
                    <w14:schemeClr w14:val="tx1"/>
                  </w14:solidFill>
                </w14:textFill>
              </w:rPr>
              <w:t>公路沿线表土集中堆存，防止水土流失，用于土地复垦；做好草地、林地的占用审批工作，按照占补平衡原则、补偿占用的</w:t>
            </w:r>
            <w:r>
              <w:rPr>
                <w:rFonts w:hint="eastAsia" w:ascii="Times New Roman" w:hAnsi="Times New Roman" w:cs="Times New Roman"/>
                <w:bCs/>
                <w:color w:val="000000" w:themeColor="text1"/>
                <w:sz w:val="21"/>
                <w:szCs w:val="21"/>
                <w14:textFill>
                  <w14:solidFill>
                    <w14:schemeClr w14:val="tx1"/>
                  </w14:solidFill>
                </w14:textFill>
              </w:rPr>
              <w:t>灌木</w:t>
            </w:r>
            <w:r>
              <w:rPr>
                <w:rFonts w:ascii="Times New Roman" w:hAnsi="Times New Roman" w:cs="Times New Roman"/>
                <w:bCs/>
                <w:color w:val="000000" w:themeColor="text1"/>
                <w:sz w:val="21"/>
                <w:szCs w:val="21"/>
                <w14:textFill>
                  <w14:solidFill>
                    <w14:schemeClr w14:val="tx1"/>
                  </w14:solidFill>
                </w14:textFill>
              </w:rPr>
              <w:t>、林地。</w:t>
            </w:r>
          </w:p>
        </w:tc>
        <w:tc>
          <w:tcPr>
            <w:tcW w:w="471" w:type="pct"/>
            <w:vAlign w:val="center"/>
          </w:tcPr>
          <w:p w14:paraId="4F3A5CE9">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施工单位</w:t>
            </w:r>
          </w:p>
        </w:tc>
        <w:tc>
          <w:tcPr>
            <w:tcW w:w="529" w:type="pct"/>
            <w:vAlign w:val="center"/>
          </w:tcPr>
          <w:p w14:paraId="0D0B398E">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建设单位</w:t>
            </w:r>
          </w:p>
        </w:tc>
      </w:tr>
      <w:tr w14:paraId="68E3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0E353702">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施工</w:t>
            </w:r>
          </w:p>
          <w:p w14:paraId="2A8BF690">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噪声</w:t>
            </w:r>
          </w:p>
        </w:tc>
        <w:tc>
          <w:tcPr>
            <w:tcW w:w="3591" w:type="pct"/>
            <w:vAlign w:val="center"/>
          </w:tcPr>
          <w:p w14:paraId="567EAA95">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尽量采用低噪声机械设备，经常对设备进行维修保养，避免由于设备性能差而导致噪声增强现象的发生。</w:t>
            </w:r>
          </w:p>
        </w:tc>
        <w:tc>
          <w:tcPr>
            <w:tcW w:w="471" w:type="pct"/>
            <w:vMerge w:val="restart"/>
            <w:vAlign w:val="center"/>
          </w:tcPr>
          <w:p w14:paraId="5462FFC7">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施工</w:t>
            </w:r>
          </w:p>
          <w:p w14:paraId="74FB537A">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单位</w:t>
            </w:r>
          </w:p>
        </w:tc>
        <w:tc>
          <w:tcPr>
            <w:tcW w:w="529" w:type="pct"/>
            <w:vMerge w:val="restart"/>
            <w:vAlign w:val="center"/>
          </w:tcPr>
          <w:p w14:paraId="68BE5585">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建设单位</w:t>
            </w:r>
          </w:p>
        </w:tc>
      </w:tr>
      <w:tr w14:paraId="7591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05388307">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大气</w:t>
            </w:r>
          </w:p>
          <w:p w14:paraId="640762DB">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污染</w:t>
            </w:r>
          </w:p>
        </w:tc>
        <w:tc>
          <w:tcPr>
            <w:tcW w:w="3591" w:type="pct"/>
            <w:vAlign w:val="center"/>
          </w:tcPr>
          <w:p w14:paraId="0A68580F">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①</w:t>
            </w:r>
            <w:r>
              <w:rPr>
                <w:rFonts w:ascii="Times New Roman" w:hAnsi="Times New Roman" w:cs="Times New Roman"/>
                <w:bCs/>
                <w:color w:val="000000" w:themeColor="text1"/>
                <w:sz w:val="21"/>
                <w:szCs w:val="21"/>
                <w14:textFill>
                  <w14:solidFill>
                    <w14:schemeClr w14:val="tx1"/>
                  </w14:solidFill>
                </w14:textFill>
              </w:rPr>
              <w:t>加强施工管理，提倡文明施工、集中施工、快速施工。</w:t>
            </w:r>
          </w:p>
          <w:p w14:paraId="6006EB86">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②</w:t>
            </w:r>
            <w:r>
              <w:rPr>
                <w:rFonts w:ascii="Times New Roman" w:hAnsi="Times New Roman" w:cs="Times New Roman"/>
                <w:bCs/>
                <w:color w:val="000000" w:themeColor="text1"/>
                <w:sz w:val="21"/>
                <w:szCs w:val="21"/>
                <w14:textFill>
                  <w14:solidFill>
                    <w14:schemeClr w14:val="tx1"/>
                  </w14:solidFill>
                </w14:textFill>
              </w:rPr>
              <w:t>物料堆场四周设置挡风墙（网），合理安排堆垛位置，并采取加盖蓬布等遮挡措施。</w:t>
            </w:r>
          </w:p>
          <w:p w14:paraId="048656BD">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③</w:t>
            </w:r>
            <w:r>
              <w:rPr>
                <w:rFonts w:ascii="Times New Roman" w:hAnsi="Times New Roman" w:cs="Times New Roman"/>
                <w:bCs/>
                <w:color w:val="000000" w:themeColor="text1"/>
                <w:sz w:val="21"/>
                <w:szCs w:val="21"/>
                <w14:textFill>
                  <w14:solidFill>
                    <w14:schemeClr w14:val="tx1"/>
                  </w14:solidFill>
                </w14:textFill>
              </w:rPr>
              <w:t>水泥、砂和石灰等散装物料在装卸、使用、运输、转运和临时存放过程中，应采取防风遮盖措施，以减少扬尘。</w:t>
            </w:r>
          </w:p>
          <w:p w14:paraId="30BA4915">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4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④</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工程开挖土方应集中堆放，并及时回填，减小扬尘影响时间和范围。</w:t>
            </w:r>
          </w:p>
        </w:tc>
        <w:tc>
          <w:tcPr>
            <w:tcW w:w="471" w:type="pct"/>
            <w:vMerge w:val="continue"/>
            <w:vAlign w:val="center"/>
          </w:tcPr>
          <w:p w14:paraId="75927BD9">
            <w:pPr>
              <w:jc w:val="center"/>
              <w:rPr>
                <w:rFonts w:ascii="Times New Roman" w:hAnsi="Times New Roman" w:cs="Times New Roman"/>
                <w:bCs/>
                <w:color w:val="000000" w:themeColor="text1"/>
                <w:sz w:val="21"/>
                <w:szCs w:val="21"/>
                <w14:textFill>
                  <w14:solidFill>
                    <w14:schemeClr w14:val="tx1"/>
                  </w14:solidFill>
                </w14:textFill>
              </w:rPr>
            </w:pPr>
          </w:p>
        </w:tc>
        <w:tc>
          <w:tcPr>
            <w:tcW w:w="529" w:type="pct"/>
            <w:vMerge w:val="continue"/>
            <w:vAlign w:val="center"/>
          </w:tcPr>
          <w:p w14:paraId="0FA63024">
            <w:pPr>
              <w:jc w:val="center"/>
              <w:rPr>
                <w:rFonts w:ascii="Times New Roman" w:hAnsi="Times New Roman" w:cs="Times New Roman"/>
                <w:bCs/>
                <w:color w:val="000000" w:themeColor="text1"/>
                <w:sz w:val="21"/>
                <w:szCs w:val="21"/>
                <w14:textFill>
                  <w14:solidFill>
                    <w14:schemeClr w14:val="tx1"/>
                  </w14:solidFill>
                </w14:textFill>
              </w:rPr>
            </w:pPr>
          </w:p>
        </w:tc>
      </w:tr>
      <w:tr w14:paraId="1E2C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6D2A6A7E">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水污染</w:t>
            </w:r>
          </w:p>
        </w:tc>
        <w:tc>
          <w:tcPr>
            <w:tcW w:w="3591" w:type="pct"/>
            <w:vAlign w:val="center"/>
          </w:tcPr>
          <w:p w14:paraId="0F446747">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①</w:t>
            </w:r>
            <w:r>
              <w:rPr>
                <w:rFonts w:ascii="Times New Roman" w:hAnsi="Times New Roman" w:cs="Times New Roman"/>
                <w:bCs/>
                <w:color w:val="000000" w:themeColor="text1"/>
                <w:sz w:val="21"/>
                <w:szCs w:val="21"/>
                <w14:textFill>
                  <w14:solidFill>
                    <w14:schemeClr w14:val="tx1"/>
                  </w14:solidFill>
                </w14:textFill>
              </w:rPr>
              <w:t>工程取水要书面报告水利部门，经批准后在指定地点取水，并做好安全环保防护工作；</w:t>
            </w:r>
          </w:p>
          <w:p w14:paraId="4E3AB9E0">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2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②</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施工废水和生活污水合理处置，严禁排入地表水体；</w:t>
            </w:r>
          </w:p>
          <w:p w14:paraId="3DF9B139">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③</w:t>
            </w:r>
            <w:r>
              <w:rPr>
                <w:rFonts w:ascii="Times New Roman" w:hAnsi="Times New Roman" w:cs="Times New Roman"/>
                <w:bCs/>
                <w:color w:val="000000" w:themeColor="text1"/>
                <w:sz w:val="21"/>
                <w:szCs w:val="21"/>
                <w14:textFill>
                  <w14:solidFill>
                    <w14:schemeClr w14:val="tx1"/>
                  </w14:solidFill>
                </w14:textFill>
              </w:rPr>
              <w:t>实施施工期环境监督工作，做好施工人员的环保教育工作，提倡文明施工、保护水体。</w:t>
            </w:r>
          </w:p>
          <w:p w14:paraId="2F10B24C">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4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④</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桥梁基础施工设置泥浆沉淀池，上清液循环利用，施工结束后，及时拆除，弃渣清运至弃土场。</w:t>
            </w:r>
          </w:p>
          <w:p w14:paraId="2E94D83D">
            <w:pP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⑤跨越盖孜河桥梁设置桥面径流收集系统，在大桥两端设置事故收集池，并对其防撞护栏进行强化、加固设计。</w:t>
            </w:r>
          </w:p>
        </w:tc>
        <w:tc>
          <w:tcPr>
            <w:tcW w:w="471" w:type="pct"/>
            <w:vMerge w:val="continue"/>
            <w:vAlign w:val="center"/>
          </w:tcPr>
          <w:p w14:paraId="1F3872B4">
            <w:pPr>
              <w:jc w:val="center"/>
              <w:rPr>
                <w:rFonts w:ascii="Times New Roman" w:hAnsi="Times New Roman" w:cs="Times New Roman"/>
                <w:bCs/>
                <w:color w:val="000000" w:themeColor="text1"/>
                <w:sz w:val="21"/>
                <w:szCs w:val="21"/>
                <w14:textFill>
                  <w14:solidFill>
                    <w14:schemeClr w14:val="tx1"/>
                  </w14:solidFill>
                </w14:textFill>
              </w:rPr>
            </w:pPr>
          </w:p>
        </w:tc>
        <w:tc>
          <w:tcPr>
            <w:tcW w:w="529" w:type="pct"/>
            <w:vMerge w:val="continue"/>
            <w:vAlign w:val="center"/>
          </w:tcPr>
          <w:p w14:paraId="5395355C">
            <w:pPr>
              <w:jc w:val="center"/>
              <w:rPr>
                <w:rFonts w:ascii="Times New Roman" w:hAnsi="Times New Roman" w:cs="Times New Roman"/>
                <w:bCs/>
                <w:color w:val="000000" w:themeColor="text1"/>
                <w:sz w:val="21"/>
                <w:szCs w:val="21"/>
                <w14:textFill>
                  <w14:solidFill>
                    <w14:schemeClr w14:val="tx1"/>
                  </w14:solidFill>
                </w14:textFill>
              </w:rPr>
            </w:pPr>
          </w:p>
        </w:tc>
      </w:tr>
      <w:tr w14:paraId="268E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3F59C0AE">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固体</w:t>
            </w:r>
          </w:p>
          <w:p w14:paraId="7141A076">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废物</w:t>
            </w:r>
          </w:p>
        </w:tc>
        <w:tc>
          <w:tcPr>
            <w:tcW w:w="3591" w:type="pct"/>
            <w:vAlign w:val="center"/>
          </w:tcPr>
          <w:p w14:paraId="7DB5B31E">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①</w:t>
            </w:r>
            <w:r>
              <w:rPr>
                <w:rFonts w:ascii="Times New Roman" w:hAnsi="Times New Roman" w:cs="Times New Roman"/>
                <w:bCs/>
                <w:color w:val="000000" w:themeColor="text1"/>
                <w:sz w:val="21"/>
                <w:szCs w:val="21"/>
                <w14:textFill>
                  <w14:solidFill>
                    <w14:schemeClr w14:val="tx1"/>
                  </w14:solidFill>
                </w14:textFill>
              </w:rPr>
              <w:t>弃土应严格按设计要求，及时清运至弃土场。</w:t>
            </w:r>
          </w:p>
          <w:p w14:paraId="3EA5879A">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②</w:t>
            </w:r>
            <w:r>
              <w:rPr>
                <w:rFonts w:ascii="Times New Roman" w:hAnsi="Times New Roman" w:cs="Times New Roman"/>
                <w:bCs/>
                <w:color w:val="000000" w:themeColor="text1"/>
                <w:sz w:val="21"/>
                <w:szCs w:val="21"/>
                <w14:textFill>
                  <w14:solidFill>
                    <w14:schemeClr w14:val="tx1"/>
                  </w14:solidFill>
                </w14:textFill>
              </w:rPr>
              <w:t>按计划和施工的操作规程，严格控制并尽量减少余下的物料。</w:t>
            </w:r>
          </w:p>
          <w:p w14:paraId="6F4FE29A">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③</w:t>
            </w:r>
            <w:r>
              <w:rPr>
                <w:rFonts w:ascii="Times New Roman" w:hAnsi="Times New Roman" w:cs="Times New Roman"/>
                <w:bCs/>
                <w:color w:val="000000" w:themeColor="text1"/>
                <w:sz w:val="21"/>
                <w:szCs w:val="21"/>
                <w14:textFill>
                  <w14:solidFill>
                    <w14:schemeClr w14:val="tx1"/>
                  </w14:solidFill>
                </w14:textFill>
              </w:rPr>
              <w:t>施工完毕后，应清除迹地范围内的生活垃圾、固体废物和构筑物等，并进行场地平整和生态恢复</w:t>
            </w:r>
          </w:p>
        </w:tc>
        <w:tc>
          <w:tcPr>
            <w:tcW w:w="471" w:type="pct"/>
            <w:vMerge w:val="continue"/>
            <w:vAlign w:val="center"/>
          </w:tcPr>
          <w:p w14:paraId="66B52EF8">
            <w:pPr>
              <w:jc w:val="center"/>
              <w:rPr>
                <w:rFonts w:ascii="Times New Roman" w:hAnsi="Times New Roman" w:cs="Times New Roman"/>
                <w:bCs/>
                <w:color w:val="000000" w:themeColor="text1"/>
                <w:sz w:val="21"/>
                <w:szCs w:val="21"/>
                <w14:textFill>
                  <w14:solidFill>
                    <w14:schemeClr w14:val="tx1"/>
                  </w14:solidFill>
                </w14:textFill>
              </w:rPr>
            </w:pPr>
          </w:p>
        </w:tc>
        <w:tc>
          <w:tcPr>
            <w:tcW w:w="529" w:type="pct"/>
            <w:vMerge w:val="continue"/>
            <w:vAlign w:val="center"/>
          </w:tcPr>
          <w:p w14:paraId="4FD7D834">
            <w:pPr>
              <w:jc w:val="center"/>
              <w:rPr>
                <w:rFonts w:ascii="Times New Roman" w:hAnsi="Times New Roman" w:cs="Times New Roman"/>
                <w:bCs/>
                <w:color w:val="000000" w:themeColor="text1"/>
                <w:sz w:val="21"/>
                <w:szCs w:val="21"/>
                <w14:textFill>
                  <w14:solidFill>
                    <w14:schemeClr w14:val="tx1"/>
                  </w14:solidFill>
                </w14:textFill>
              </w:rPr>
            </w:pPr>
          </w:p>
        </w:tc>
      </w:tr>
      <w:tr w14:paraId="1712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vAlign w:val="center"/>
          </w:tcPr>
          <w:p w14:paraId="35EB185B">
            <w:pPr>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营运期</w:t>
            </w:r>
          </w:p>
        </w:tc>
      </w:tr>
      <w:tr w14:paraId="7F3D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2E7624E5">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生态</w:t>
            </w:r>
          </w:p>
          <w:p w14:paraId="05723179">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环境</w:t>
            </w:r>
          </w:p>
        </w:tc>
        <w:tc>
          <w:tcPr>
            <w:tcW w:w="3591" w:type="pct"/>
            <w:vAlign w:val="center"/>
          </w:tcPr>
          <w:p w14:paraId="08E09EFD">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弃土场、施工便道、施工综合场站等临时占地的恢复措施效果。</w:t>
            </w:r>
          </w:p>
        </w:tc>
        <w:tc>
          <w:tcPr>
            <w:tcW w:w="471" w:type="pct"/>
            <w:vMerge w:val="restart"/>
            <w:vAlign w:val="center"/>
          </w:tcPr>
          <w:p w14:paraId="2C4013F2">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建设单位</w:t>
            </w:r>
          </w:p>
        </w:tc>
        <w:tc>
          <w:tcPr>
            <w:tcW w:w="529" w:type="pct"/>
            <w:vMerge w:val="restart"/>
            <w:vAlign w:val="center"/>
          </w:tcPr>
          <w:p w14:paraId="314A020F">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建设单位</w:t>
            </w:r>
          </w:p>
        </w:tc>
      </w:tr>
      <w:tr w14:paraId="49AA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7D8CE157">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声环境</w:t>
            </w:r>
          </w:p>
        </w:tc>
        <w:tc>
          <w:tcPr>
            <w:tcW w:w="3591" w:type="pct"/>
            <w:vAlign w:val="center"/>
          </w:tcPr>
          <w:p w14:paraId="20ADD426">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1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①</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对声环境特征点进行监测，保证其声环境质量达标，根据实际情况调整降噪工程措施。</w:t>
            </w:r>
          </w:p>
          <w:p w14:paraId="47B06DED">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2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②</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加强公路交通管制，限制性能差的车辆上路，经常维持路面平整；禁鸣限速。</w:t>
            </w:r>
          </w:p>
          <w:p w14:paraId="5675F8CF">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3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③</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禁止车况差、超载、装卸物品遮盖不严容易洒落的车辆上路。</w:t>
            </w:r>
          </w:p>
        </w:tc>
        <w:tc>
          <w:tcPr>
            <w:tcW w:w="471" w:type="pct"/>
            <w:vMerge w:val="continue"/>
            <w:vAlign w:val="center"/>
          </w:tcPr>
          <w:p w14:paraId="06D703A1">
            <w:pPr>
              <w:jc w:val="center"/>
              <w:rPr>
                <w:rFonts w:ascii="Times New Roman" w:hAnsi="Times New Roman" w:cs="Times New Roman"/>
                <w:bCs/>
                <w:color w:val="000000" w:themeColor="text1"/>
                <w:sz w:val="21"/>
                <w:szCs w:val="21"/>
                <w14:textFill>
                  <w14:solidFill>
                    <w14:schemeClr w14:val="tx1"/>
                  </w14:solidFill>
                </w14:textFill>
              </w:rPr>
            </w:pPr>
          </w:p>
        </w:tc>
        <w:tc>
          <w:tcPr>
            <w:tcW w:w="529" w:type="pct"/>
            <w:vMerge w:val="continue"/>
            <w:vAlign w:val="center"/>
          </w:tcPr>
          <w:p w14:paraId="01B2F695">
            <w:pPr>
              <w:jc w:val="center"/>
              <w:rPr>
                <w:rFonts w:ascii="Times New Roman" w:hAnsi="Times New Roman" w:cs="Times New Roman"/>
                <w:bCs/>
                <w:color w:val="000000" w:themeColor="text1"/>
                <w:sz w:val="21"/>
                <w:szCs w:val="21"/>
                <w14:textFill>
                  <w14:solidFill>
                    <w14:schemeClr w14:val="tx1"/>
                  </w14:solidFill>
                </w14:textFill>
              </w:rPr>
            </w:pPr>
          </w:p>
        </w:tc>
      </w:tr>
      <w:tr w14:paraId="5ED1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28B280DD">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水环境</w:t>
            </w:r>
          </w:p>
        </w:tc>
        <w:tc>
          <w:tcPr>
            <w:tcW w:w="3591" w:type="pct"/>
            <w:vAlign w:val="center"/>
          </w:tcPr>
          <w:p w14:paraId="630670DB">
            <w:pP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①定期检查公路的排水系统，确保排水系统畅通；</w:t>
            </w:r>
          </w:p>
          <w:p w14:paraId="092461D8">
            <w:pP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②对沿线各辅助设施的污水处理设施进行定期维护，并加强对管理人员的培训，保证出水水质达到要求；</w:t>
            </w:r>
          </w:p>
          <w:p w14:paraId="53CA5E9B">
            <w:pP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③加强营运期宣传教育，严禁行驶车辆在跨河桥梁段乱丢垃圾；</w:t>
            </w:r>
          </w:p>
          <w:p w14:paraId="159C308F">
            <w:pPr>
              <w:rPr>
                <w:rFonts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14:textFill>
                  <w14:solidFill>
                    <w14:schemeClr w14:val="tx1"/>
                  </w14:solidFill>
                </w14:textFill>
              </w:rPr>
              <w:t>④严禁各种泄漏、散装超载的车辆上路运行，以防止公路散失货物造成沿线水体污染。</w:t>
            </w:r>
          </w:p>
        </w:tc>
        <w:tc>
          <w:tcPr>
            <w:tcW w:w="471" w:type="pct"/>
            <w:vMerge w:val="continue"/>
            <w:vAlign w:val="center"/>
          </w:tcPr>
          <w:p w14:paraId="23FFA608">
            <w:pPr>
              <w:jc w:val="center"/>
              <w:rPr>
                <w:rFonts w:ascii="Times New Roman" w:hAnsi="Times New Roman" w:cs="Times New Roman"/>
                <w:bCs/>
                <w:color w:val="000000" w:themeColor="text1"/>
                <w:sz w:val="21"/>
                <w:szCs w:val="21"/>
                <w14:textFill>
                  <w14:solidFill>
                    <w14:schemeClr w14:val="tx1"/>
                  </w14:solidFill>
                </w14:textFill>
              </w:rPr>
            </w:pPr>
          </w:p>
        </w:tc>
        <w:tc>
          <w:tcPr>
            <w:tcW w:w="529" w:type="pct"/>
            <w:vMerge w:val="continue"/>
            <w:vAlign w:val="center"/>
          </w:tcPr>
          <w:p w14:paraId="219150B5">
            <w:pPr>
              <w:jc w:val="center"/>
              <w:rPr>
                <w:rFonts w:ascii="Times New Roman" w:hAnsi="Times New Roman" w:cs="Times New Roman"/>
                <w:bCs/>
                <w:color w:val="000000" w:themeColor="text1"/>
                <w:sz w:val="21"/>
                <w:szCs w:val="21"/>
                <w14:textFill>
                  <w14:solidFill>
                    <w14:schemeClr w14:val="tx1"/>
                  </w14:solidFill>
                </w14:textFill>
              </w:rPr>
            </w:pPr>
          </w:p>
        </w:tc>
      </w:tr>
      <w:tr w14:paraId="2229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3799627E">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固体</w:t>
            </w:r>
          </w:p>
          <w:p w14:paraId="12643E2A">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废物</w:t>
            </w:r>
          </w:p>
        </w:tc>
        <w:tc>
          <w:tcPr>
            <w:tcW w:w="3591" w:type="pct"/>
            <w:vAlign w:val="center"/>
          </w:tcPr>
          <w:p w14:paraId="2AB18230">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制定和宣传法规，禁止乘客在公路上乱丢饮料袋、易拉罐等垃圾，以保证行车安全和公路两侧的清洁卫生。公路辅助设施、养护、清扫产生的生活垃圾等一般固废集中收集后，统一清运至生活垃圾填埋场，废旧沥青送有资质单位回收，禁止随意就地填埋</w:t>
            </w:r>
          </w:p>
        </w:tc>
        <w:tc>
          <w:tcPr>
            <w:tcW w:w="471" w:type="pct"/>
            <w:vAlign w:val="center"/>
          </w:tcPr>
          <w:p w14:paraId="76DC365D">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建设单位</w:t>
            </w:r>
          </w:p>
        </w:tc>
        <w:tc>
          <w:tcPr>
            <w:tcW w:w="529" w:type="pct"/>
            <w:vMerge w:val="restart"/>
            <w:vAlign w:val="center"/>
          </w:tcPr>
          <w:p w14:paraId="791E8033">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建设单位</w:t>
            </w:r>
          </w:p>
        </w:tc>
      </w:tr>
      <w:tr w14:paraId="437B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09" w:type="pct"/>
            <w:vAlign w:val="center"/>
          </w:tcPr>
          <w:p w14:paraId="1BCF9596">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危险品泄漏风险</w:t>
            </w:r>
          </w:p>
        </w:tc>
        <w:tc>
          <w:tcPr>
            <w:tcW w:w="3591" w:type="pct"/>
            <w:vAlign w:val="center"/>
          </w:tcPr>
          <w:p w14:paraId="05AA4DFF">
            <w:pPr>
              <w:rPr>
                <w:rFonts w:ascii="Times New Roman" w:hAnsi="Times New Roman" w:cs="Times New Roman"/>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①</w:t>
            </w:r>
            <w:r>
              <w:rPr>
                <w:rFonts w:ascii="Times New Roman" w:hAnsi="Times New Roman" w:cs="Times New Roman"/>
                <w:bCs/>
                <w:color w:val="000000" w:themeColor="text1"/>
                <w:sz w:val="21"/>
                <w:szCs w:val="21"/>
                <w14:textFill>
                  <w14:solidFill>
                    <w14:schemeClr w14:val="tx1"/>
                  </w14:solidFill>
                </w14:textFill>
              </w:rPr>
              <w:t>成立危险品运输事故应急领导小组，负责危险品运输管理及应急处理，并做好应急预案；</w:t>
            </w:r>
          </w:p>
          <w:p w14:paraId="717EF372">
            <w:pPr>
              <w:rPr>
                <w:rFonts w:ascii="Times New Roman" w:hAnsi="Times New Roman" w:cs="Times New Roman"/>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②</w:t>
            </w:r>
            <w:r>
              <w:rPr>
                <w:rFonts w:ascii="Times New Roman" w:hAnsi="Times New Roman" w:cs="Times New Roman"/>
                <w:bCs/>
                <w:color w:val="000000" w:themeColor="text1"/>
                <w:sz w:val="21"/>
                <w:szCs w:val="21"/>
                <w14:textFill>
                  <w14:solidFill>
                    <w14:schemeClr w14:val="tx1"/>
                  </w14:solidFill>
                </w14:textFill>
              </w:rPr>
              <w:t>加强对危险品运输车辆的管理，严格执行</w:t>
            </w:r>
            <w:r>
              <w:rPr>
                <w:rFonts w:hint="eastAsia" w:ascii="Times New Roman" w:hAnsi="Times New Roman" w:cs="Times New Roman"/>
                <w:bCs/>
                <w:color w:val="000000" w:themeColor="text1"/>
                <w:sz w:val="21"/>
                <w:szCs w:val="21"/>
                <w14:textFill>
                  <w14:solidFill>
                    <w14:schemeClr w14:val="tx1"/>
                  </w14:solidFill>
                </w14:textFill>
              </w:rPr>
              <w:t>《危险化学品安全管理条例》（国务院令第</w:t>
            </w:r>
            <w:r>
              <w:rPr>
                <w:rFonts w:ascii="Times New Roman" w:hAnsi="Times New Roman" w:cs="Times New Roman"/>
                <w:bCs/>
                <w:color w:val="000000" w:themeColor="text1"/>
                <w:sz w:val="21"/>
                <w:szCs w:val="21"/>
                <w14:textFill>
                  <w14:solidFill>
                    <w14:schemeClr w14:val="tx1"/>
                  </w14:solidFill>
                </w14:textFill>
              </w:rPr>
              <w:t>344号）、《道路危险货物运输管理规定》和《汽车运输危险货物规则》（JT617-2004）及《汽车运输、装卸危险货物作业规程》（JT618-2004）中的有关规定；</w:t>
            </w:r>
          </w:p>
          <w:p w14:paraId="2E4E4504">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3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③</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对申报运输危险品的车辆进行</w:t>
            </w:r>
            <w:r>
              <w:rPr>
                <w:rFonts w:hint="eastAsia" w:ascii="Times New Roman" w:hAnsi="Times New Roman" w:cs="Times New Roman"/>
                <w:bCs/>
                <w:color w:val="000000" w:themeColor="text1"/>
                <w:sz w:val="21"/>
                <w:szCs w:val="21"/>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三证（准运证、驾驶证、押运员证）一单（危险品行车路单）</w:t>
            </w:r>
            <w:r>
              <w:rPr>
                <w:rFonts w:hint="eastAsia" w:ascii="Times New Roman" w:hAnsi="Times New Roman" w:cs="Times New Roman"/>
                <w:bCs/>
                <w:color w:val="000000" w:themeColor="text1"/>
                <w:sz w:val="21"/>
                <w:szCs w:val="21"/>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的检查，手续不全的车辆禁止上路，对运输特种危险品的车辆必要时安排全程护送。除证件检查外，必要时对车辆进行安全检查，有隐患的车辆在隐患排除前不准上路；</w:t>
            </w:r>
          </w:p>
          <w:p w14:paraId="0BBA73D0">
            <w:pP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fldChar w:fldCharType="begin"/>
            </w:r>
            <w:r>
              <w:rPr>
                <w:rFonts w:ascii="Times New Roman" w:hAnsi="Times New Roman" w:cs="Times New Roman"/>
                <w:bCs/>
                <w:color w:val="000000" w:themeColor="text1"/>
                <w:sz w:val="21"/>
                <w:szCs w:val="21"/>
                <w14:textFill>
                  <w14:solidFill>
                    <w14:schemeClr w14:val="tx1"/>
                  </w14:solidFill>
                </w14:textFill>
              </w:rPr>
              <w:instrText xml:space="preserve"> = 4 \* GB3 </w:instrText>
            </w:r>
            <w:r>
              <w:rPr>
                <w:rFonts w:ascii="Times New Roman" w:hAnsi="Times New Roman" w:cs="Times New Roman"/>
                <w:bCs/>
                <w:color w:val="000000" w:themeColor="text1"/>
                <w:sz w:val="21"/>
                <w:szCs w:val="21"/>
                <w14:textFill>
                  <w14:solidFill>
                    <w14:schemeClr w14:val="tx1"/>
                  </w14:solidFill>
                </w14:textFill>
              </w:rPr>
              <w:fldChar w:fldCharType="separate"/>
            </w:r>
            <w:r>
              <w:rPr>
                <w:rFonts w:hint="eastAsia"/>
                <w:bCs/>
                <w:color w:val="000000" w:themeColor="text1"/>
                <w:sz w:val="21"/>
                <w:szCs w:val="21"/>
                <w14:textFill>
                  <w14:solidFill>
                    <w14:schemeClr w14:val="tx1"/>
                  </w14:solidFill>
                </w14:textFill>
              </w:rPr>
              <w:t>④</w:t>
            </w:r>
            <w:r>
              <w:rPr>
                <w:rFonts w:ascii="Times New Roman" w:hAnsi="Times New Roman" w:cs="Times New Roman"/>
                <w:bCs/>
                <w:color w:val="000000" w:themeColor="text1"/>
                <w:sz w:val="21"/>
                <w:szCs w:val="21"/>
                <w14:textFill>
                  <w14:solidFill>
                    <w14:schemeClr w14:val="tx1"/>
                  </w14:solidFill>
                </w14:textFill>
              </w:rPr>
              <w:fldChar w:fldCharType="end"/>
            </w:r>
            <w:r>
              <w:rPr>
                <w:rFonts w:ascii="Times New Roman" w:hAnsi="Times New Roman" w:cs="Times New Roman"/>
                <w:bCs/>
                <w:color w:val="000000" w:themeColor="text1"/>
                <w:sz w:val="21"/>
                <w:szCs w:val="21"/>
                <w14:textFill>
                  <w14:solidFill>
                    <w14:schemeClr w14:val="tx1"/>
                  </w14:solidFill>
                </w14:textFill>
              </w:rPr>
              <w:t>如发生危险品意外事件，应立即通知有关部门，采取应急行动。</w:t>
            </w:r>
          </w:p>
        </w:tc>
        <w:tc>
          <w:tcPr>
            <w:tcW w:w="471" w:type="pct"/>
            <w:vAlign w:val="center"/>
          </w:tcPr>
          <w:p w14:paraId="0AF99F60">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建设单位、</w:t>
            </w:r>
          </w:p>
          <w:p w14:paraId="2563CAD1">
            <w:pPr>
              <w:jc w:val="center"/>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公安管理部门、生态环境局</w:t>
            </w:r>
          </w:p>
        </w:tc>
        <w:tc>
          <w:tcPr>
            <w:tcW w:w="529" w:type="pct"/>
            <w:vMerge w:val="continue"/>
            <w:vAlign w:val="center"/>
          </w:tcPr>
          <w:p w14:paraId="00687C76">
            <w:pPr>
              <w:jc w:val="center"/>
              <w:rPr>
                <w:rFonts w:ascii="Times New Roman" w:hAnsi="Times New Roman" w:cs="Times New Roman"/>
                <w:bCs/>
                <w:color w:val="000000" w:themeColor="text1"/>
                <w:sz w:val="21"/>
                <w:szCs w:val="21"/>
                <w14:textFill>
                  <w14:solidFill>
                    <w14:schemeClr w14:val="tx1"/>
                  </w14:solidFill>
                </w14:textFill>
              </w:rPr>
            </w:pPr>
          </w:p>
        </w:tc>
      </w:tr>
    </w:tbl>
    <w:p w14:paraId="70480305">
      <w:pPr>
        <w:keepNext/>
        <w:keepLines/>
        <w:adjustRightInd w:val="0"/>
        <w:snapToGrid w:val="0"/>
        <w:spacing w:before="156" w:beforeLines="50" w:after="156" w:afterLines="50"/>
        <w:outlineLvl w:val="2"/>
        <w:rPr>
          <w:rFonts w:ascii="Times New Roman" w:hAnsi="Times New Roman" w:cs="Times New Roman"/>
          <w:b/>
          <w:bCs/>
          <w:color w:val="000000" w:themeColor="text1"/>
          <w:sz w:val="30"/>
          <w:szCs w:val="32"/>
          <w14:textFill>
            <w14:solidFill>
              <w14:schemeClr w14:val="tx1"/>
            </w14:solidFill>
          </w14:textFill>
        </w:rPr>
      </w:pPr>
      <w:bookmarkStart w:id="646" w:name="_Toc34989637"/>
      <w:bookmarkStart w:id="647" w:name="_Toc98413600"/>
      <w:bookmarkStart w:id="648" w:name="_Toc57826800"/>
      <w:bookmarkStart w:id="649" w:name="_Toc98414282"/>
      <w:bookmarkStart w:id="650" w:name="_Toc97464706"/>
      <w:r>
        <w:rPr>
          <w:rFonts w:ascii="Times New Roman" w:hAnsi="Times New Roman" w:cs="Times New Roman"/>
          <w:b/>
          <w:bCs/>
          <w:color w:val="000000" w:themeColor="text1"/>
          <w:sz w:val="30"/>
          <w:szCs w:val="32"/>
          <w14:textFill>
            <w14:solidFill>
              <w14:schemeClr w14:val="tx1"/>
            </w14:solidFill>
          </w14:textFill>
        </w:rPr>
        <w:t>9.1.3环境保护管理</w:t>
      </w:r>
      <w:bookmarkEnd w:id="646"/>
      <w:r>
        <w:rPr>
          <w:rFonts w:ascii="Times New Roman" w:hAnsi="Times New Roman" w:cs="Times New Roman"/>
          <w:b/>
          <w:bCs/>
          <w:color w:val="000000" w:themeColor="text1"/>
          <w:sz w:val="30"/>
          <w:szCs w:val="32"/>
          <w14:textFill>
            <w14:solidFill>
              <w14:schemeClr w14:val="tx1"/>
            </w14:solidFill>
          </w14:textFill>
        </w:rPr>
        <w:t>执行</w:t>
      </w:r>
      <w:bookmarkEnd w:id="647"/>
      <w:bookmarkEnd w:id="648"/>
      <w:bookmarkEnd w:id="649"/>
      <w:bookmarkEnd w:id="650"/>
    </w:p>
    <w:p w14:paraId="15A8CFFA">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环境保护计划的制定主要是为了落实本环境影响报告书所提出的环境保护措施及建议；对项目施工期间的监督和营运期的监测等工作提出要求。</w:t>
      </w:r>
    </w:p>
    <w:p w14:paraId="083F78B9">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（1）施工期</w:t>
      </w:r>
    </w:p>
    <w:p w14:paraId="06070EF4">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建设单位组织开展环境保护宣传、教育和培训工作，组织实施工程的环境保护行动计划，及时处理环境污染事故和污染纠纷，接受环保管理部门的监督和指导。</w:t>
      </w:r>
    </w:p>
    <w:p w14:paraId="57D54D87">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施工单位应接受建设单位和当地环保部门的监督和指导，并按中标书、施工合同落实各项环境保护和文明施工措施，各施工单位至少应配备一名专职环保人员，具体监督、管理环保措施的实施情况。</w:t>
      </w:r>
    </w:p>
    <w:p w14:paraId="2D0C184C">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在施工结束后，建设单位应组织全面检查工程环保措施落实和施工现场的环境恢复情况，督促施工单位及时撤出临时占用场地，拆除临时设施，恢复被破坏的土地和植被。</w:t>
      </w:r>
    </w:p>
    <w:p w14:paraId="440CF6CC">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（2）营运期</w:t>
      </w:r>
    </w:p>
    <w:p w14:paraId="4064CC1F">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营运期的环保管理、监测和需补充的环境保护工程措施等由公路营运管理机构实施。</w:t>
      </w:r>
    </w:p>
    <w:p w14:paraId="75F79D32">
      <w:pPr>
        <w:pStyle w:val="3"/>
        <w:adjustRightInd w:val="0"/>
        <w:snapToGrid w:val="0"/>
        <w:spacing w:before="156" w:after="156" w:line="240" w:lineRule="auto"/>
        <w:jc w:val="both"/>
        <w:rPr>
          <w:rFonts w:ascii="Times New Roman" w:hAnsi="Times New Roman" w:cs="Times New Roman"/>
          <w:color w:val="000000" w:themeColor="text1"/>
          <w14:textFill>
            <w14:solidFill>
              <w14:schemeClr w14:val="tx1"/>
            </w14:solidFill>
          </w14:textFill>
        </w:rPr>
      </w:pPr>
      <w:bookmarkStart w:id="651" w:name="bookmark56"/>
      <w:bookmarkEnd w:id="651"/>
      <w:bookmarkStart w:id="652" w:name="_Toc98413601"/>
      <w:bookmarkStart w:id="653" w:name="_Toc187675447"/>
      <w:r>
        <w:rPr>
          <w:rFonts w:ascii="Times New Roman" w:hAnsi="Times New Roman" w:cs="Times New Roman"/>
          <w:color w:val="000000" w:themeColor="text1"/>
          <w14:textFill>
            <w14:solidFill>
              <w14:schemeClr w14:val="tx1"/>
            </w14:solidFill>
          </w14:textFill>
        </w:rPr>
        <w:t>9.2环境监测计划</w:t>
      </w:r>
      <w:bookmarkEnd w:id="652"/>
      <w:bookmarkEnd w:id="653"/>
    </w:p>
    <w:p w14:paraId="3756827F">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环境监测的目的是及时了解公路建设在施工期、营运期对沿线环境产生的影响程度及影响范围，并采取一系列环境保护措施以减轻或消除不利影响。环境监测还可以验证环境保护措施的效果，更好的保护环境，充分发挥公路的效益，并对突发性事故进行及时了解、控制，尽可能减少其损失。</w:t>
      </w:r>
    </w:p>
    <w:p w14:paraId="0CD91B61">
      <w:pPr>
        <w:keepNext/>
        <w:keepLines/>
        <w:adjustRightInd w:val="0"/>
        <w:snapToGrid w:val="0"/>
        <w:spacing w:before="156" w:beforeLines="50" w:after="156" w:afterLines="50"/>
        <w:outlineLvl w:val="2"/>
        <w:rPr>
          <w:rFonts w:ascii="Times New Roman" w:hAnsi="Times New Roman" w:cs="Times New Roman"/>
          <w:b/>
          <w:bCs/>
          <w:color w:val="000000" w:themeColor="text1"/>
          <w:sz w:val="30"/>
          <w:szCs w:val="32"/>
          <w14:textFill>
            <w14:solidFill>
              <w14:schemeClr w14:val="tx1"/>
            </w14:solidFill>
          </w14:textFill>
        </w:rPr>
      </w:pPr>
      <w:bookmarkStart w:id="654" w:name="_Toc34989640"/>
      <w:bookmarkStart w:id="655" w:name="_Toc98413602"/>
      <w:bookmarkStart w:id="656" w:name="_Toc97464708"/>
      <w:bookmarkStart w:id="657" w:name="_Toc98414284"/>
      <w:bookmarkStart w:id="658" w:name="_Toc57826802"/>
      <w:r>
        <w:rPr>
          <w:rFonts w:ascii="Times New Roman" w:hAnsi="Times New Roman" w:cs="Times New Roman"/>
          <w:b/>
          <w:bCs/>
          <w:color w:val="000000" w:themeColor="text1"/>
          <w:sz w:val="30"/>
          <w:szCs w:val="32"/>
          <w14:textFill>
            <w14:solidFill>
              <w14:schemeClr w14:val="tx1"/>
            </w14:solidFill>
          </w14:textFill>
        </w:rPr>
        <w:t>9.2.1监测</w:t>
      </w:r>
      <w:bookmarkEnd w:id="654"/>
      <w:r>
        <w:rPr>
          <w:rFonts w:ascii="Times New Roman" w:hAnsi="Times New Roman" w:cs="Times New Roman"/>
          <w:b/>
          <w:bCs/>
          <w:color w:val="000000" w:themeColor="text1"/>
          <w:sz w:val="30"/>
          <w:szCs w:val="32"/>
          <w14:textFill>
            <w14:solidFill>
              <w14:schemeClr w14:val="tx1"/>
            </w14:solidFill>
          </w14:textFill>
        </w:rPr>
        <w:t>机构</w:t>
      </w:r>
      <w:bookmarkEnd w:id="655"/>
      <w:bookmarkEnd w:id="656"/>
      <w:bookmarkEnd w:id="657"/>
      <w:bookmarkEnd w:id="658"/>
    </w:p>
    <w:p w14:paraId="7FFC1886">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拟建项目施工期和营运期的环境监测可以委托有资质的监测单位承担，应定期定点监测，编制监测报告，提供给建设单位，以备第</w:t>
      </w:r>
      <w:r>
        <w:rPr>
          <w:rFonts w:hint="eastAsia" w:ascii="Times New Roman" w:hAnsi="Times New Roman" w:cs="Times New Roman"/>
          <w:color w:val="000000" w:themeColor="text1"/>
          <w:szCs w:val="22"/>
          <w14:textFill>
            <w14:solidFill>
              <w14:schemeClr w14:val="tx1"/>
            </w14:solidFill>
          </w14:textFill>
        </w:rPr>
        <w:t>三</w:t>
      </w:r>
      <w:r>
        <w:rPr>
          <w:rFonts w:ascii="Times New Roman" w:hAnsi="Times New Roman" w:cs="Times New Roman"/>
          <w:color w:val="000000" w:themeColor="text1"/>
          <w:szCs w:val="22"/>
          <w14:textFill>
            <w14:solidFill>
              <w14:schemeClr w14:val="tx1"/>
            </w14:solidFill>
          </w14:textFill>
        </w:rPr>
        <w:t>师生态环境局监督。若在监测中发现问题应及时报告，以便及时有效的采取措施。</w:t>
      </w:r>
    </w:p>
    <w:p w14:paraId="0545C70B">
      <w:pPr>
        <w:pStyle w:val="4"/>
        <w:adjustRightInd w:val="0"/>
        <w:snapToGrid w:val="0"/>
        <w:spacing w:before="156" w:after="156" w:line="240" w:lineRule="auto"/>
        <w:rPr>
          <w:rFonts w:ascii="Times New Roman" w:hAnsi="Times New Roman" w:cs="Times New Roman"/>
          <w:color w:val="000000" w:themeColor="text1"/>
          <w:sz w:val="30"/>
          <w14:textFill>
            <w14:solidFill>
              <w14:schemeClr w14:val="tx1"/>
            </w14:solidFill>
          </w14:textFill>
        </w:rPr>
      </w:pPr>
      <w:bookmarkStart w:id="659" w:name="_Toc34989641"/>
      <w:bookmarkStart w:id="660" w:name="_Toc97464709"/>
      <w:bookmarkStart w:id="661" w:name="_Toc57826803"/>
      <w:bookmarkStart w:id="662" w:name="_Toc98414285"/>
      <w:bookmarkStart w:id="663" w:name="_Toc98413603"/>
      <w:bookmarkStart w:id="664" w:name="_Hlk171940898"/>
      <w:r>
        <w:rPr>
          <w:rFonts w:ascii="Times New Roman" w:hAnsi="Times New Roman" w:cs="Times New Roman"/>
          <w:color w:val="000000" w:themeColor="text1"/>
          <w:sz w:val="30"/>
          <w14:textFill>
            <w14:solidFill>
              <w14:schemeClr w14:val="tx1"/>
            </w14:solidFill>
          </w14:textFill>
        </w:rPr>
        <w:t>9.2.2监测计划</w:t>
      </w:r>
      <w:bookmarkEnd w:id="659"/>
      <w:bookmarkEnd w:id="660"/>
      <w:bookmarkEnd w:id="661"/>
      <w:bookmarkEnd w:id="662"/>
      <w:bookmarkEnd w:id="663"/>
    </w:p>
    <w:p w14:paraId="60F195EF">
      <w:pPr>
        <w:spacing w:line="360" w:lineRule="auto"/>
        <w:ind w:firstLine="480" w:firstLineChars="200"/>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本项目环境监测计划见表9.2-1。</w:t>
      </w:r>
    </w:p>
    <w:p w14:paraId="2F11E0B8">
      <w:pPr>
        <w:tabs>
          <w:tab w:val="left" w:pos="2835"/>
        </w:tabs>
        <w:kinsoku w:val="0"/>
        <w:overflowPunct w:val="0"/>
        <w:spacing w:line="338" w:lineRule="auto"/>
        <w:jc w:val="center"/>
        <w:rPr>
          <w:rFonts w:ascii="黑体" w:hAnsi="黑体" w:eastAsia="黑体" w:cs="Times New Roman"/>
          <w:color w:val="000000" w:themeColor="text1"/>
          <w:sz w:val="21"/>
          <w14:textFill>
            <w14:solidFill>
              <w14:schemeClr w14:val="tx1"/>
            </w14:solidFill>
          </w14:textFill>
        </w:rPr>
      </w:pPr>
      <w:bookmarkStart w:id="665" w:name="bookmark57"/>
      <w:bookmarkEnd w:id="665"/>
      <w:bookmarkStart w:id="666" w:name="_Hlk172228749"/>
      <w:bookmarkStart w:id="667" w:name="_Toc98413604"/>
      <w:r>
        <w:rPr>
          <w:rFonts w:ascii="黑体" w:hAnsi="黑体" w:eastAsia="黑体" w:cs="Times New Roman"/>
          <w:color w:val="000000" w:themeColor="text1"/>
          <w14:textFill>
            <w14:solidFill>
              <w14:schemeClr w14:val="tx1"/>
            </w14:solidFill>
          </w14:textFill>
        </w:rPr>
        <w:t>表9.2-1  环境监测计划</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911"/>
        <w:gridCol w:w="911"/>
        <w:gridCol w:w="2339"/>
        <w:gridCol w:w="1907"/>
        <w:gridCol w:w="1439"/>
        <w:gridCol w:w="907"/>
      </w:tblGrid>
      <w:tr w14:paraId="2E258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40" w:hRule="atLeast"/>
          <w:tblHeader/>
          <w:jc w:val="center"/>
        </w:trPr>
        <w:tc>
          <w:tcPr>
            <w:tcW w:w="897" w:type="dxa"/>
            <w:vAlign w:val="center"/>
          </w:tcPr>
          <w:p w14:paraId="5BE6C616">
            <w:pPr>
              <w:snapToGrid w:val="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监测要素</w:t>
            </w:r>
          </w:p>
        </w:tc>
        <w:tc>
          <w:tcPr>
            <w:tcW w:w="897" w:type="dxa"/>
            <w:vAlign w:val="center"/>
          </w:tcPr>
          <w:p w14:paraId="3F4A32A1">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阶段</w:t>
            </w:r>
          </w:p>
        </w:tc>
        <w:tc>
          <w:tcPr>
            <w:tcW w:w="2302" w:type="dxa"/>
            <w:vAlign w:val="center"/>
          </w:tcPr>
          <w:p w14:paraId="1C850EE6">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监测地点</w:t>
            </w:r>
          </w:p>
        </w:tc>
        <w:tc>
          <w:tcPr>
            <w:tcW w:w="1877" w:type="dxa"/>
            <w:vAlign w:val="center"/>
          </w:tcPr>
          <w:p w14:paraId="3799612D">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监测项目</w:t>
            </w:r>
          </w:p>
        </w:tc>
        <w:tc>
          <w:tcPr>
            <w:tcW w:w="1416" w:type="dxa"/>
            <w:vAlign w:val="center"/>
          </w:tcPr>
          <w:p w14:paraId="1231CA1A">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监测频次</w:t>
            </w:r>
          </w:p>
        </w:tc>
        <w:tc>
          <w:tcPr>
            <w:tcW w:w="893" w:type="dxa"/>
            <w:vAlign w:val="center"/>
          </w:tcPr>
          <w:p w14:paraId="1B22F741">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监测</w:t>
            </w:r>
          </w:p>
          <w:p w14:paraId="277427BF">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机构</w:t>
            </w:r>
          </w:p>
        </w:tc>
      </w:tr>
      <w:tr w14:paraId="7242B6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40" w:hRule="atLeast"/>
          <w:jc w:val="center"/>
        </w:trPr>
        <w:tc>
          <w:tcPr>
            <w:tcW w:w="897" w:type="dxa"/>
            <w:vAlign w:val="center"/>
          </w:tcPr>
          <w:p w14:paraId="70CD2845">
            <w:pPr>
              <w:snapToGrid w:val="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地表水</w:t>
            </w:r>
          </w:p>
        </w:tc>
        <w:tc>
          <w:tcPr>
            <w:tcW w:w="897" w:type="dxa"/>
            <w:vAlign w:val="center"/>
          </w:tcPr>
          <w:p w14:paraId="098EE44B">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施工期</w:t>
            </w:r>
          </w:p>
        </w:tc>
        <w:tc>
          <w:tcPr>
            <w:tcW w:w="2302" w:type="dxa"/>
            <w:vAlign w:val="center"/>
          </w:tcPr>
          <w:p w14:paraId="49D8C339">
            <w:pPr>
              <w:snapToGrid w:val="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盖孜河</w:t>
            </w:r>
          </w:p>
        </w:tc>
        <w:tc>
          <w:tcPr>
            <w:tcW w:w="1877" w:type="dxa"/>
            <w:vAlign w:val="center"/>
          </w:tcPr>
          <w:p w14:paraId="1BC64178">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COD、SS、石</w:t>
            </w:r>
            <w:r>
              <w:rPr>
                <w:rFonts w:hint="eastAsia"/>
                <w:color w:val="000000" w:themeColor="text1"/>
                <w:sz w:val="21"/>
                <w:szCs w:val="18"/>
                <w14:textFill>
                  <w14:solidFill>
                    <w14:schemeClr w14:val="tx1"/>
                  </w14:solidFill>
                </w14:textFill>
              </w:rPr>
              <w:t>油类、</w:t>
            </w:r>
            <w:r>
              <w:rPr>
                <w:color w:val="000000" w:themeColor="text1"/>
                <w:sz w:val="21"/>
                <w:szCs w:val="18"/>
                <w14:textFill>
                  <w14:solidFill>
                    <w14:schemeClr w14:val="tx1"/>
                  </w14:solidFill>
                </w14:textFill>
              </w:rPr>
              <w:t>pH</w:t>
            </w:r>
          </w:p>
        </w:tc>
        <w:tc>
          <w:tcPr>
            <w:tcW w:w="1416" w:type="dxa"/>
            <w:vAlign w:val="center"/>
          </w:tcPr>
          <w:p w14:paraId="1FCA5151">
            <w:pPr>
              <w:snapToGrid w:val="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施工监测</w:t>
            </w:r>
            <w:r>
              <w:rPr>
                <w:color w:val="000000" w:themeColor="text1"/>
                <w:sz w:val="21"/>
                <w:szCs w:val="18"/>
                <w14:textFill>
                  <w14:solidFill>
                    <w14:schemeClr w14:val="tx1"/>
                  </w14:solidFill>
                </w14:textFill>
              </w:rPr>
              <w:t>1</w:t>
            </w:r>
            <w:r>
              <w:rPr>
                <w:rFonts w:hint="eastAsia"/>
                <w:color w:val="000000" w:themeColor="text1"/>
                <w:sz w:val="21"/>
                <w:szCs w:val="18"/>
                <w14:textFill>
                  <w14:solidFill>
                    <w14:schemeClr w14:val="tx1"/>
                  </w14:solidFill>
                </w14:textFill>
              </w:rPr>
              <w:t>次</w:t>
            </w:r>
            <w:r>
              <w:rPr>
                <w:color w:val="000000" w:themeColor="text1"/>
                <w:sz w:val="21"/>
                <w:szCs w:val="18"/>
                <w14:textFill>
                  <w14:solidFill>
                    <w14:schemeClr w14:val="tx1"/>
                  </w14:solidFill>
                </w14:textFill>
              </w:rPr>
              <w:t>/季度，2</w:t>
            </w:r>
            <w:r>
              <w:rPr>
                <w:rFonts w:hint="eastAsia"/>
                <w:color w:val="000000" w:themeColor="text1"/>
                <w:sz w:val="21"/>
                <w:szCs w:val="18"/>
                <w14:textFill>
                  <w14:solidFill>
                    <w14:schemeClr w14:val="tx1"/>
                  </w14:solidFill>
                </w14:textFill>
              </w:rPr>
              <w:t>日</w:t>
            </w:r>
            <w:r>
              <w:rPr>
                <w:color w:val="000000" w:themeColor="text1"/>
                <w:sz w:val="21"/>
                <w:szCs w:val="18"/>
                <w14:textFill>
                  <w14:solidFill>
                    <w14:schemeClr w14:val="tx1"/>
                  </w14:solidFill>
                </w14:textFill>
              </w:rPr>
              <w:t>/次</w:t>
            </w:r>
          </w:p>
        </w:tc>
        <w:tc>
          <w:tcPr>
            <w:tcW w:w="893" w:type="dxa"/>
            <w:vMerge w:val="restart"/>
            <w:vAlign w:val="center"/>
          </w:tcPr>
          <w:p w14:paraId="2F9E5729">
            <w:pPr>
              <w:snapToGrid w:val="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受业主委托有</w:t>
            </w:r>
          </w:p>
          <w:p w14:paraId="6882855A">
            <w:pPr>
              <w:snapToGrid w:val="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资质的监测单位</w:t>
            </w:r>
          </w:p>
        </w:tc>
      </w:tr>
      <w:tr w14:paraId="75F22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40" w:hRule="atLeast"/>
          <w:jc w:val="center"/>
        </w:trPr>
        <w:tc>
          <w:tcPr>
            <w:tcW w:w="897" w:type="dxa"/>
            <w:vAlign w:val="center"/>
          </w:tcPr>
          <w:p w14:paraId="04528B3A">
            <w:pPr>
              <w:snapToGrid w:val="0"/>
              <w:jc w:val="cente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噪声</w:t>
            </w:r>
          </w:p>
        </w:tc>
        <w:tc>
          <w:tcPr>
            <w:tcW w:w="897" w:type="dxa"/>
            <w:vAlign w:val="center"/>
          </w:tcPr>
          <w:p w14:paraId="6DB3E531">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运营期</w:t>
            </w:r>
          </w:p>
        </w:tc>
        <w:tc>
          <w:tcPr>
            <w:tcW w:w="2302" w:type="dxa"/>
            <w:vAlign w:val="center"/>
          </w:tcPr>
          <w:p w14:paraId="296C80B0">
            <w:pPr>
              <w:snapToGrid w:val="0"/>
              <w:jc w:val="center"/>
              <w:rPr>
                <w:color w:val="000000" w:themeColor="text1"/>
                <w:sz w:val="21"/>
                <w:szCs w:val="18"/>
                <w14:textFill>
                  <w14:solidFill>
                    <w14:schemeClr w14:val="tx1"/>
                  </w14:solidFill>
                </w14:textFill>
              </w:rPr>
            </w:pPr>
            <w:r>
              <w:rPr>
                <w:rFonts w:hint="eastAsia"/>
                <w:snapToGrid w:val="0"/>
                <w:color w:val="000000" w:themeColor="text1"/>
                <w:sz w:val="21"/>
                <w:szCs w:val="18"/>
                <w14:textFill>
                  <w14:solidFill>
                    <w14:schemeClr w14:val="tx1"/>
                  </w14:solidFill>
                </w14:textFill>
              </w:rPr>
              <w:t>选择公路沿线代表性及有群众投诉的敏感点</w:t>
            </w:r>
          </w:p>
        </w:tc>
        <w:tc>
          <w:tcPr>
            <w:tcW w:w="1877" w:type="dxa"/>
            <w:vAlign w:val="center"/>
          </w:tcPr>
          <w:p w14:paraId="4291AB64">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LAeq</w:t>
            </w:r>
          </w:p>
        </w:tc>
        <w:tc>
          <w:tcPr>
            <w:tcW w:w="1416" w:type="dxa"/>
            <w:vAlign w:val="center"/>
          </w:tcPr>
          <w:p w14:paraId="6968F1CB">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1次/年</w:t>
            </w:r>
          </w:p>
        </w:tc>
        <w:tc>
          <w:tcPr>
            <w:tcW w:w="893" w:type="dxa"/>
            <w:vMerge w:val="continue"/>
            <w:vAlign w:val="center"/>
          </w:tcPr>
          <w:p w14:paraId="7A10EA1C">
            <w:pPr>
              <w:snapToGrid w:val="0"/>
              <w:jc w:val="center"/>
              <w:rPr>
                <w:color w:val="000000" w:themeColor="text1"/>
                <w:sz w:val="21"/>
                <w:szCs w:val="18"/>
                <w14:textFill>
                  <w14:solidFill>
                    <w14:schemeClr w14:val="tx1"/>
                  </w14:solidFill>
                </w14:textFill>
              </w:rPr>
            </w:pPr>
          </w:p>
        </w:tc>
      </w:tr>
      <w:tr w14:paraId="2D3CE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40" w:hRule="atLeast"/>
          <w:jc w:val="center"/>
        </w:trPr>
        <w:tc>
          <w:tcPr>
            <w:tcW w:w="897" w:type="dxa"/>
            <w:vMerge w:val="restart"/>
            <w:vAlign w:val="center"/>
          </w:tcPr>
          <w:p w14:paraId="66CA8450">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生态</w:t>
            </w:r>
          </w:p>
        </w:tc>
        <w:tc>
          <w:tcPr>
            <w:tcW w:w="897" w:type="dxa"/>
            <w:vMerge w:val="restart"/>
            <w:vAlign w:val="center"/>
          </w:tcPr>
          <w:p w14:paraId="0242E847">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施工期</w:t>
            </w:r>
          </w:p>
        </w:tc>
        <w:tc>
          <w:tcPr>
            <w:tcW w:w="2302" w:type="dxa"/>
            <w:vAlign w:val="center"/>
          </w:tcPr>
          <w:p w14:paraId="5BD59EE5">
            <w:pPr>
              <w:snapToGrid w:val="0"/>
              <w:jc w:val="center"/>
              <w:rPr>
                <w:snapToGrid w:val="0"/>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施工沿线</w:t>
            </w:r>
          </w:p>
        </w:tc>
        <w:tc>
          <w:tcPr>
            <w:tcW w:w="1877" w:type="dxa"/>
            <w:vAlign w:val="center"/>
          </w:tcPr>
          <w:p w14:paraId="2D3D8C64">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植被覆盖度</w:t>
            </w:r>
          </w:p>
        </w:tc>
        <w:tc>
          <w:tcPr>
            <w:tcW w:w="1416" w:type="dxa"/>
            <w:vAlign w:val="center"/>
          </w:tcPr>
          <w:p w14:paraId="2D3F909A">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1次/</w:t>
            </w:r>
            <w:r>
              <w:rPr>
                <w:rFonts w:hint="eastAsia"/>
                <w:color w:val="000000" w:themeColor="text1"/>
                <w:sz w:val="21"/>
                <w:szCs w:val="18"/>
                <w14:textFill>
                  <w14:solidFill>
                    <w14:schemeClr w14:val="tx1"/>
                  </w14:solidFill>
                </w14:textFill>
              </w:rPr>
              <w:t>年</w:t>
            </w:r>
          </w:p>
        </w:tc>
        <w:tc>
          <w:tcPr>
            <w:tcW w:w="893" w:type="dxa"/>
            <w:vMerge w:val="continue"/>
            <w:vAlign w:val="center"/>
          </w:tcPr>
          <w:p w14:paraId="7A9B273A">
            <w:pPr>
              <w:snapToGrid w:val="0"/>
              <w:jc w:val="center"/>
              <w:rPr>
                <w:color w:val="000000" w:themeColor="text1"/>
                <w:sz w:val="21"/>
                <w:szCs w:val="18"/>
                <w14:textFill>
                  <w14:solidFill>
                    <w14:schemeClr w14:val="tx1"/>
                  </w14:solidFill>
                </w14:textFill>
              </w:rPr>
            </w:pPr>
          </w:p>
        </w:tc>
      </w:tr>
      <w:tr w14:paraId="30D61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40" w:hRule="atLeast"/>
          <w:jc w:val="center"/>
        </w:trPr>
        <w:tc>
          <w:tcPr>
            <w:tcW w:w="897" w:type="dxa"/>
            <w:vMerge w:val="continue"/>
            <w:vAlign w:val="center"/>
          </w:tcPr>
          <w:p w14:paraId="1381F3AE">
            <w:pPr>
              <w:snapToGrid w:val="0"/>
              <w:jc w:val="center"/>
              <w:rPr>
                <w:color w:val="000000" w:themeColor="text1"/>
                <w:sz w:val="21"/>
                <w:szCs w:val="18"/>
                <w14:textFill>
                  <w14:solidFill>
                    <w14:schemeClr w14:val="tx1"/>
                  </w14:solidFill>
                </w14:textFill>
              </w:rPr>
            </w:pPr>
          </w:p>
        </w:tc>
        <w:tc>
          <w:tcPr>
            <w:tcW w:w="897" w:type="dxa"/>
            <w:vMerge w:val="continue"/>
            <w:vAlign w:val="center"/>
          </w:tcPr>
          <w:p w14:paraId="7B6E0B5C">
            <w:pPr>
              <w:snapToGrid w:val="0"/>
              <w:jc w:val="center"/>
              <w:rPr>
                <w:color w:val="000000" w:themeColor="text1"/>
                <w:sz w:val="21"/>
                <w:szCs w:val="18"/>
                <w14:textFill>
                  <w14:solidFill>
                    <w14:schemeClr w14:val="tx1"/>
                  </w14:solidFill>
                </w14:textFill>
              </w:rPr>
            </w:pPr>
          </w:p>
        </w:tc>
        <w:tc>
          <w:tcPr>
            <w:tcW w:w="2302" w:type="dxa"/>
            <w:vAlign w:val="center"/>
          </w:tcPr>
          <w:p w14:paraId="47B6CE9E">
            <w:pPr>
              <w:snapToGrid w:val="0"/>
              <w:jc w:val="center"/>
              <w:rPr>
                <w:snapToGrid w:val="0"/>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弃土场</w:t>
            </w:r>
            <w:r>
              <w:rPr>
                <w:rFonts w:hint="eastAsia"/>
                <w:color w:val="000000" w:themeColor="text1"/>
                <w:sz w:val="21"/>
                <w:szCs w:val="18"/>
                <w14:textFill>
                  <w14:solidFill>
                    <w14:schemeClr w14:val="tx1"/>
                  </w14:solidFill>
                </w14:textFill>
              </w:rPr>
              <w:t>、施工综合场站</w:t>
            </w:r>
          </w:p>
        </w:tc>
        <w:tc>
          <w:tcPr>
            <w:tcW w:w="1877" w:type="dxa"/>
            <w:vAlign w:val="center"/>
          </w:tcPr>
          <w:p w14:paraId="4B216986">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生态恢复</w:t>
            </w:r>
          </w:p>
        </w:tc>
        <w:tc>
          <w:tcPr>
            <w:tcW w:w="1416" w:type="dxa"/>
            <w:vAlign w:val="center"/>
          </w:tcPr>
          <w:p w14:paraId="5BDA299F">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施工结束后</w:t>
            </w:r>
          </w:p>
        </w:tc>
        <w:tc>
          <w:tcPr>
            <w:tcW w:w="893" w:type="dxa"/>
            <w:vMerge w:val="continue"/>
            <w:vAlign w:val="center"/>
          </w:tcPr>
          <w:p w14:paraId="5B7BA0D6">
            <w:pPr>
              <w:snapToGrid w:val="0"/>
              <w:jc w:val="center"/>
              <w:rPr>
                <w:color w:val="000000" w:themeColor="text1"/>
                <w:sz w:val="21"/>
                <w:szCs w:val="18"/>
                <w14:textFill>
                  <w14:solidFill>
                    <w14:schemeClr w14:val="tx1"/>
                  </w14:solidFill>
                </w14:textFill>
              </w:rPr>
            </w:pPr>
          </w:p>
        </w:tc>
      </w:tr>
      <w:tr w14:paraId="6CF074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40" w:hRule="atLeast"/>
          <w:jc w:val="center"/>
        </w:trPr>
        <w:tc>
          <w:tcPr>
            <w:tcW w:w="897" w:type="dxa"/>
            <w:vMerge w:val="continue"/>
            <w:vAlign w:val="center"/>
          </w:tcPr>
          <w:p w14:paraId="203EF104">
            <w:pPr>
              <w:snapToGrid w:val="0"/>
              <w:jc w:val="center"/>
              <w:rPr>
                <w:color w:val="000000" w:themeColor="text1"/>
                <w:sz w:val="21"/>
                <w:szCs w:val="18"/>
                <w14:textFill>
                  <w14:solidFill>
                    <w14:schemeClr w14:val="tx1"/>
                  </w14:solidFill>
                </w14:textFill>
              </w:rPr>
            </w:pPr>
          </w:p>
        </w:tc>
        <w:tc>
          <w:tcPr>
            <w:tcW w:w="897" w:type="dxa"/>
            <w:vAlign w:val="center"/>
          </w:tcPr>
          <w:p w14:paraId="29B0EF23">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运营期</w:t>
            </w:r>
          </w:p>
        </w:tc>
        <w:tc>
          <w:tcPr>
            <w:tcW w:w="2302" w:type="dxa"/>
            <w:vAlign w:val="center"/>
          </w:tcPr>
          <w:p w14:paraId="03D2CC8A">
            <w:pPr>
              <w:snapToGrid w:val="0"/>
              <w:jc w:val="center"/>
              <w:rPr>
                <w:snapToGrid w:val="0"/>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临时占地恢复情况</w:t>
            </w:r>
          </w:p>
        </w:tc>
        <w:tc>
          <w:tcPr>
            <w:tcW w:w="1877" w:type="dxa"/>
            <w:vAlign w:val="center"/>
          </w:tcPr>
          <w:p w14:paraId="48FD6DCC">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调查临时占地地表恢复情况</w:t>
            </w:r>
          </w:p>
        </w:tc>
        <w:tc>
          <w:tcPr>
            <w:tcW w:w="1416" w:type="dxa"/>
            <w:vAlign w:val="center"/>
          </w:tcPr>
          <w:p w14:paraId="3D6A16A2">
            <w:pPr>
              <w:snapToGrid w:val="0"/>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验收调查期间</w:t>
            </w:r>
          </w:p>
        </w:tc>
        <w:tc>
          <w:tcPr>
            <w:tcW w:w="893" w:type="dxa"/>
            <w:vMerge w:val="continue"/>
            <w:vAlign w:val="center"/>
          </w:tcPr>
          <w:p w14:paraId="29F3116E">
            <w:pPr>
              <w:snapToGrid w:val="0"/>
              <w:jc w:val="center"/>
              <w:rPr>
                <w:color w:val="000000" w:themeColor="text1"/>
                <w:sz w:val="21"/>
                <w:szCs w:val="18"/>
                <w14:textFill>
                  <w14:solidFill>
                    <w14:schemeClr w14:val="tx1"/>
                  </w14:solidFill>
                </w14:textFill>
              </w:rPr>
            </w:pPr>
          </w:p>
        </w:tc>
      </w:tr>
    </w:tbl>
    <w:p w14:paraId="5FC01C33">
      <w:pPr>
        <w:tabs>
          <w:tab w:val="left" w:pos="2835"/>
        </w:tabs>
        <w:kinsoku w:val="0"/>
        <w:overflowPunct w:val="0"/>
        <w:spacing w:line="338" w:lineRule="auto"/>
        <w:jc w:val="center"/>
        <w:rPr>
          <w:rFonts w:ascii="Times New Roman" w:hAnsi="Times New Roman" w:eastAsia="黑体" w:cs="Times New Roman"/>
        </w:rPr>
      </w:pPr>
    </w:p>
    <w:bookmarkEnd w:id="664"/>
    <w:bookmarkEnd w:id="666"/>
    <w:p w14:paraId="6806A92A">
      <w:pPr>
        <w:pStyle w:val="3"/>
        <w:adjustRightInd w:val="0"/>
        <w:snapToGrid w:val="0"/>
        <w:spacing w:before="156" w:after="156" w:line="240" w:lineRule="auto"/>
        <w:rPr>
          <w:rFonts w:ascii="Times New Roman" w:hAnsi="Times New Roman" w:cs="Times New Roman"/>
          <w:color w:val="000000" w:themeColor="text1"/>
          <w14:textFill>
            <w14:solidFill>
              <w14:schemeClr w14:val="tx1"/>
            </w14:solidFill>
          </w14:textFill>
        </w:rPr>
      </w:pPr>
      <w:bookmarkStart w:id="668" w:name="_Toc187675448"/>
      <w:r>
        <w:rPr>
          <w:rFonts w:ascii="Times New Roman" w:hAnsi="Times New Roman" w:cs="Times New Roman"/>
          <w:color w:val="000000" w:themeColor="text1"/>
          <w14:textFill>
            <w14:solidFill>
              <w14:schemeClr w14:val="tx1"/>
            </w14:solidFill>
          </w14:textFill>
        </w:rPr>
        <w:t>9.3环境监理计划</w:t>
      </w:r>
      <w:bookmarkEnd w:id="667"/>
      <w:bookmarkEnd w:id="668"/>
    </w:p>
    <w:p w14:paraId="6294ABE3">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根据交通部《关于开展交通工程环境监理工作的通知》（交环发[2004]314号）要求，工程环境监理纳入工程监理体系中，建设单位应委托具有工程监理资质并经过环境保护业务培训的单位承担工程环境监理工作。为做好这项工作，交通部制定了《开展交通工程环境监理工作实施方案》，依据该方案，编制本项目施工期环境监理计划。</w:t>
      </w:r>
    </w:p>
    <w:p w14:paraId="7C93186D">
      <w:pPr>
        <w:keepNext/>
        <w:keepLines/>
        <w:adjustRightInd w:val="0"/>
        <w:snapToGrid w:val="0"/>
        <w:spacing w:before="156" w:beforeLines="50" w:after="156"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669" w:name="_Toc57826805"/>
      <w:bookmarkStart w:id="670" w:name="_Toc97464711"/>
      <w:bookmarkStart w:id="671" w:name="_Toc98414287"/>
      <w:bookmarkStart w:id="672" w:name="_Toc34989643"/>
      <w:bookmarkStart w:id="673" w:name="_Toc98413605"/>
      <w:r>
        <w:rPr>
          <w:rFonts w:ascii="Times New Roman" w:hAnsi="Times New Roman" w:cs="Times New Roman"/>
          <w:b/>
          <w:bCs/>
          <w:color w:val="000000" w:themeColor="text1"/>
          <w:sz w:val="30"/>
          <w:szCs w:val="32"/>
          <w14:textFill>
            <w14:solidFill>
              <w14:schemeClr w14:val="tx1"/>
            </w14:solidFill>
          </w14:textFill>
        </w:rPr>
        <w:t>9.3.1环境监理依据</w:t>
      </w:r>
      <w:bookmarkEnd w:id="669"/>
      <w:bookmarkEnd w:id="670"/>
      <w:bookmarkEnd w:id="671"/>
      <w:bookmarkEnd w:id="672"/>
      <w:bookmarkEnd w:id="673"/>
    </w:p>
    <w:p w14:paraId="321CFC31">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拟建公路工程开展环境监理的主要依据包括：</w:t>
      </w:r>
    </w:p>
    <w:p w14:paraId="1D03C18A">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（1）国家与自治区有关环境保护的法律法规；</w:t>
      </w:r>
    </w:p>
    <w:p w14:paraId="34248787">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（2）国家和交通部有关标准、规范；</w:t>
      </w:r>
    </w:p>
    <w:p w14:paraId="787008F3">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（3）拟建项目的环境影响报告书及相关批复；</w:t>
      </w:r>
    </w:p>
    <w:p w14:paraId="7D145A58">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（4）拟建项目施工图设计文件和图纸；</w:t>
      </w:r>
    </w:p>
    <w:p w14:paraId="10DADCC8">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（5）《施工监理服务合同》和《施工承包合同》；</w:t>
      </w:r>
    </w:p>
    <w:p w14:paraId="37548D0B">
      <w:pPr>
        <w:pStyle w:val="6"/>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color w:val="000000" w:themeColor="text1"/>
          <w:kern w:val="2"/>
          <w:szCs w:val="22"/>
          <w14:textFill>
            <w14:solidFill>
              <w14:schemeClr w14:val="tx1"/>
            </w14:solidFill>
          </w14:textFill>
        </w:rPr>
        <w:t>（6）业主认可的有关工程环境保护会议决定、电函和文字记载。</w:t>
      </w:r>
    </w:p>
    <w:p w14:paraId="41B3B52A">
      <w:pPr>
        <w:keepNext/>
        <w:keepLines/>
        <w:adjustRightInd w:val="0"/>
        <w:snapToGrid w:val="0"/>
        <w:spacing w:before="156" w:beforeLines="50" w:after="156" w:afterLines="50"/>
        <w:outlineLvl w:val="2"/>
        <w:rPr>
          <w:rFonts w:ascii="Times New Roman" w:hAnsi="Times New Roman" w:cs="Times New Roman"/>
          <w:b/>
          <w:bCs/>
          <w:color w:val="000000" w:themeColor="text1"/>
          <w:sz w:val="30"/>
          <w:szCs w:val="32"/>
          <w14:textFill>
            <w14:solidFill>
              <w14:schemeClr w14:val="tx1"/>
            </w14:solidFill>
          </w14:textFill>
        </w:rPr>
      </w:pPr>
      <w:bookmarkStart w:id="674" w:name="_Toc34989645"/>
      <w:bookmarkStart w:id="675" w:name="_Toc98413606"/>
      <w:bookmarkStart w:id="676" w:name="_Toc57826806"/>
      <w:bookmarkStart w:id="677" w:name="_Toc97464712"/>
      <w:bookmarkStart w:id="678" w:name="_Toc98414288"/>
      <w:r>
        <w:rPr>
          <w:rFonts w:ascii="Times New Roman" w:hAnsi="Times New Roman" w:cs="Times New Roman"/>
          <w:b/>
          <w:bCs/>
          <w:color w:val="000000" w:themeColor="text1"/>
          <w:sz w:val="30"/>
          <w:szCs w:val="32"/>
          <w14:textFill>
            <w14:solidFill>
              <w14:schemeClr w14:val="tx1"/>
            </w14:solidFill>
          </w14:textFill>
        </w:rPr>
        <w:t>9.3.2环境监理应遵循的原则</w:t>
      </w:r>
      <w:bookmarkEnd w:id="674"/>
      <w:bookmarkEnd w:id="675"/>
      <w:bookmarkEnd w:id="676"/>
      <w:bookmarkEnd w:id="677"/>
      <w:bookmarkEnd w:id="678"/>
    </w:p>
    <w:p w14:paraId="2639E1C1">
      <w:pPr>
        <w:pStyle w:val="6"/>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snapToGrid w:val="0"/>
          <w:color w:val="000000" w:themeColor="text1"/>
          <w:kern w:val="2"/>
          <w:lang w:val="zh-CN"/>
          <w14:textFill>
            <w14:solidFill>
              <w14:schemeClr w14:val="tx1"/>
            </w14:solidFill>
          </w14:textFill>
        </w:rPr>
        <w:t>公路建设应在项目施工和运行管理等各个阶段，高度重视生态环境保护和污染防治工作，严格执行建设项目环境保护</w:t>
      </w:r>
      <w:r>
        <w:rPr>
          <w:rFonts w:hint="eastAsia" w:ascii="Times New Roman" w:hAnsi="Times New Roman" w:cs="Times New Roman"/>
          <w:snapToGrid w:val="0"/>
          <w:color w:val="000000" w:themeColor="text1"/>
          <w:kern w:val="2"/>
          <w:lang w:val="zh-CN"/>
          <w14:textFill>
            <w14:solidFill>
              <w14:schemeClr w14:val="tx1"/>
            </w14:solidFill>
          </w14:textFill>
        </w:rPr>
        <w:t>“</w:t>
      </w:r>
      <w:r>
        <w:rPr>
          <w:rFonts w:ascii="Times New Roman" w:hAnsi="Times New Roman" w:cs="Times New Roman"/>
          <w:snapToGrid w:val="0"/>
          <w:color w:val="000000" w:themeColor="text1"/>
          <w:kern w:val="2"/>
          <w:lang w:val="zh-CN"/>
          <w14:textFill>
            <w14:solidFill>
              <w14:schemeClr w14:val="tx1"/>
            </w14:solidFill>
          </w14:textFill>
        </w:rPr>
        <w:t>三同时</w:t>
      </w:r>
      <w:r>
        <w:rPr>
          <w:rFonts w:hint="eastAsia" w:ascii="Times New Roman" w:hAnsi="Times New Roman" w:cs="Times New Roman"/>
          <w:snapToGrid w:val="0"/>
          <w:color w:val="000000" w:themeColor="text1"/>
          <w:kern w:val="2"/>
          <w:lang w:val="zh-CN"/>
          <w14:textFill>
            <w14:solidFill>
              <w14:schemeClr w14:val="tx1"/>
            </w14:solidFill>
          </w14:textFill>
        </w:rPr>
        <w:t>”</w:t>
      </w:r>
      <w:r>
        <w:rPr>
          <w:rFonts w:ascii="Times New Roman" w:hAnsi="Times New Roman" w:cs="Times New Roman"/>
          <w:snapToGrid w:val="0"/>
          <w:color w:val="000000" w:themeColor="text1"/>
          <w:kern w:val="2"/>
          <w:lang w:val="zh-CN"/>
          <w14:textFill>
            <w14:solidFill>
              <w14:schemeClr w14:val="tx1"/>
            </w14:solidFill>
          </w14:textFill>
        </w:rPr>
        <w:t>制度，规范工程建设管理的各项工作，确保符合有关环保要求。</w:t>
      </w:r>
    </w:p>
    <w:p w14:paraId="15966642">
      <w:pPr>
        <w:pStyle w:val="6"/>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snapToGrid w:val="0"/>
          <w:color w:val="000000" w:themeColor="text1"/>
          <w:kern w:val="2"/>
          <w:lang w:val="zh-CN"/>
          <w14:textFill>
            <w14:solidFill>
              <w14:schemeClr w14:val="tx1"/>
            </w14:solidFill>
          </w14:textFill>
        </w:rPr>
        <w:t>从事工程建设环境监理活动，应当遵循守法、诚信、公正、科学的准则。确立环境监理是</w:t>
      </w:r>
      <w:r>
        <w:rPr>
          <w:rFonts w:hint="eastAsia" w:ascii="Times New Roman" w:hAnsi="Times New Roman" w:cs="Times New Roman"/>
          <w:snapToGrid w:val="0"/>
          <w:color w:val="000000" w:themeColor="text1"/>
          <w:kern w:val="2"/>
          <w:lang w:val="zh-CN"/>
          <w14:textFill>
            <w14:solidFill>
              <w14:schemeClr w14:val="tx1"/>
            </w14:solidFill>
          </w14:textFill>
        </w:rPr>
        <w:t>“</w:t>
      </w:r>
      <w:r>
        <w:rPr>
          <w:rFonts w:ascii="Times New Roman" w:hAnsi="Times New Roman" w:cs="Times New Roman"/>
          <w:snapToGrid w:val="0"/>
          <w:color w:val="000000" w:themeColor="text1"/>
          <w:kern w:val="2"/>
          <w:lang w:val="zh-CN"/>
          <w14:textFill>
            <w14:solidFill>
              <w14:schemeClr w14:val="tx1"/>
            </w14:solidFill>
          </w14:textFill>
        </w:rPr>
        <w:t>第三方</w:t>
      </w:r>
      <w:r>
        <w:rPr>
          <w:rFonts w:hint="eastAsia" w:ascii="Times New Roman" w:hAnsi="Times New Roman" w:cs="Times New Roman"/>
          <w:snapToGrid w:val="0"/>
          <w:color w:val="000000" w:themeColor="text1"/>
          <w:kern w:val="2"/>
          <w:lang w:val="zh-CN"/>
          <w14:textFill>
            <w14:solidFill>
              <w14:schemeClr w14:val="tx1"/>
            </w14:solidFill>
          </w14:textFill>
        </w:rPr>
        <w:t>”</w:t>
      </w:r>
      <w:r>
        <w:rPr>
          <w:rFonts w:ascii="Times New Roman" w:hAnsi="Times New Roman" w:cs="Times New Roman"/>
          <w:snapToGrid w:val="0"/>
          <w:color w:val="000000" w:themeColor="text1"/>
          <w:kern w:val="2"/>
          <w:lang w:val="zh-CN"/>
          <w14:textFill>
            <w14:solidFill>
              <w14:schemeClr w14:val="tx1"/>
            </w14:solidFill>
          </w14:textFill>
        </w:rPr>
        <w:t>的原则，应当将环境监理和业主的环境管理、政府部门的环境监督执法严格区分开来，并为业主和政府部门的环境管理服务。</w:t>
      </w:r>
    </w:p>
    <w:p w14:paraId="45DDADD8">
      <w:pPr>
        <w:pStyle w:val="6"/>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snapToGrid w:val="0"/>
          <w:color w:val="000000" w:themeColor="text1"/>
          <w:kern w:val="2"/>
          <w:lang w:val="zh-CN"/>
          <w14:textFill>
            <w14:solidFill>
              <w14:schemeClr w14:val="tx1"/>
            </w14:solidFill>
          </w14:textFill>
        </w:rPr>
        <w:t>环境监理应纳入工程监理和管理体系，不能弱化环境监理的地位。监理工作中应理顺和协调好业主单位、施工单位、工程监理单位、环境监理单位、环境监测单位及政府环境行政主管部门等各方面的关系，为做好环境监理工作创造有利条件。</w:t>
      </w:r>
    </w:p>
    <w:p w14:paraId="64631653">
      <w:pPr>
        <w:pStyle w:val="6"/>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snapToGrid w:val="0"/>
          <w:color w:val="000000" w:themeColor="text1"/>
          <w:kern w:val="2"/>
          <w:lang w:val="zh-CN"/>
          <w14:textFill>
            <w14:solidFill>
              <w14:schemeClr w14:val="tx1"/>
            </w14:solidFill>
          </w14:textFill>
        </w:rPr>
        <w:t>监理单位应根据工程特点，制定符合工程实际情况规范化的监理制度，使监理工作有序展开。</w:t>
      </w:r>
    </w:p>
    <w:p w14:paraId="485C6CB5">
      <w:pPr>
        <w:keepNext/>
        <w:keepLines/>
        <w:adjustRightInd w:val="0"/>
        <w:snapToGrid w:val="0"/>
        <w:spacing w:before="156" w:beforeLines="50" w:after="156"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679" w:name="_Toc34989644"/>
      <w:bookmarkStart w:id="680" w:name="_Toc98413607"/>
      <w:bookmarkStart w:id="681" w:name="_Toc97464713"/>
      <w:bookmarkStart w:id="682" w:name="_Toc98414289"/>
      <w:bookmarkStart w:id="683" w:name="_Toc57826807"/>
      <w:r>
        <w:rPr>
          <w:rFonts w:ascii="Times New Roman" w:hAnsi="Times New Roman" w:cs="Times New Roman"/>
          <w:b/>
          <w:bCs/>
          <w:color w:val="000000" w:themeColor="text1"/>
          <w:sz w:val="30"/>
          <w:szCs w:val="32"/>
          <w14:textFill>
            <w14:solidFill>
              <w14:schemeClr w14:val="tx1"/>
            </w14:solidFill>
          </w14:textFill>
        </w:rPr>
        <w:t>9.3.3监理阶段</w:t>
      </w:r>
      <w:bookmarkEnd w:id="679"/>
      <w:bookmarkEnd w:id="680"/>
      <w:bookmarkEnd w:id="681"/>
      <w:bookmarkEnd w:id="682"/>
      <w:bookmarkEnd w:id="683"/>
    </w:p>
    <w:p w14:paraId="1CC32D94">
      <w:pPr>
        <w:pStyle w:val="6"/>
        <w:kinsoku w:val="0"/>
        <w:overflowPunct w:val="0"/>
        <w:spacing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snapToGrid w:val="0"/>
          <w:color w:val="000000" w:themeColor="text1"/>
          <w:kern w:val="2"/>
          <w:lang w:val="zh-CN"/>
          <w14:textFill>
            <w14:solidFill>
              <w14:schemeClr w14:val="tx1"/>
            </w14:solidFill>
          </w14:textFill>
        </w:rPr>
        <w:t>与主体工程监理阶段划分一致，本项目的工程环境监理阶段分为施工准备阶段、施工阶段以及交工验收与缺陷责任期三个阶段。</w:t>
      </w:r>
    </w:p>
    <w:p w14:paraId="06B847BB">
      <w:pPr>
        <w:keepNext/>
        <w:keepLines/>
        <w:adjustRightInd w:val="0"/>
        <w:snapToGrid w:val="0"/>
        <w:spacing w:before="156" w:beforeLines="50" w:after="156"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684" w:name="_Toc57826808"/>
      <w:bookmarkStart w:id="685" w:name="_Toc97464714"/>
      <w:bookmarkStart w:id="686" w:name="_Toc98414290"/>
      <w:bookmarkStart w:id="687" w:name="_Toc98413608"/>
      <w:bookmarkStart w:id="688" w:name="_Toc34989646"/>
      <w:r>
        <w:rPr>
          <w:rFonts w:ascii="Times New Roman" w:hAnsi="Times New Roman" w:cs="Times New Roman"/>
          <w:b/>
          <w:bCs/>
          <w:color w:val="000000" w:themeColor="text1"/>
          <w:sz w:val="30"/>
          <w:szCs w:val="32"/>
          <w14:textFill>
            <w14:solidFill>
              <w14:schemeClr w14:val="tx1"/>
            </w14:solidFill>
          </w14:textFill>
        </w:rPr>
        <w:t>9.3.4监理范围、内容</w:t>
      </w:r>
      <w:bookmarkEnd w:id="684"/>
      <w:bookmarkEnd w:id="685"/>
      <w:bookmarkEnd w:id="686"/>
      <w:bookmarkEnd w:id="687"/>
      <w:bookmarkEnd w:id="688"/>
    </w:p>
    <w:p w14:paraId="66A496EA">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（1）环境监理范围</w:t>
      </w:r>
    </w:p>
    <w:p w14:paraId="533E81DF">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公路工程项目建设区与工程直接影响区域，包括公路主体工程、临时工程的施工现场、生产区、弃土场、施工道路、各类拌合场站以及承担大量工程运输的当地现有道路。</w:t>
      </w:r>
    </w:p>
    <w:p w14:paraId="20093350">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（2）监理内容：</w:t>
      </w:r>
    </w:p>
    <w:p w14:paraId="1C023BBD">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包括生态保护、水土保持、地质灾害防治、临时占地场地恢复、污染物防治等环境保护工作的所有方面。</w:t>
      </w:r>
    </w:p>
    <w:p w14:paraId="1CBA7391">
      <w:pPr>
        <w:keepNext/>
        <w:keepLines/>
        <w:adjustRightInd w:val="0"/>
        <w:snapToGrid w:val="0"/>
        <w:spacing w:before="156" w:beforeLines="50" w:after="156"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689" w:name="_Toc57826809"/>
      <w:bookmarkStart w:id="690" w:name="_Toc34989647"/>
      <w:bookmarkStart w:id="691" w:name="_Toc98414291"/>
      <w:bookmarkStart w:id="692" w:name="_Toc97464715"/>
      <w:bookmarkStart w:id="693" w:name="_Toc98413609"/>
      <w:r>
        <w:rPr>
          <w:rFonts w:ascii="Times New Roman" w:hAnsi="Times New Roman" w:cs="Times New Roman"/>
          <w:b/>
          <w:bCs/>
          <w:color w:val="000000" w:themeColor="text1"/>
          <w:sz w:val="30"/>
          <w:szCs w:val="32"/>
          <w14:textFill>
            <w14:solidFill>
              <w14:schemeClr w14:val="tx1"/>
            </w14:solidFill>
          </w14:textFill>
        </w:rPr>
        <w:t>9.3.5环境监理</w:t>
      </w:r>
      <w:r>
        <w:rPr>
          <w:rFonts w:hint="eastAsia" w:ascii="Times New Roman" w:hAnsi="Times New Roman" w:cs="Times New Roman"/>
          <w:b/>
          <w:bCs/>
          <w:color w:val="000000" w:themeColor="text1"/>
          <w:sz w:val="30"/>
          <w:szCs w:val="32"/>
          <w14:textFill>
            <w14:solidFill>
              <w14:schemeClr w14:val="tx1"/>
            </w14:solidFill>
          </w14:textFill>
        </w:rPr>
        <w:t>现场</w:t>
      </w:r>
      <w:r>
        <w:rPr>
          <w:rFonts w:ascii="Times New Roman" w:hAnsi="Times New Roman" w:cs="Times New Roman"/>
          <w:b/>
          <w:bCs/>
          <w:color w:val="000000" w:themeColor="text1"/>
          <w:sz w:val="30"/>
          <w:szCs w:val="32"/>
          <w14:textFill>
            <w14:solidFill>
              <w14:schemeClr w14:val="tx1"/>
            </w14:solidFill>
          </w14:textFill>
        </w:rPr>
        <w:t>工作内容</w:t>
      </w:r>
      <w:bookmarkEnd w:id="689"/>
      <w:bookmarkEnd w:id="690"/>
      <w:bookmarkEnd w:id="691"/>
      <w:bookmarkEnd w:id="692"/>
      <w:bookmarkEnd w:id="693"/>
    </w:p>
    <w:p w14:paraId="37F0341A">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拟建项目工程环境监理的工作内容包括环保达标监理和环保工程监理。</w:t>
      </w:r>
    </w:p>
    <w:p w14:paraId="150BACA7">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环保达标监理指对主体工程的施工过程是否符合环境保护的要求进行监理，如噪声、废气、污水等排放应达到有关的标准等，施工是否造成水土流失和生态环境破坏，是否符合有关环境保护</w:t>
      </w:r>
      <w:r>
        <w:rPr>
          <w:rFonts w:hint="eastAsia" w:ascii="Times New Roman" w:hAnsi="Times New Roman" w:cs="Times New Roman"/>
          <w:color w:val="000000" w:themeColor="text1"/>
          <w:szCs w:val="22"/>
          <w14:textFill>
            <w14:solidFill>
              <w14:schemeClr w14:val="tx1"/>
            </w14:solidFill>
          </w14:textFill>
        </w:rPr>
        <w:t>法律法规</w:t>
      </w:r>
      <w:r>
        <w:rPr>
          <w:rFonts w:ascii="Times New Roman" w:hAnsi="Times New Roman" w:cs="Times New Roman"/>
          <w:color w:val="000000" w:themeColor="text1"/>
          <w:szCs w:val="22"/>
          <w14:textFill>
            <w14:solidFill>
              <w14:schemeClr w14:val="tx1"/>
            </w14:solidFill>
          </w14:textFill>
        </w:rPr>
        <w:t>规定等进行监理。</w:t>
      </w:r>
    </w:p>
    <w:p w14:paraId="7BEB4906">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环保工程监理是指对为保护施工和营运期的环境而建设的各项环境保护设施（包括临时工程）进行监理，如取、弃土（渣）场的土地复垦工程、路基护坡工程等。</w:t>
      </w:r>
    </w:p>
    <w:p w14:paraId="0C5D5A87">
      <w:pPr>
        <w:spacing w:line="360" w:lineRule="auto"/>
        <w:ind w:firstLine="480" w:firstLineChars="200"/>
        <w:jc w:val="both"/>
        <w:rPr>
          <w:rFonts w:ascii="Times New Roman" w:hAnsi="Times New Roman" w:cs="Times New Roman"/>
          <w:color w:val="000000" w:themeColor="text1"/>
          <w:szCs w:val="22"/>
          <w14:textFill>
            <w14:solidFill>
              <w14:schemeClr w14:val="tx1"/>
            </w14:solidFill>
          </w14:textFill>
        </w:rPr>
      </w:pPr>
      <w:r>
        <w:rPr>
          <w:rFonts w:ascii="Times New Roman" w:hAnsi="Times New Roman" w:cs="Times New Roman"/>
          <w:color w:val="000000" w:themeColor="text1"/>
          <w:szCs w:val="22"/>
          <w14:textFill>
            <w14:solidFill>
              <w14:schemeClr w14:val="tx1"/>
            </w14:solidFill>
          </w14:textFill>
        </w:rPr>
        <w:t>结合本项目特点及本报告提出的各项环保措施，对本项目提出以下环境监理要求，详见表9.3-1。</w:t>
      </w:r>
    </w:p>
    <w:p w14:paraId="74669D85">
      <w:pPr>
        <w:pStyle w:val="2296"/>
        <w:rPr>
          <w:rFonts w:ascii="黑体" w:hAnsi="黑体" w:cs="Times New Roman"/>
          <w:color w:val="000000" w:themeColor="text1"/>
          <w14:textFill>
            <w14:solidFill>
              <w14:schemeClr w14:val="tx1"/>
            </w14:solidFill>
          </w14:textFill>
        </w:rPr>
      </w:pPr>
      <w:r>
        <w:rPr>
          <w:rFonts w:ascii="黑体" w:hAnsi="黑体" w:cs="Times New Roman"/>
          <w:color w:val="000000" w:themeColor="text1"/>
          <w14:textFill>
            <w14:solidFill>
              <w14:schemeClr w14:val="tx1"/>
            </w14:solidFill>
          </w14:textFill>
        </w:rPr>
        <w:t>表9.3-1  施工期环境监理现场工作</w:t>
      </w:r>
      <w:r>
        <w:rPr>
          <w:rFonts w:hint="eastAsia" w:ascii="黑体" w:hAnsi="黑体" w:cs="Times New Roman"/>
          <w:color w:val="000000" w:themeColor="text1"/>
          <w14:textFill>
            <w14:solidFill>
              <w14:schemeClr w14:val="tx1"/>
            </w14:solidFill>
          </w14:textFill>
        </w:rPr>
        <w:t>内容</w:t>
      </w:r>
    </w:p>
    <w:tbl>
      <w:tblPr>
        <w:tblStyle w:val="8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6"/>
        <w:gridCol w:w="7262"/>
      </w:tblGrid>
      <w:tr w14:paraId="4F4E7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266" w:type="dxa"/>
            <w:vAlign w:val="center"/>
          </w:tcPr>
          <w:p w14:paraId="1FB5E52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分项</w:t>
            </w:r>
          </w:p>
        </w:tc>
        <w:tc>
          <w:tcPr>
            <w:tcW w:w="7262" w:type="dxa"/>
            <w:vAlign w:val="center"/>
          </w:tcPr>
          <w:p w14:paraId="20253AD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监理内容</w:t>
            </w:r>
          </w:p>
        </w:tc>
      </w:tr>
      <w:tr w14:paraId="1F616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restart"/>
            <w:vAlign w:val="center"/>
          </w:tcPr>
          <w:p w14:paraId="113E0B4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地表水保护</w:t>
            </w:r>
          </w:p>
        </w:tc>
        <w:tc>
          <w:tcPr>
            <w:tcW w:w="7262" w:type="dxa"/>
            <w:vAlign w:val="center"/>
          </w:tcPr>
          <w:p w14:paraId="14446849">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检查河流、渠道取水情况；</w:t>
            </w:r>
          </w:p>
        </w:tc>
      </w:tr>
      <w:tr w14:paraId="55C81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77BDE434">
            <w:pPr>
              <w:jc w:val="center"/>
              <w:rPr>
                <w:color w:val="000000" w:themeColor="text1"/>
                <w:sz w:val="21"/>
                <w:szCs w:val="21"/>
                <w14:textFill>
                  <w14:solidFill>
                    <w14:schemeClr w14:val="tx1"/>
                  </w14:solidFill>
                </w14:textFill>
              </w:rPr>
            </w:pPr>
          </w:p>
        </w:tc>
        <w:tc>
          <w:tcPr>
            <w:tcW w:w="7262" w:type="dxa"/>
            <w:vAlign w:val="center"/>
          </w:tcPr>
          <w:p w14:paraId="4AE8887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检查施工废水排放情况，是否进入河流、灌渠，污染水质；</w:t>
            </w:r>
          </w:p>
        </w:tc>
      </w:tr>
      <w:tr w14:paraId="40CF1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66" w:type="dxa"/>
            <w:vMerge w:val="continue"/>
            <w:vAlign w:val="center"/>
          </w:tcPr>
          <w:p w14:paraId="77C8239B">
            <w:pPr>
              <w:jc w:val="center"/>
              <w:rPr>
                <w:color w:val="000000" w:themeColor="text1"/>
                <w:sz w:val="21"/>
                <w:szCs w:val="21"/>
                <w14:textFill>
                  <w14:solidFill>
                    <w14:schemeClr w14:val="tx1"/>
                  </w14:solidFill>
                </w14:textFill>
              </w:rPr>
            </w:pPr>
          </w:p>
        </w:tc>
        <w:tc>
          <w:tcPr>
            <w:tcW w:w="7262" w:type="dxa"/>
            <w:vAlign w:val="center"/>
          </w:tcPr>
          <w:p w14:paraId="540AE3B9">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桥梁施工是否在枯水期；</w:t>
            </w:r>
          </w:p>
        </w:tc>
      </w:tr>
      <w:tr w14:paraId="1E00B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63DDA7B7">
            <w:pPr>
              <w:jc w:val="center"/>
              <w:rPr>
                <w:color w:val="000000" w:themeColor="text1"/>
                <w:sz w:val="21"/>
                <w:szCs w:val="21"/>
                <w14:textFill>
                  <w14:solidFill>
                    <w14:schemeClr w14:val="tx1"/>
                  </w14:solidFill>
                </w14:textFill>
              </w:rPr>
            </w:pPr>
          </w:p>
        </w:tc>
        <w:tc>
          <w:tcPr>
            <w:tcW w:w="7262" w:type="dxa"/>
            <w:vAlign w:val="center"/>
          </w:tcPr>
          <w:p w14:paraId="49780FB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施工过程中，做好机械的维修和保养工作，防止油料泄漏污染水体</w:t>
            </w:r>
            <w:r>
              <w:rPr>
                <w:rFonts w:hint="eastAsia"/>
                <w:color w:val="000000" w:themeColor="text1"/>
                <w:sz w:val="21"/>
                <w:szCs w:val="21"/>
                <w14:textFill>
                  <w14:solidFill>
                    <w14:schemeClr w14:val="tx1"/>
                  </w14:solidFill>
                </w14:textFill>
              </w:rPr>
              <w:t>；</w:t>
            </w:r>
          </w:p>
        </w:tc>
      </w:tr>
      <w:tr w14:paraId="63ADE0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1C047FDE">
            <w:pPr>
              <w:jc w:val="center"/>
              <w:rPr>
                <w:color w:val="000000" w:themeColor="text1"/>
                <w:sz w:val="21"/>
                <w:szCs w:val="21"/>
                <w14:textFill>
                  <w14:solidFill>
                    <w14:schemeClr w14:val="tx1"/>
                  </w14:solidFill>
                </w14:textFill>
              </w:rPr>
            </w:pPr>
          </w:p>
        </w:tc>
        <w:tc>
          <w:tcPr>
            <w:tcW w:w="7262" w:type="dxa"/>
            <w:vAlign w:val="center"/>
          </w:tcPr>
          <w:p w14:paraId="73AA3486">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拌合站及桥梁预制场等站场需设置沉淀池回用。</w:t>
            </w:r>
          </w:p>
        </w:tc>
      </w:tr>
      <w:tr w14:paraId="2861EF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Align w:val="center"/>
          </w:tcPr>
          <w:p w14:paraId="2088B20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施工期降噪措施</w:t>
            </w:r>
          </w:p>
        </w:tc>
        <w:tc>
          <w:tcPr>
            <w:tcW w:w="7262" w:type="dxa"/>
            <w:vAlign w:val="center"/>
          </w:tcPr>
          <w:p w14:paraId="3721D7D6">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检查机械维修和保养工作。</w:t>
            </w:r>
          </w:p>
        </w:tc>
      </w:tr>
      <w:tr w14:paraId="336B8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restart"/>
            <w:vAlign w:val="center"/>
          </w:tcPr>
          <w:p w14:paraId="50397B1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施工期空气污染防治措施</w:t>
            </w:r>
          </w:p>
        </w:tc>
        <w:tc>
          <w:tcPr>
            <w:tcW w:w="7262" w:type="dxa"/>
            <w:vAlign w:val="center"/>
          </w:tcPr>
          <w:p w14:paraId="4834FA1A">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道路施工现场、堆场、预制厂、拌合站、施工便道等处的洒水措施；</w:t>
            </w:r>
          </w:p>
        </w:tc>
      </w:tr>
      <w:tr w14:paraId="41838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3F21E12B">
            <w:pPr>
              <w:jc w:val="center"/>
              <w:rPr>
                <w:color w:val="000000" w:themeColor="text1"/>
                <w:sz w:val="21"/>
                <w:szCs w:val="21"/>
                <w14:textFill>
                  <w14:solidFill>
                    <w14:schemeClr w14:val="tx1"/>
                  </w14:solidFill>
                </w14:textFill>
              </w:rPr>
            </w:pPr>
          </w:p>
        </w:tc>
        <w:tc>
          <w:tcPr>
            <w:tcW w:w="7262" w:type="dxa"/>
            <w:vAlign w:val="center"/>
          </w:tcPr>
          <w:p w14:paraId="11C80564">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预制厂、拌合站配备除尘设备、沥青烟净化和排放设施</w:t>
            </w:r>
            <w:r>
              <w:rPr>
                <w:rFonts w:hint="eastAsia"/>
                <w:color w:val="000000" w:themeColor="text1"/>
                <w:sz w:val="21"/>
                <w:szCs w:val="21"/>
                <w14:textFill>
                  <w14:solidFill>
                    <w14:schemeClr w14:val="tx1"/>
                  </w14:solidFill>
                </w14:textFill>
              </w:rPr>
              <w:t>；</w:t>
            </w:r>
          </w:p>
        </w:tc>
      </w:tr>
      <w:tr w14:paraId="6A083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6EE55A01">
            <w:pPr>
              <w:jc w:val="center"/>
              <w:rPr>
                <w:color w:val="000000" w:themeColor="text1"/>
                <w:sz w:val="21"/>
                <w:szCs w:val="21"/>
                <w14:textFill>
                  <w14:solidFill>
                    <w14:schemeClr w14:val="tx1"/>
                  </w14:solidFill>
                </w14:textFill>
              </w:rPr>
            </w:pPr>
          </w:p>
        </w:tc>
        <w:tc>
          <w:tcPr>
            <w:tcW w:w="7262" w:type="dxa"/>
            <w:vAlign w:val="center"/>
          </w:tcPr>
          <w:p w14:paraId="6FBABD97">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散装物料是否遮盖。</w:t>
            </w:r>
          </w:p>
        </w:tc>
      </w:tr>
      <w:tr w14:paraId="170551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266" w:type="dxa"/>
            <w:vMerge w:val="restart"/>
            <w:vAlign w:val="center"/>
          </w:tcPr>
          <w:p w14:paraId="57989B0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施工期废水</w:t>
            </w:r>
          </w:p>
        </w:tc>
        <w:tc>
          <w:tcPr>
            <w:tcW w:w="7262" w:type="dxa"/>
            <w:vAlign w:val="center"/>
          </w:tcPr>
          <w:p w14:paraId="14803F33">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一体化化粪池是否符合环保要求；</w:t>
            </w:r>
          </w:p>
        </w:tc>
      </w:tr>
      <w:tr w14:paraId="64088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420E007F">
            <w:pPr>
              <w:jc w:val="center"/>
              <w:rPr>
                <w:color w:val="000000" w:themeColor="text1"/>
                <w:sz w:val="21"/>
                <w:szCs w:val="21"/>
                <w14:textFill>
                  <w14:solidFill>
                    <w14:schemeClr w14:val="tx1"/>
                  </w14:solidFill>
                </w14:textFill>
              </w:rPr>
            </w:pPr>
          </w:p>
        </w:tc>
        <w:tc>
          <w:tcPr>
            <w:tcW w:w="7262" w:type="dxa"/>
            <w:vAlign w:val="center"/>
          </w:tcPr>
          <w:p w14:paraId="2E35E114">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沉淀池是否按照堆场、预制厂等的规模进行设计和建设。</w:t>
            </w:r>
          </w:p>
        </w:tc>
      </w:tr>
      <w:tr w14:paraId="64F34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restart"/>
            <w:vAlign w:val="center"/>
          </w:tcPr>
          <w:p w14:paraId="3631957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施工期固废</w:t>
            </w:r>
          </w:p>
        </w:tc>
        <w:tc>
          <w:tcPr>
            <w:tcW w:w="7262" w:type="dxa"/>
            <w:vAlign w:val="center"/>
          </w:tcPr>
          <w:p w14:paraId="2740330D">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施工营地生活垃圾定期清运至垃圾填埋场</w:t>
            </w:r>
            <w:r>
              <w:rPr>
                <w:rFonts w:hint="eastAsia"/>
                <w:color w:val="000000" w:themeColor="text1"/>
                <w:sz w:val="21"/>
                <w:szCs w:val="21"/>
                <w14:textFill>
                  <w14:solidFill>
                    <w14:schemeClr w14:val="tx1"/>
                  </w14:solidFill>
                </w14:textFill>
              </w:rPr>
              <w:t>；</w:t>
            </w:r>
          </w:p>
        </w:tc>
      </w:tr>
      <w:tr w14:paraId="475BC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64529E92">
            <w:pPr>
              <w:jc w:val="center"/>
              <w:rPr>
                <w:color w:val="000000" w:themeColor="text1"/>
                <w:sz w:val="21"/>
                <w:szCs w:val="21"/>
                <w14:textFill>
                  <w14:solidFill>
                    <w14:schemeClr w14:val="tx1"/>
                  </w14:solidFill>
                </w14:textFill>
              </w:rPr>
            </w:pPr>
          </w:p>
        </w:tc>
        <w:tc>
          <w:tcPr>
            <w:tcW w:w="7262" w:type="dxa"/>
            <w:vAlign w:val="center"/>
          </w:tcPr>
          <w:p w14:paraId="509A37CE">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加强管理和维护收集、贮存、运输、处置固体废物的设施和场所</w:t>
            </w:r>
            <w:r>
              <w:rPr>
                <w:rFonts w:hint="eastAsia"/>
                <w:color w:val="000000" w:themeColor="text1"/>
                <w:sz w:val="21"/>
                <w:szCs w:val="21"/>
                <w14:textFill>
                  <w14:solidFill>
                    <w14:schemeClr w14:val="tx1"/>
                  </w14:solidFill>
                </w14:textFill>
              </w:rPr>
              <w:t>；</w:t>
            </w:r>
          </w:p>
        </w:tc>
      </w:tr>
      <w:tr w14:paraId="02451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26280D14">
            <w:pPr>
              <w:jc w:val="center"/>
              <w:rPr>
                <w:color w:val="000000" w:themeColor="text1"/>
                <w:sz w:val="21"/>
                <w:szCs w:val="21"/>
                <w14:textFill>
                  <w14:solidFill>
                    <w14:schemeClr w14:val="tx1"/>
                  </w14:solidFill>
                </w14:textFill>
              </w:rPr>
            </w:pPr>
          </w:p>
        </w:tc>
        <w:tc>
          <w:tcPr>
            <w:tcW w:w="7262" w:type="dxa"/>
            <w:vAlign w:val="center"/>
          </w:tcPr>
          <w:p w14:paraId="698A860A">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不得在运输过程中沿途丢弃、遗撒固体废物</w:t>
            </w:r>
            <w:r>
              <w:rPr>
                <w:rFonts w:hint="eastAsia"/>
                <w:color w:val="000000" w:themeColor="text1"/>
                <w:sz w:val="21"/>
                <w:szCs w:val="21"/>
                <w14:textFill>
                  <w14:solidFill>
                    <w14:schemeClr w14:val="tx1"/>
                  </w14:solidFill>
                </w14:textFill>
              </w:rPr>
              <w:t>。</w:t>
            </w:r>
          </w:p>
        </w:tc>
      </w:tr>
      <w:tr w14:paraId="38F718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restart"/>
            <w:vAlign w:val="center"/>
          </w:tcPr>
          <w:p w14:paraId="305B9AA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生态保护</w:t>
            </w:r>
          </w:p>
        </w:tc>
        <w:tc>
          <w:tcPr>
            <w:tcW w:w="7262" w:type="dxa"/>
            <w:vAlign w:val="center"/>
          </w:tcPr>
          <w:p w14:paraId="4549BD7C">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弃土场，施工营地等是否占用耕地；</w:t>
            </w:r>
          </w:p>
        </w:tc>
      </w:tr>
      <w:tr w14:paraId="658CE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7A6D705C">
            <w:pPr>
              <w:jc w:val="center"/>
              <w:rPr>
                <w:color w:val="000000" w:themeColor="text1"/>
                <w:sz w:val="21"/>
                <w:szCs w:val="21"/>
                <w14:textFill>
                  <w14:solidFill>
                    <w14:schemeClr w14:val="tx1"/>
                  </w14:solidFill>
                </w14:textFill>
              </w:rPr>
            </w:pPr>
          </w:p>
        </w:tc>
        <w:tc>
          <w:tcPr>
            <w:tcW w:w="7262" w:type="dxa"/>
            <w:vAlign w:val="center"/>
          </w:tcPr>
          <w:p w14:paraId="537C6073">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施工营地设置，是否占用林地和草地，场地平整后恢复；</w:t>
            </w:r>
          </w:p>
        </w:tc>
      </w:tr>
      <w:tr w14:paraId="32149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6A53101B">
            <w:pPr>
              <w:jc w:val="center"/>
              <w:rPr>
                <w:color w:val="000000" w:themeColor="text1"/>
                <w:sz w:val="21"/>
                <w:szCs w:val="21"/>
                <w14:textFill>
                  <w14:solidFill>
                    <w14:schemeClr w14:val="tx1"/>
                  </w14:solidFill>
                </w14:textFill>
              </w:rPr>
            </w:pPr>
          </w:p>
        </w:tc>
        <w:tc>
          <w:tcPr>
            <w:tcW w:w="7262" w:type="dxa"/>
            <w:vAlign w:val="center"/>
          </w:tcPr>
          <w:p w14:paraId="0F9DC17D">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边坡防护工程的检查；</w:t>
            </w:r>
          </w:p>
        </w:tc>
      </w:tr>
      <w:tr w14:paraId="03305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5C1314EF">
            <w:pPr>
              <w:jc w:val="center"/>
              <w:rPr>
                <w:color w:val="000000" w:themeColor="text1"/>
                <w:sz w:val="21"/>
                <w:szCs w:val="21"/>
                <w14:textFill>
                  <w14:solidFill>
                    <w14:schemeClr w14:val="tx1"/>
                  </w14:solidFill>
                </w14:textFill>
              </w:rPr>
            </w:pPr>
          </w:p>
        </w:tc>
        <w:tc>
          <w:tcPr>
            <w:tcW w:w="7262" w:type="dxa"/>
            <w:vAlign w:val="center"/>
          </w:tcPr>
          <w:p w14:paraId="6316F7E1">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施工便道宽度是否按照设计要求，是否占用耕地。</w:t>
            </w:r>
          </w:p>
        </w:tc>
      </w:tr>
      <w:tr w14:paraId="099B1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restart"/>
            <w:vAlign w:val="center"/>
          </w:tcPr>
          <w:p w14:paraId="6FB452E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w:t>
            </w:r>
          </w:p>
        </w:tc>
        <w:tc>
          <w:tcPr>
            <w:tcW w:w="7262" w:type="dxa"/>
            <w:vAlign w:val="center"/>
          </w:tcPr>
          <w:p w14:paraId="73DD3DDC">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选择有资质和丰富施工经验的施工队伍和优秀的第三方（工程监理）对施工质量进行有力的监督，减少施工操作中的失误</w:t>
            </w:r>
            <w:r>
              <w:rPr>
                <w:rFonts w:hint="eastAsia"/>
                <w:color w:val="000000" w:themeColor="text1"/>
                <w:sz w:val="21"/>
                <w:szCs w:val="21"/>
                <w14:textFill>
                  <w14:solidFill>
                    <w14:schemeClr w14:val="tx1"/>
                  </w14:solidFill>
                </w14:textFill>
              </w:rPr>
              <w:t>；</w:t>
            </w:r>
          </w:p>
        </w:tc>
      </w:tr>
      <w:tr w14:paraId="10CAE5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66" w:type="dxa"/>
            <w:vMerge w:val="continue"/>
            <w:vAlign w:val="center"/>
          </w:tcPr>
          <w:p w14:paraId="1EFC5E41">
            <w:pPr>
              <w:jc w:val="center"/>
              <w:rPr>
                <w:color w:val="000000" w:themeColor="text1"/>
                <w:sz w:val="21"/>
                <w:szCs w:val="21"/>
                <w14:textFill>
                  <w14:solidFill>
                    <w14:schemeClr w14:val="tx1"/>
                  </w14:solidFill>
                </w14:textFill>
              </w:rPr>
            </w:pPr>
          </w:p>
        </w:tc>
        <w:tc>
          <w:tcPr>
            <w:tcW w:w="7262" w:type="dxa"/>
            <w:vAlign w:val="center"/>
          </w:tcPr>
          <w:p w14:paraId="52B8A626">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跨越</w:t>
            </w:r>
            <w:r>
              <w:rPr>
                <w:rFonts w:hint="eastAsia"/>
                <w:color w:val="000000" w:themeColor="text1"/>
                <w:sz w:val="21"/>
                <w:szCs w:val="21"/>
                <w14:textFill>
                  <w14:solidFill>
                    <w14:schemeClr w14:val="tx1"/>
                  </w14:solidFill>
                </w14:textFill>
              </w:rPr>
              <w:t>盖孜河</w:t>
            </w:r>
            <w:r>
              <w:rPr>
                <w:color w:val="000000" w:themeColor="text1"/>
                <w:sz w:val="21"/>
                <w:szCs w:val="21"/>
                <w14:textFill>
                  <w14:solidFill>
                    <w14:schemeClr w14:val="tx1"/>
                  </w14:solidFill>
                </w14:textFill>
              </w:rPr>
              <w:t>等桥梁设置桥面径流收集系统，在</w:t>
            </w:r>
            <w:r>
              <w:rPr>
                <w:rFonts w:hint="eastAsia"/>
                <w:color w:val="000000" w:themeColor="text1"/>
                <w:sz w:val="21"/>
                <w:szCs w:val="21"/>
                <w14:textFill>
                  <w14:solidFill>
                    <w14:schemeClr w14:val="tx1"/>
                  </w14:solidFill>
                </w14:textFill>
              </w:rPr>
              <w:t>大桥</w:t>
            </w:r>
            <w:r>
              <w:rPr>
                <w:color w:val="000000" w:themeColor="text1"/>
                <w:sz w:val="21"/>
                <w:szCs w:val="21"/>
                <w14:textFill>
                  <w14:solidFill>
                    <w14:schemeClr w14:val="tx1"/>
                  </w14:solidFill>
                </w14:textFill>
              </w:rPr>
              <w:t>两端设置事故收集池，并对其防撞护栏进行强化、加固设计</w:t>
            </w:r>
            <w:r>
              <w:rPr>
                <w:rFonts w:hint="eastAsia"/>
                <w:color w:val="000000" w:themeColor="text1"/>
                <w:sz w:val="21"/>
                <w:szCs w:val="21"/>
                <w14:textFill>
                  <w14:solidFill>
                    <w14:schemeClr w14:val="tx1"/>
                  </w14:solidFill>
                </w14:textFill>
              </w:rPr>
              <w:t>。</w:t>
            </w:r>
          </w:p>
        </w:tc>
      </w:tr>
    </w:tbl>
    <w:p w14:paraId="52C14CF4">
      <w:pPr>
        <w:pStyle w:val="3"/>
        <w:adjustRightInd w:val="0"/>
        <w:snapToGrid w:val="0"/>
        <w:spacing w:before="156" w:after="156" w:line="240" w:lineRule="auto"/>
        <w:jc w:val="both"/>
        <w:rPr>
          <w:rFonts w:ascii="Times New Roman" w:hAnsi="Times New Roman" w:cs="Times New Roman"/>
          <w:color w:val="000000" w:themeColor="text1"/>
          <w14:textFill>
            <w14:solidFill>
              <w14:schemeClr w14:val="tx1"/>
            </w14:solidFill>
          </w14:textFill>
        </w:rPr>
      </w:pPr>
      <w:bookmarkStart w:id="694" w:name="bookmark58"/>
      <w:bookmarkEnd w:id="694"/>
      <w:bookmarkStart w:id="695" w:name="_Toc98413610"/>
      <w:bookmarkStart w:id="696" w:name="_Toc187675449"/>
      <w:r>
        <w:rPr>
          <w:rFonts w:ascii="Times New Roman" w:hAnsi="Times New Roman" w:cs="Times New Roman"/>
          <w:color w:val="000000" w:themeColor="text1"/>
          <w14:textFill>
            <w14:solidFill>
              <w14:schemeClr w14:val="tx1"/>
            </w14:solidFill>
          </w14:textFill>
        </w:rPr>
        <w:t>9.4项目竣工环保验收</w:t>
      </w:r>
      <w:bookmarkEnd w:id="695"/>
      <w:bookmarkEnd w:id="696"/>
    </w:p>
    <w:p w14:paraId="5CB21FCE">
      <w:pPr>
        <w:pStyle w:val="6"/>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建设项目环境保护验收暂行办法》（国环规环评[2017]4号），建设单位是建设项目竣工环境保护验收的责任主体，应按照本办法规定的程序和标准，组织对配套建设的环境保护设施进行验收，编制验收报告，公开相关信息，接受社会监督，确保建设项目配套的环境保护设施与主体工程同时投产或使用，并对验收内容、结论和所公开的信息的真实性、准确性和完整性负责。</w:t>
      </w:r>
      <w:r>
        <w:rPr>
          <w:rFonts w:ascii="Times New Roman" w:hAnsi="Times New Roman" w:cs="Times New Roman"/>
          <w:snapToGrid w:val="0"/>
          <w:color w:val="000000" w:themeColor="text1"/>
          <w:kern w:val="2"/>
          <w:lang w:val="zh-CN"/>
          <w14:textFill>
            <w14:solidFill>
              <w14:schemeClr w14:val="tx1"/>
            </w14:solidFill>
          </w14:textFill>
        </w:rPr>
        <w:t>本项目推荐环保措施竣工验收一览表9.4-1。</w:t>
      </w:r>
    </w:p>
    <w:p w14:paraId="190970A4">
      <w:pPr>
        <w:jc w:val="center"/>
        <w:rPr>
          <w:rFonts w:ascii="黑体" w:hAnsi="黑体" w:eastAsia="黑体" w:cs="Times New Roman"/>
          <w:color w:val="000000" w:themeColor="text1"/>
          <w14:textFill>
            <w14:solidFill>
              <w14:schemeClr w14:val="tx1"/>
            </w14:solidFill>
          </w14:textFill>
        </w:rPr>
      </w:pPr>
    </w:p>
    <w:p w14:paraId="5AA1F992">
      <w:pPr>
        <w:jc w:val="center"/>
        <w:rPr>
          <w:rFonts w:ascii="黑体" w:hAnsi="黑体" w:eastAsia="黑体" w:cs="Times New Roman"/>
          <w:color w:val="000000" w:themeColor="text1"/>
          <w14:textFill>
            <w14:solidFill>
              <w14:schemeClr w14:val="tx1"/>
            </w14:solidFill>
          </w14:textFill>
        </w:rPr>
      </w:pPr>
    </w:p>
    <w:p w14:paraId="6870E578">
      <w:pPr>
        <w:jc w:val="center"/>
        <w:rPr>
          <w:rFonts w:ascii="黑体" w:hAnsi="黑体" w:eastAsia="黑体" w:cs="Times New Roman"/>
          <w:color w:val="000000" w:themeColor="text1"/>
          <w14:textFill>
            <w14:solidFill>
              <w14:schemeClr w14:val="tx1"/>
            </w14:solidFill>
          </w14:textFill>
        </w:rPr>
      </w:pPr>
    </w:p>
    <w:p w14:paraId="1ED77DC9">
      <w:pPr>
        <w:jc w:val="center"/>
        <w:rPr>
          <w:rFonts w:ascii="黑体" w:hAnsi="黑体" w:eastAsia="黑体" w:cs="Times New Roman"/>
          <w:color w:val="000000" w:themeColor="text1"/>
          <w14:textFill>
            <w14:solidFill>
              <w14:schemeClr w14:val="tx1"/>
            </w14:solidFill>
          </w14:textFill>
        </w:rPr>
      </w:pPr>
    </w:p>
    <w:p w14:paraId="4563E281">
      <w:pPr>
        <w:jc w:val="center"/>
        <w:rPr>
          <w:rFonts w:ascii="黑体" w:hAnsi="黑体" w:eastAsia="黑体" w:cs="Times New Roman"/>
          <w:color w:val="000000" w:themeColor="text1"/>
          <w14:textFill>
            <w14:solidFill>
              <w14:schemeClr w14:val="tx1"/>
            </w14:solidFill>
          </w14:textFill>
        </w:rPr>
      </w:pPr>
    </w:p>
    <w:p w14:paraId="0B241F70">
      <w:pPr>
        <w:jc w:val="center"/>
        <w:rPr>
          <w:rFonts w:ascii="黑体" w:hAnsi="黑体" w:eastAsia="黑体" w:cs="Times New Roman"/>
          <w:color w:val="000000" w:themeColor="text1"/>
          <w14:textFill>
            <w14:solidFill>
              <w14:schemeClr w14:val="tx1"/>
            </w14:solidFill>
          </w14:textFill>
        </w:rPr>
      </w:pPr>
    </w:p>
    <w:p w14:paraId="7BAE555F">
      <w:pPr>
        <w:jc w:val="center"/>
        <w:rPr>
          <w:rFonts w:ascii="黑体" w:hAnsi="黑体" w:eastAsia="黑体" w:cs="Times New Roman"/>
          <w:color w:val="000000" w:themeColor="text1"/>
          <w14:textFill>
            <w14:solidFill>
              <w14:schemeClr w14:val="tx1"/>
            </w14:solidFill>
          </w14:textFill>
        </w:rPr>
      </w:pPr>
    </w:p>
    <w:p w14:paraId="69536E85">
      <w:pPr>
        <w:jc w:val="center"/>
        <w:rPr>
          <w:rFonts w:ascii="黑体" w:hAnsi="黑体" w:eastAsia="黑体" w:cs="Times New Roman"/>
          <w:color w:val="000000" w:themeColor="text1"/>
          <w14:textFill>
            <w14:solidFill>
              <w14:schemeClr w14:val="tx1"/>
            </w14:solidFill>
          </w14:textFill>
        </w:rPr>
      </w:pPr>
    </w:p>
    <w:p w14:paraId="54ED2766">
      <w:pPr>
        <w:jc w:val="center"/>
        <w:rPr>
          <w:rFonts w:ascii="黑体" w:hAnsi="黑体" w:eastAsia="黑体" w:cs="Times New Roman"/>
          <w:color w:val="000000" w:themeColor="text1"/>
          <w14:textFill>
            <w14:solidFill>
              <w14:schemeClr w14:val="tx1"/>
            </w14:solidFill>
          </w14:textFill>
        </w:rPr>
      </w:pPr>
    </w:p>
    <w:p w14:paraId="24CCCC05">
      <w:pPr>
        <w:jc w:val="center"/>
        <w:rPr>
          <w:rFonts w:ascii="黑体" w:hAnsi="黑体" w:eastAsia="黑体" w:cs="Times New Roman"/>
          <w:color w:val="000000" w:themeColor="text1"/>
          <w14:textFill>
            <w14:solidFill>
              <w14:schemeClr w14:val="tx1"/>
            </w14:solidFill>
          </w14:textFill>
        </w:rPr>
      </w:pPr>
    </w:p>
    <w:p w14:paraId="6A93C15A">
      <w:pPr>
        <w:jc w:val="center"/>
        <w:rPr>
          <w:rFonts w:ascii="黑体" w:hAnsi="黑体" w:eastAsia="黑体" w:cs="Times New Roman"/>
          <w:color w:val="000000" w:themeColor="text1"/>
          <w14:textFill>
            <w14:solidFill>
              <w14:schemeClr w14:val="tx1"/>
            </w14:solidFill>
          </w14:textFill>
        </w:rPr>
      </w:pPr>
    </w:p>
    <w:p w14:paraId="486CD2B9">
      <w:pPr>
        <w:jc w:val="center"/>
        <w:rPr>
          <w:rFonts w:ascii="黑体" w:hAnsi="黑体" w:eastAsia="黑体" w:cs="Times New Roman"/>
          <w:color w:val="000000" w:themeColor="text1"/>
          <w14:textFill>
            <w14:solidFill>
              <w14:schemeClr w14:val="tx1"/>
            </w14:solidFill>
          </w14:textFill>
        </w:rPr>
      </w:pPr>
    </w:p>
    <w:p w14:paraId="5094D4BA">
      <w:pPr>
        <w:jc w:val="center"/>
        <w:rPr>
          <w:rFonts w:ascii="黑体" w:hAnsi="黑体" w:eastAsia="黑体" w:cs="Times New Roman"/>
          <w:color w:val="000000" w:themeColor="text1"/>
          <w14:textFill>
            <w14:solidFill>
              <w14:schemeClr w14:val="tx1"/>
            </w14:solidFill>
          </w14:textFill>
        </w:rPr>
      </w:pPr>
    </w:p>
    <w:p w14:paraId="387B02A5">
      <w:pPr>
        <w:jc w:val="center"/>
        <w:rPr>
          <w:rFonts w:ascii="黑体" w:hAnsi="黑体" w:eastAsia="黑体" w:cs="Times New Roman"/>
          <w:color w:val="000000" w:themeColor="text1"/>
          <w14:textFill>
            <w14:solidFill>
              <w14:schemeClr w14:val="tx1"/>
            </w14:solidFill>
          </w14:textFill>
        </w:rPr>
      </w:pPr>
      <w:r>
        <w:rPr>
          <w:rFonts w:ascii="黑体" w:hAnsi="黑体" w:eastAsia="黑体" w:cs="Times New Roman"/>
          <w:color w:val="000000" w:themeColor="text1"/>
          <w14:textFill>
            <w14:solidFill>
              <w14:schemeClr w14:val="tx1"/>
            </w14:solidFill>
          </w14:textFill>
        </w:rPr>
        <w:t>表9.4-1  公路环保措施竣工验收一览表</w:t>
      </w:r>
    </w:p>
    <w:tbl>
      <w:tblPr>
        <w:tblStyle w:val="87"/>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27"/>
        <w:gridCol w:w="1329"/>
        <w:gridCol w:w="6512"/>
      </w:tblGrid>
      <w:tr w14:paraId="248C9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527" w:type="dxa"/>
            <w:vAlign w:val="center"/>
          </w:tcPr>
          <w:p w14:paraId="6221417E">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序号</w:t>
            </w:r>
          </w:p>
        </w:tc>
        <w:tc>
          <w:tcPr>
            <w:tcW w:w="1329" w:type="dxa"/>
            <w:vAlign w:val="center"/>
          </w:tcPr>
          <w:p w14:paraId="30DA588A">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项目</w:t>
            </w:r>
          </w:p>
        </w:tc>
        <w:tc>
          <w:tcPr>
            <w:tcW w:w="6512" w:type="dxa"/>
            <w:vAlign w:val="center"/>
          </w:tcPr>
          <w:p w14:paraId="438370D6">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验收标准</w:t>
            </w:r>
          </w:p>
        </w:tc>
      </w:tr>
      <w:tr w14:paraId="099F7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527" w:type="dxa"/>
            <w:vAlign w:val="center"/>
          </w:tcPr>
          <w:p w14:paraId="41C64E77">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1</w:t>
            </w:r>
          </w:p>
        </w:tc>
        <w:tc>
          <w:tcPr>
            <w:tcW w:w="1329" w:type="dxa"/>
            <w:vAlign w:val="center"/>
          </w:tcPr>
          <w:p w14:paraId="6FBCFA81">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生态环境保护</w:t>
            </w:r>
          </w:p>
        </w:tc>
        <w:tc>
          <w:tcPr>
            <w:tcW w:w="6512" w:type="dxa"/>
            <w:vAlign w:val="center"/>
          </w:tcPr>
          <w:p w14:paraId="3FE30772">
            <w:pP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1</w:t>
            </w:r>
            <w:r>
              <w:rPr>
                <w:color w:val="000000" w:themeColor="text1"/>
                <w:sz w:val="21"/>
                <w:szCs w:val="18"/>
                <w14:textFill>
                  <w14:solidFill>
                    <w14:schemeClr w14:val="tx1"/>
                  </w14:solidFill>
                </w14:textFill>
              </w:rPr>
              <w:t>.</w:t>
            </w:r>
            <w:r>
              <w:rPr>
                <w:rFonts w:hint="eastAsia"/>
                <w:color w:val="000000" w:themeColor="text1"/>
                <w:sz w:val="21"/>
                <w:szCs w:val="18"/>
                <w14:textFill>
                  <w14:solidFill>
                    <w14:schemeClr w14:val="tx1"/>
                  </w14:solidFill>
                </w14:textFill>
              </w:rPr>
              <w:t>弃土场</w:t>
            </w:r>
            <w:r>
              <w:rPr>
                <w:color w:val="000000" w:themeColor="text1"/>
                <w:sz w:val="21"/>
                <w:szCs w:val="18"/>
                <w14:textFill>
                  <w14:solidFill>
                    <w14:schemeClr w14:val="tx1"/>
                  </w14:solidFill>
                </w14:textFill>
              </w:rPr>
              <w:t>，</w:t>
            </w:r>
            <w:r>
              <w:rPr>
                <w:rFonts w:hint="eastAsia"/>
                <w:color w:val="000000" w:themeColor="text1"/>
                <w:sz w:val="21"/>
                <w:szCs w:val="18"/>
                <w14:textFill>
                  <w14:solidFill>
                    <w14:schemeClr w14:val="tx1"/>
                  </w14:solidFill>
                </w14:textFill>
              </w:rPr>
              <w:t>施工综合场站</w:t>
            </w:r>
            <w:r>
              <w:rPr>
                <w:color w:val="000000" w:themeColor="text1"/>
                <w:sz w:val="21"/>
                <w:szCs w:val="18"/>
                <w14:textFill>
                  <w14:solidFill>
                    <w14:schemeClr w14:val="tx1"/>
                  </w14:solidFill>
                </w14:textFill>
              </w:rPr>
              <w:t>等临时占地建筑物拆除，地表恢复原状；</w:t>
            </w:r>
          </w:p>
          <w:p w14:paraId="03A17F81">
            <w:pPr>
              <w:rPr>
                <w:color w:val="000000" w:themeColor="text1"/>
                <w:sz w:val="21"/>
                <w:szCs w:val="18"/>
                <w14:textFill>
                  <w14:solidFill>
                    <w14:schemeClr w14:val="tx1"/>
                  </w14:solidFill>
                </w14:textFill>
              </w:rPr>
            </w:pPr>
            <w:r>
              <w:rPr>
                <w:rFonts w:hint="eastAsia"/>
                <w:color w:val="000000" w:themeColor="text1"/>
                <w:sz w:val="21"/>
                <w:szCs w:val="18"/>
                <w14:textFill>
                  <w14:solidFill>
                    <w14:schemeClr w14:val="tx1"/>
                  </w14:solidFill>
                </w14:textFill>
              </w:rPr>
              <w:t>2</w:t>
            </w:r>
            <w:r>
              <w:rPr>
                <w:color w:val="000000" w:themeColor="text1"/>
                <w:sz w:val="21"/>
                <w:szCs w:val="18"/>
                <w14:textFill>
                  <w14:solidFill>
                    <w14:schemeClr w14:val="tx1"/>
                  </w14:solidFill>
                </w14:textFill>
              </w:rPr>
              <w:t>.绿化按要求施工完毕；</w:t>
            </w:r>
          </w:p>
          <w:p w14:paraId="65A5183B">
            <w:pPr>
              <w:rPr>
                <w:color w:val="000000" w:themeColor="text1"/>
                <w:sz w:val="21"/>
                <w14:textFill>
                  <w14:solidFill>
                    <w14:schemeClr w14:val="tx1"/>
                  </w14:solidFill>
                </w14:textFill>
              </w:rPr>
            </w:pPr>
            <w:r>
              <w:rPr>
                <w:rFonts w:hint="eastAsia"/>
                <w:color w:val="000000" w:themeColor="text1"/>
                <w:sz w:val="21"/>
                <w:szCs w:val="18"/>
                <w14:textFill>
                  <w14:solidFill>
                    <w14:schemeClr w14:val="tx1"/>
                  </w14:solidFill>
                </w14:textFill>
              </w:rPr>
              <w:t>3</w:t>
            </w:r>
            <w:r>
              <w:rPr>
                <w:color w:val="000000" w:themeColor="text1"/>
                <w:sz w:val="21"/>
                <w:szCs w:val="18"/>
                <w14:textFill>
                  <w14:solidFill>
                    <w14:schemeClr w14:val="tx1"/>
                  </w14:solidFill>
                </w14:textFill>
              </w:rPr>
              <w:t>.</w:t>
            </w:r>
            <w:r>
              <w:rPr>
                <w:rFonts w:hint="eastAsia"/>
                <w:color w:val="000000" w:themeColor="text1"/>
                <w:sz w:val="21"/>
                <w:szCs w:val="18"/>
                <w14:textFill>
                  <w14:solidFill>
                    <w14:schemeClr w14:val="tx1"/>
                  </w14:solidFill>
                </w14:textFill>
              </w:rPr>
              <w:t>灌木林地的砍伐补偿</w:t>
            </w:r>
            <w:r>
              <w:rPr>
                <w:color w:val="000000" w:themeColor="text1"/>
                <w:sz w:val="21"/>
                <w:szCs w:val="18"/>
                <w14:textFill>
                  <w14:solidFill>
                    <w14:schemeClr w14:val="tx1"/>
                  </w14:solidFill>
                </w14:textFill>
              </w:rPr>
              <w:t>。</w:t>
            </w:r>
          </w:p>
        </w:tc>
      </w:tr>
      <w:tr w14:paraId="315E5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527" w:type="dxa"/>
            <w:vAlign w:val="center"/>
          </w:tcPr>
          <w:p w14:paraId="46485510">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2</w:t>
            </w:r>
          </w:p>
        </w:tc>
        <w:tc>
          <w:tcPr>
            <w:tcW w:w="1329" w:type="dxa"/>
            <w:vAlign w:val="center"/>
          </w:tcPr>
          <w:p w14:paraId="5FF42898">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声环境保护</w:t>
            </w:r>
          </w:p>
        </w:tc>
        <w:tc>
          <w:tcPr>
            <w:tcW w:w="6512" w:type="dxa"/>
            <w:vAlign w:val="center"/>
          </w:tcPr>
          <w:p w14:paraId="34C62AA2">
            <w:pP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 xml:space="preserve">加强路段两侧绿化带，进行噪声隔离。 </w:t>
            </w:r>
            <w:r>
              <w:rPr>
                <w:rFonts w:hint="eastAsia"/>
                <w:color w:val="000000" w:themeColor="text1"/>
                <w:sz w:val="21"/>
                <w:szCs w:val="18"/>
                <w14:textFill>
                  <w14:solidFill>
                    <w14:schemeClr w14:val="tx1"/>
                  </w14:solidFill>
                </w14:textFill>
              </w:rPr>
              <w:t>执行标准：运营期在公路红线35m范围内执行</w:t>
            </w:r>
            <w:r>
              <w:rPr>
                <w:color w:val="000000" w:themeColor="text1"/>
                <w:sz w:val="21"/>
                <w:szCs w:val="18"/>
                <w14:textFill>
                  <w14:solidFill>
                    <w14:schemeClr w14:val="tx1"/>
                  </w14:solidFill>
                </w14:textFill>
              </w:rPr>
              <w:t>《声环境质量标准》（GB3096-2008）</w:t>
            </w:r>
            <w:r>
              <w:rPr>
                <w:rFonts w:hint="eastAsia"/>
                <w:color w:val="000000" w:themeColor="text1"/>
                <w:sz w:val="21"/>
                <w:szCs w:val="18"/>
                <w14:textFill>
                  <w14:solidFill>
                    <w14:schemeClr w14:val="tx1"/>
                  </w14:solidFill>
                </w14:textFill>
              </w:rPr>
              <w:t>4a类标准</w:t>
            </w:r>
            <w:r>
              <w:rPr>
                <w:color w:val="000000" w:themeColor="text1"/>
                <w:sz w:val="21"/>
                <w:szCs w:val="18"/>
                <w14:textFill>
                  <w14:solidFill>
                    <w14:schemeClr w14:val="tx1"/>
                  </w14:solidFill>
                </w14:textFill>
              </w:rPr>
              <w:t>，</w:t>
            </w:r>
            <w:r>
              <w:rPr>
                <w:rFonts w:hint="eastAsia"/>
                <w:color w:val="000000" w:themeColor="text1"/>
                <w:sz w:val="21"/>
                <w:szCs w:val="18"/>
                <w14:textFill>
                  <w14:solidFill>
                    <w14:schemeClr w14:val="tx1"/>
                  </w14:solidFill>
                </w14:textFill>
              </w:rPr>
              <w:t>35m以外执行</w:t>
            </w:r>
            <w:r>
              <w:rPr>
                <w:color w:val="000000" w:themeColor="text1"/>
                <w:sz w:val="21"/>
                <w:szCs w:val="18"/>
                <w14:textFill>
                  <w14:solidFill>
                    <w14:schemeClr w14:val="tx1"/>
                  </w14:solidFill>
                </w14:textFill>
              </w:rPr>
              <w:t>《声环境质量标准》（GB3096-2008）</w:t>
            </w:r>
            <w:r>
              <w:rPr>
                <w:rFonts w:hint="eastAsia"/>
                <w:color w:val="000000" w:themeColor="text1"/>
                <w:sz w:val="21"/>
                <w:szCs w:val="18"/>
                <w14:textFill>
                  <w14:solidFill>
                    <w14:schemeClr w14:val="tx1"/>
                  </w14:solidFill>
                </w14:textFill>
              </w:rPr>
              <w:t>2类标准，监测点：</w:t>
            </w:r>
            <w:r>
              <w:rPr>
                <w:color w:val="000000" w:themeColor="text1"/>
                <w:sz w:val="21"/>
                <w:szCs w:val="18"/>
                <w14:textFill>
                  <w14:solidFill>
                    <w14:schemeClr w14:val="tx1"/>
                  </w14:solidFill>
                </w14:textFill>
              </w:rPr>
              <w:t>每年对公路</w:t>
            </w:r>
            <w:r>
              <w:rPr>
                <w:rFonts w:hint="eastAsia"/>
                <w:color w:val="000000" w:themeColor="text1"/>
                <w:sz w:val="21"/>
                <w:szCs w:val="18"/>
                <w14:textFill>
                  <w14:solidFill>
                    <w14:schemeClr w14:val="tx1"/>
                  </w14:solidFill>
                </w14:textFill>
              </w:rPr>
              <w:t>居民区</w:t>
            </w:r>
            <w:r>
              <w:rPr>
                <w:color w:val="000000" w:themeColor="text1"/>
                <w:sz w:val="21"/>
                <w:szCs w:val="18"/>
                <w14:textFill>
                  <w14:solidFill>
                    <w14:schemeClr w14:val="tx1"/>
                  </w14:solidFill>
                </w14:textFill>
              </w:rPr>
              <w:t>路段进行声环境监测。</w:t>
            </w:r>
          </w:p>
        </w:tc>
      </w:tr>
      <w:tr w14:paraId="668C7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44" w:hRule="atLeast"/>
          <w:tblHeader/>
        </w:trPr>
        <w:tc>
          <w:tcPr>
            <w:tcW w:w="527" w:type="dxa"/>
            <w:vAlign w:val="center"/>
          </w:tcPr>
          <w:p w14:paraId="0AB28C5C">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3</w:t>
            </w:r>
          </w:p>
        </w:tc>
        <w:tc>
          <w:tcPr>
            <w:tcW w:w="1329" w:type="dxa"/>
            <w:vAlign w:val="center"/>
          </w:tcPr>
          <w:p w14:paraId="7EBF5526">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水环境保护</w:t>
            </w:r>
          </w:p>
        </w:tc>
        <w:tc>
          <w:tcPr>
            <w:tcW w:w="6512" w:type="dxa"/>
            <w:vAlign w:val="center"/>
          </w:tcPr>
          <w:p w14:paraId="0D3287B2">
            <w:pP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对跨河流</w:t>
            </w:r>
            <w:r>
              <w:rPr>
                <w:rFonts w:hint="eastAsia"/>
                <w:color w:val="000000" w:themeColor="text1"/>
                <w:sz w:val="21"/>
                <w:szCs w:val="18"/>
                <w14:textFill>
                  <w14:solidFill>
                    <w14:schemeClr w14:val="tx1"/>
                  </w14:solidFill>
                </w14:textFill>
              </w:rPr>
              <w:t>盖孜河</w:t>
            </w:r>
            <w:r>
              <w:rPr>
                <w:color w:val="000000" w:themeColor="text1"/>
                <w:sz w:val="21"/>
                <w:szCs w:val="18"/>
                <w14:textFill>
                  <w14:solidFill>
                    <w14:schemeClr w14:val="tx1"/>
                  </w14:solidFill>
                </w14:textFill>
              </w:rPr>
              <w:t>桥梁设置桥面径流收集系统，</w:t>
            </w:r>
            <w:r>
              <w:rPr>
                <w:rFonts w:hint="eastAsia"/>
                <w:color w:val="000000" w:themeColor="text1"/>
                <w:sz w:val="21"/>
                <w:szCs w:val="18"/>
                <w14:textFill>
                  <w14:solidFill>
                    <w14:schemeClr w14:val="tx1"/>
                  </w14:solidFill>
                </w14:textFill>
              </w:rPr>
              <w:t>并</w:t>
            </w:r>
            <w:r>
              <w:rPr>
                <w:color w:val="000000" w:themeColor="text1"/>
                <w:sz w:val="21"/>
                <w:szCs w:val="18"/>
                <w14:textFill>
                  <w14:solidFill>
                    <w14:schemeClr w14:val="tx1"/>
                  </w14:solidFill>
                </w14:textFill>
              </w:rPr>
              <w:t>在桥梁两端设置事故收集池，并对其防撞护栏进行强化、加固设计；</w:t>
            </w:r>
          </w:p>
        </w:tc>
      </w:tr>
      <w:tr w14:paraId="722E0E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blHeader/>
        </w:trPr>
        <w:tc>
          <w:tcPr>
            <w:tcW w:w="527" w:type="dxa"/>
            <w:vAlign w:val="center"/>
          </w:tcPr>
          <w:p w14:paraId="3607FDF4">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4</w:t>
            </w:r>
          </w:p>
        </w:tc>
        <w:tc>
          <w:tcPr>
            <w:tcW w:w="1329" w:type="dxa"/>
            <w:vAlign w:val="center"/>
          </w:tcPr>
          <w:p w14:paraId="6BA65C05">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社会环境保护</w:t>
            </w:r>
          </w:p>
        </w:tc>
        <w:tc>
          <w:tcPr>
            <w:tcW w:w="6512" w:type="dxa"/>
            <w:vAlign w:val="center"/>
          </w:tcPr>
          <w:p w14:paraId="6825189C">
            <w:pP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路线与相关规划的协调性。</w:t>
            </w:r>
          </w:p>
        </w:tc>
      </w:tr>
      <w:tr w14:paraId="4CC4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90" w:hRule="atLeast"/>
          <w:tblHeader/>
        </w:trPr>
        <w:tc>
          <w:tcPr>
            <w:tcW w:w="527" w:type="dxa"/>
            <w:vAlign w:val="center"/>
          </w:tcPr>
          <w:p w14:paraId="6C01AC1E">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5</w:t>
            </w:r>
          </w:p>
        </w:tc>
        <w:tc>
          <w:tcPr>
            <w:tcW w:w="1329" w:type="dxa"/>
            <w:vAlign w:val="center"/>
          </w:tcPr>
          <w:p w14:paraId="1734DB55">
            <w:pPr>
              <w:jc w:val="cente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其他</w:t>
            </w:r>
          </w:p>
        </w:tc>
        <w:tc>
          <w:tcPr>
            <w:tcW w:w="6512" w:type="dxa"/>
            <w:vAlign w:val="center"/>
          </w:tcPr>
          <w:p w14:paraId="61CF1D06">
            <w:pP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1.查阅施工期监测记录备案；</w:t>
            </w:r>
          </w:p>
          <w:p w14:paraId="61996484">
            <w:pP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2.查阅应急预案及响应设备；</w:t>
            </w:r>
          </w:p>
          <w:p w14:paraId="54B20706">
            <w:pPr>
              <w:rPr>
                <w:color w:val="000000" w:themeColor="text1"/>
                <w:sz w:val="21"/>
                <w:szCs w:val="18"/>
                <w14:textFill>
                  <w14:solidFill>
                    <w14:schemeClr w14:val="tx1"/>
                  </w14:solidFill>
                </w14:textFill>
              </w:rPr>
            </w:pPr>
            <w:r>
              <w:rPr>
                <w:color w:val="000000" w:themeColor="text1"/>
                <w:sz w:val="21"/>
                <w:szCs w:val="18"/>
                <w14:textFill>
                  <w14:solidFill>
                    <w14:schemeClr w14:val="tx1"/>
                  </w14:solidFill>
                </w14:textFill>
              </w:rPr>
              <w:t>3.查阅环境监理工作日志及相关备案。</w:t>
            </w:r>
          </w:p>
        </w:tc>
      </w:tr>
    </w:tbl>
    <w:p w14:paraId="24BD8B1D">
      <w:pPr>
        <w:jc w:val="center"/>
        <w:rPr>
          <w:rFonts w:ascii="Times New Roman" w:hAnsi="Times New Roman" w:eastAsia="黑体" w:cs="Times New Roman"/>
          <w:color w:val="00B050"/>
        </w:rPr>
      </w:pPr>
    </w:p>
    <w:p w14:paraId="168EAF34">
      <w:pPr>
        <w:pStyle w:val="725"/>
        <w:rPr>
          <w:rFonts w:ascii="Times New Roman" w:hAnsi="Times New Roman" w:cs="Times New Roman"/>
          <w:color w:val="00B050"/>
          <w:szCs w:val="24"/>
        </w:rPr>
      </w:pPr>
    </w:p>
    <w:p w14:paraId="3CED6AA0">
      <w:pPr>
        <w:tabs>
          <w:tab w:val="left" w:pos="1123"/>
        </w:tabs>
        <w:spacing w:line="360" w:lineRule="auto"/>
        <w:ind w:firstLine="480" w:firstLineChars="200"/>
        <w:rPr>
          <w:rFonts w:ascii="Times New Roman" w:hAnsi="Times New Roman" w:cs="Times New Roman"/>
          <w:color w:val="00B050"/>
        </w:rPr>
        <w:sectPr>
          <w:footerReference r:id="rId8" w:type="default"/>
          <w:pgSz w:w="11906" w:h="16838"/>
          <w:pgMar w:top="1440" w:right="1797" w:bottom="1440" w:left="1797" w:header="794" w:footer="850" w:gutter="0"/>
          <w:cols w:space="720" w:num="1"/>
          <w:docGrid w:type="lines" w:linePitch="312" w:charSpace="0"/>
        </w:sectPr>
      </w:pPr>
    </w:p>
    <w:p w14:paraId="1D77B26C">
      <w:pPr>
        <w:pStyle w:val="2"/>
        <w:adjustRightInd w:val="0"/>
        <w:snapToGrid w:val="0"/>
        <w:spacing w:before="240" w:after="120" w:line="240" w:lineRule="auto"/>
        <w:rPr>
          <w:rFonts w:ascii="Times New Roman" w:hAnsi="Times New Roman" w:cs="Times New Roman"/>
          <w:color w:val="000000" w:themeColor="text1"/>
          <w14:textFill>
            <w14:solidFill>
              <w14:schemeClr w14:val="tx1"/>
            </w14:solidFill>
          </w14:textFill>
        </w:rPr>
      </w:pPr>
      <w:bookmarkStart w:id="697" w:name="_Toc316561776"/>
      <w:bookmarkStart w:id="698" w:name="_Toc192474210"/>
      <w:bookmarkStart w:id="699" w:name="_Toc219170963"/>
      <w:bookmarkStart w:id="700" w:name="_Toc316511215"/>
      <w:bookmarkStart w:id="701" w:name="_Toc381606162"/>
      <w:bookmarkStart w:id="702" w:name="_Toc98413611"/>
      <w:bookmarkStart w:id="703" w:name="_Toc4507878"/>
      <w:bookmarkStart w:id="704" w:name="_Toc199644189"/>
      <w:bookmarkStart w:id="705" w:name="_Toc187675450"/>
      <w:r>
        <w:rPr>
          <w:rFonts w:ascii="Times New Roman" w:hAnsi="Times New Roman" w:cs="Times New Roman"/>
          <w:color w:val="000000" w:themeColor="text1"/>
          <w14:textFill>
            <w14:solidFill>
              <w14:schemeClr w14:val="tx1"/>
            </w14:solidFill>
          </w14:textFill>
        </w:rPr>
        <w:t>10环境影响评价结论</w:t>
      </w:r>
      <w:bookmarkEnd w:id="697"/>
      <w:bookmarkEnd w:id="698"/>
      <w:bookmarkEnd w:id="699"/>
      <w:bookmarkEnd w:id="700"/>
      <w:bookmarkEnd w:id="701"/>
      <w:bookmarkEnd w:id="702"/>
      <w:bookmarkEnd w:id="703"/>
      <w:bookmarkEnd w:id="704"/>
      <w:bookmarkEnd w:id="705"/>
    </w:p>
    <w:p w14:paraId="14049C99">
      <w:pPr>
        <w:pStyle w:val="3"/>
        <w:adjustRightInd w:val="0"/>
        <w:snapToGrid w:val="0"/>
        <w:spacing w:before="120" w:after="120" w:line="240" w:lineRule="auto"/>
        <w:rPr>
          <w:rFonts w:ascii="Times New Roman" w:hAnsi="Times New Roman" w:cs="Times New Roman"/>
          <w:color w:val="000000" w:themeColor="text1"/>
          <w14:textFill>
            <w14:solidFill>
              <w14:schemeClr w14:val="tx1"/>
            </w14:solidFill>
          </w14:textFill>
        </w:rPr>
      </w:pPr>
      <w:bookmarkStart w:id="706" w:name="_Toc199644190"/>
      <w:bookmarkStart w:id="707" w:name="_Toc192474211"/>
      <w:bookmarkStart w:id="708" w:name="_Toc381606163"/>
      <w:bookmarkStart w:id="709" w:name="_Toc209665490"/>
      <w:bookmarkStart w:id="710" w:name="_Toc219170964"/>
      <w:bookmarkStart w:id="711" w:name="_Toc316511216"/>
      <w:bookmarkStart w:id="712" w:name="_Toc316561777"/>
      <w:bookmarkStart w:id="713" w:name="_Toc4507879"/>
      <w:bookmarkStart w:id="714" w:name="_Toc98413612"/>
      <w:bookmarkStart w:id="715" w:name="_Toc187675451"/>
      <w:r>
        <w:rPr>
          <w:rFonts w:ascii="Times New Roman" w:hAnsi="Times New Roman" w:cs="Times New Roman"/>
          <w:color w:val="000000" w:themeColor="text1"/>
          <w14:textFill>
            <w14:solidFill>
              <w14:schemeClr w14:val="tx1"/>
            </w14:solidFill>
          </w14:textFill>
        </w:rPr>
        <w:t>10.1</w:t>
      </w:r>
      <w:bookmarkEnd w:id="706"/>
      <w:bookmarkEnd w:id="707"/>
      <w:bookmarkEnd w:id="708"/>
      <w:bookmarkEnd w:id="709"/>
      <w:bookmarkEnd w:id="710"/>
      <w:bookmarkEnd w:id="711"/>
      <w:bookmarkEnd w:id="712"/>
      <w:r>
        <w:rPr>
          <w:rFonts w:ascii="Times New Roman" w:hAnsi="Times New Roman" w:cs="Times New Roman"/>
          <w:color w:val="000000" w:themeColor="text1"/>
          <w14:textFill>
            <w14:solidFill>
              <w14:schemeClr w14:val="tx1"/>
            </w14:solidFill>
          </w14:textFill>
        </w:rPr>
        <w:t>工程概况</w:t>
      </w:r>
      <w:bookmarkEnd w:id="713"/>
      <w:bookmarkEnd w:id="714"/>
      <w:bookmarkEnd w:id="715"/>
    </w:p>
    <w:p w14:paraId="0FF85860">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工程概况：</w:t>
      </w:r>
      <w:r>
        <w:rPr>
          <w:rFonts w:ascii="Times New Roman" w:hAnsi="Times New Roman" w:cs="Times New Roman"/>
          <w:color w:val="000000" w:themeColor="text1"/>
          <w14:textFill>
            <w14:solidFill>
              <w14:schemeClr w14:val="tx1"/>
            </w14:solidFill>
          </w14:textFill>
        </w:rPr>
        <w:t>拟建公路为新建二级公路，位于</w:t>
      </w:r>
      <w:r>
        <w:rPr>
          <w:rFonts w:hint="eastAsia" w:ascii="Times New Roman" w:hAnsi="Times New Roman" w:cs="Times New Roman"/>
          <w:color w:val="000000" w:themeColor="text1"/>
          <w14:textFill>
            <w14:solidFill>
              <w14:schemeClr w14:val="tx1"/>
            </w14:solidFill>
          </w14:textFill>
        </w:rPr>
        <w:t>新疆生产建设兵团</w:t>
      </w:r>
      <w:r>
        <w:rPr>
          <w:rFonts w:ascii="Times New Roman" w:hAnsi="Times New Roman" w:cs="Times New Roman"/>
          <w:color w:val="000000" w:themeColor="text1"/>
          <w14:textFill>
            <w14:solidFill>
              <w14:schemeClr w14:val="tx1"/>
            </w14:solidFill>
          </w14:textFill>
        </w:rPr>
        <w:t>41团草湖镇、喀什地区疏附县、克州阿克陶县境内。公路起点</w:t>
      </w:r>
      <w:r>
        <w:rPr>
          <w:rFonts w:hint="eastAsia" w:ascii="Times New Roman" w:hAnsi="Times New Roman" w:cs="Times New Roman"/>
          <w:color w:val="000000" w:themeColor="text1"/>
          <w14:textFill>
            <w14:solidFill>
              <w14:schemeClr w14:val="tx1"/>
            </w14:solidFill>
          </w14:textFill>
        </w:rPr>
        <w:t>位于</w:t>
      </w:r>
      <w:r>
        <w:rPr>
          <w:rFonts w:ascii="Times New Roman" w:hAnsi="Times New Roman" w:cs="Times New Roman"/>
          <w:color w:val="000000" w:themeColor="text1"/>
          <w14:textFill>
            <w14:solidFill>
              <w14:schemeClr w14:val="tx1"/>
            </w14:solidFill>
          </w14:textFill>
        </w:rPr>
        <w:t>41团草湖镇西侧第八大道与广东大道</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G3012-草湖-G314公路（G3012-草湖段））交叉处，终点位于乌帕尔镇公安检查站南，波斯坦铁列克乡东侧接国道G314。路线总体走向</w:t>
      </w:r>
      <w:r>
        <w:rPr>
          <w:rFonts w:hint="eastAsia" w:ascii="Times New Roman" w:hAnsi="Times New Roman" w:cs="Times New Roman"/>
          <w:color w:val="000000" w:themeColor="text1"/>
          <w14:textFill>
            <w14:solidFill>
              <w14:schemeClr w14:val="tx1"/>
            </w14:solidFill>
          </w14:textFill>
        </w:rPr>
        <w:t>由东向西，全长</w:t>
      </w:r>
      <w:r>
        <w:rPr>
          <w:rFonts w:ascii="Times New Roman" w:hAnsi="Times New Roman" w:cs="Times New Roman"/>
          <w:color w:val="000000" w:themeColor="text1"/>
          <w14:textFill>
            <w14:solidFill>
              <w14:schemeClr w14:val="tx1"/>
            </w14:solidFill>
          </w14:textFill>
        </w:rPr>
        <w:t>33.453km（</w:t>
      </w:r>
      <w:r>
        <w:rPr>
          <w:rFonts w:hint="eastAsia" w:ascii="Times New Roman" w:hAnsi="Times New Roman" w:cs="Times New Roman"/>
          <w:color w:val="000000" w:themeColor="text1"/>
          <w14:textFill>
            <w14:solidFill>
              <w14:schemeClr w14:val="tx1"/>
            </w14:solidFill>
          </w14:textFill>
        </w:rPr>
        <w:t>含完全利用段</w:t>
      </w:r>
      <w:r>
        <w:rPr>
          <w:rFonts w:ascii="Times New Roman" w:hAnsi="Times New Roman" w:cs="Times New Roman"/>
          <w:color w:val="000000" w:themeColor="text1"/>
          <w14:textFill>
            <w14:solidFill>
              <w14:schemeClr w14:val="tx1"/>
            </w14:solidFill>
          </w14:textFill>
        </w:rPr>
        <w:t xml:space="preserve"> 0.795Km）</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实际</w:t>
      </w:r>
      <w:r>
        <w:rPr>
          <w:rFonts w:hint="eastAsia" w:ascii="Times New Roman" w:hAnsi="Times New Roman" w:cs="Times New Roman"/>
          <w:color w:val="000000" w:themeColor="text1"/>
          <w14:textFill>
            <w14:solidFill>
              <w14:schemeClr w14:val="tx1"/>
            </w14:solidFill>
          </w14:textFill>
        </w:rPr>
        <w:t>建设</w:t>
      </w:r>
      <w:r>
        <w:rPr>
          <w:rFonts w:ascii="Times New Roman" w:hAnsi="Times New Roman" w:cs="Times New Roman"/>
          <w:color w:val="000000" w:themeColor="text1"/>
          <w14:textFill>
            <w14:solidFill>
              <w14:schemeClr w14:val="tx1"/>
            </w14:solidFill>
          </w14:textFill>
        </w:rPr>
        <w:t>里程32.658Km。全线共设桥梁10座</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平面交叉23处</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涵洞96道。本工程总估算投资69945.5019万元。</w:t>
      </w:r>
    </w:p>
    <w:p w14:paraId="45631698">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项目建设符合国家产业政策、符合《新疆维吾尔自治区公路网发展规划》、《新疆生产建设兵团省道网规划（2023-2035年）》《新疆生产建设兵团</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十四五</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公路建设规划》等有关规划。</w:t>
      </w:r>
      <w:bookmarkStart w:id="716" w:name="_Toc4507880"/>
    </w:p>
    <w:p w14:paraId="05669625">
      <w:pPr>
        <w:pStyle w:val="3"/>
        <w:adjustRightInd w:val="0"/>
        <w:snapToGrid w:val="0"/>
        <w:spacing w:before="120" w:after="120" w:line="240" w:lineRule="auto"/>
        <w:jc w:val="both"/>
        <w:rPr>
          <w:rFonts w:ascii="Times New Roman" w:hAnsi="Times New Roman" w:cs="Times New Roman"/>
          <w:color w:val="000000" w:themeColor="text1"/>
          <w14:textFill>
            <w14:solidFill>
              <w14:schemeClr w14:val="tx1"/>
            </w14:solidFill>
          </w14:textFill>
        </w:rPr>
      </w:pPr>
      <w:bookmarkStart w:id="717" w:name="_Toc98413613"/>
      <w:bookmarkStart w:id="718" w:name="_Toc187675452"/>
      <w:r>
        <w:rPr>
          <w:rFonts w:ascii="Times New Roman" w:hAnsi="Times New Roman" w:cs="Times New Roman"/>
          <w:color w:val="000000" w:themeColor="text1"/>
          <w14:textFill>
            <w14:solidFill>
              <w14:schemeClr w14:val="tx1"/>
            </w14:solidFill>
          </w14:textFill>
        </w:rPr>
        <w:t>10.2环境质量现状</w:t>
      </w:r>
      <w:bookmarkEnd w:id="716"/>
      <w:bookmarkEnd w:id="717"/>
      <w:bookmarkStart w:id="719" w:name="_Toc4507881"/>
      <w:r>
        <w:rPr>
          <w:rFonts w:ascii="Times New Roman" w:hAnsi="Times New Roman" w:cs="Times New Roman"/>
          <w:color w:val="000000" w:themeColor="text1"/>
          <w14:textFill>
            <w14:solidFill>
              <w14:schemeClr w14:val="tx1"/>
            </w14:solidFill>
          </w14:textFill>
        </w:rPr>
        <w:t>评价结论</w:t>
      </w:r>
      <w:bookmarkEnd w:id="718"/>
    </w:p>
    <w:p w14:paraId="4B9AC383">
      <w:pPr>
        <w:pStyle w:val="4"/>
        <w:adjustRightInd w:val="0"/>
        <w:snapToGrid w:val="0"/>
        <w:spacing w:before="120" w:after="120" w:line="240" w:lineRule="auto"/>
        <w:jc w:val="both"/>
        <w:rPr>
          <w:rFonts w:ascii="Times New Roman" w:hAnsi="Times New Roman" w:cs="Times New Roman"/>
          <w:color w:val="000000" w:themeColor="text1"/>
          <w:sz w:val="30"/>
          <w14:textFill>
            <w14:solidFill>
              <w14:schemeClr w14:val="tx1"/>
            </w14:solidFill>
          </w14:textFill>
        </w:rPr>
      </w:pPr>
      <w:bookmarkStart w:id="720" w:name="_Toc97464720"/>
      <w:bookmarkStart w:id="721" w:name="_Toc57826814"/>
      <w:bookmarkStart w:id="722" w:name="_Toc98414296"/>
      <w:bookmarkStart w:id="723" w:name="_Toc98413614"/>
      <w:bookmarkStart w:id="724" w:name="_Toc34989654"/>
      <w:r>
        <w:rPr>
          <w:rFonts w:ascii="Times New Roman" w:hAnsi="Times New Roman" w:cs="Times New Roman"/>
          <w:color w:val="000000" w:themeColor="text1"/>
          <w:sz w:val="30"/>
          <w14:textFill>
            <w14:solidFill>
              <w14:schemeClr w14:val="tx1"/>
            </w14:solidFill>
          </w14:textFill>
        </w:rPr>
        <w:t>10.2.1大气环境质量现状</w:t>
      </w:r>
      <w:bookmarkEnd w:id="720"/>
      <w:bookmarkEnd w:id="721"/>
      <w:bookmarkEnd w:id="722"/>
      <w:bookmarkEnd w:id="723"/>
      <w:bookmarkEnd w:id="724"/>
    </w:p>
    <w:p w14:paraId="0B4B49A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项目所在区域2022年</w:t>
      </w:r>
      <w:r>
        <w:rPr>
          <w:rFonts w:ascii="Times New Roman" w:hAnsi="Times New Roman" w:cs="Times New Roman"/>
          <w:snapToGrid w:val="0"/>
          <w:color w:val="000000" w:themeColor="text1"/>
          <w14:textFill>
            <w14:solidFill>
              <w14:schemeClr w14:val="tx1"/>
            </w14:solidFill>
          </w14:textFill>
        </w:rPr>
        <w:t>PM</w:t>
      </w:r>
      <w:r>
        <w:rPr>
          <w:rFonts w:ascii="Times New Roman" w:hAnsi="Times New Roman" w:cs="Times New Roman"/>
          <w:snapToGrid w:val="0"/>
          <w:color w:val="000000" w:themeColor="text1"/>
          <w:vertAlign w:val="subscript"/>
          <w14:textFill>
            <w14:solidFill>
              <w14:schemeClr w14:val="tx1"/>
            </w14:solidFill>
          </w14:textFill>
        </w:rPr>
        <w:t>2.5</w:t>
      </w:r>
      <w:r>
        <w:rPr>
          <w:rFonts w:ascii="Times New Roman" w:hAnsi="Times New Roman" w:cs="Times New Roman"/>
          <w:snapToGrid w:val="0"/>
          <w:color w:val="000000" w:themeColor="text1"/>
          <w14:textFill>
            <w14:solidFill>
              <w14:schemeClr w14:val="tx1"/>
            </w14:solidFill>
          </w14:textFill>
        </w:rPr>
        <w:t>和PM</w:t>
      </w:r>
      <w:r>
        <w:rPr>
          <w:rFonts w:ascii="Times New Roman" w:hAnsi="Times New Roman" w:cs="Times New Roman"/>
          <w:snapToGrid w:val="0"/>
          <w:color w:val="000000" w:themeColor="text1"/>
          <w:vertAlign w:val="subscript"/>
          <w14:textFill>
            <w14:solidFill>
              <w14:schemeClr w14:val="tx1"/>
            </w14:solidFill>
          </w14:textFill>
        </w:rPr>
        <w:t>10</w:t>
      </w:r>
      <w:r>
        <w:rPr>
          <w:rFonts w:ascii="Times New Roman" w:hAnsi="Times New Roman" w:cs="Times New Roman"/>
          <w:snapToGrid w:val="0"/>
          <w:color w:val="000000" w:themeColor="text1"/>
          <w14:textFill>
            <w14:solidFill>
              <w14:schemeClr w14:val="tx1"/>
            </w14:solidFill>
          </w14:textFill>
        </w:rPr>
        <w:t>超标，原因主要是项目区处于新疆南疆地区，当地浮尘天气、干旱气候和自然本底高所致。</w:t>
      </w:r>
    </w:p>
    <w:p w14:paraId="6255C6C3">
      <w:pPr>
        <w:keepNext/>
        <w:keepLines/>
        <w:adjustRightInd w:val="0"/>
        <w:snapToGrid w:val="0"/>
        <w:spacing w:before="120" w:beforeLines="50" w:after="120"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725" w:name="_Toc98414298"/>
      <w:bookmarkStart w:id="726" w:name="_Toc57826815"/>
      <w:bookmarkStart w:id="727" w:name="_Toc34989656"/>
      <w:bookmarkStart w:id="728" w:name="_Toc98413616"/>
      <w:bookmarkStart w:id="729" w:name="_Toc97464722"/>
      <w:r>
        <w:rPr>
          <w:rFonts w:ascii="Times New Roman" w:hAnsi="Times New Roman" w:cs="Times New Roman"/>
          <w:b/>
          <w:bCs/>
          <w:color w:val="000000" w:themeColor="text1"/>
          <w:sz w:val="30"/>
          <w:szCs w:val="32"/>
          <w14:textFill>
            <w14:solidFill>
              <w14:schemeClr w14:val="tx1"/>
            </w14:solidFill>
          </w14:textFill>
        </w:rPr>
        <w:t>10.2.2声环境质量现状</w:t>
      </w:r>
      <w:bookmarkEnd w:id="725"/>
      <w:bookmarkEnd w:id="726"/>
      <w:bookmarkEnd w:id="727"/>
      <w:bookmarkEnd w:id="728"/>
      <w:bookmarkEnd w:id="729"/>
    </w:p>
    <w:p w14:paraId="0FB7160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拟建公路区域声昼间和夜间声环境满足《声环境质量标准》（GB3096-2008）中的2类标准，声环境质量良好。</w:t>
      </w:r>
    </w:p>
    <w:p w14:paraId="7DD52005">
      <w:pPr>
        <w:keepNext/>
        <w:keepLines/>
        <w:adjustRightInd w:val="0"/>
        <w:snapToGrid w:val="0"/>
        <w:spacing w:before="120" w:beforeLines="50" w:after="120" w:afterLines="50"/>
        <w:jc w:val="both"/>
        <w:outlineLvl w:val="2"/>
        <w:rPr>
          <w:rFonts w:ascii="Times New Roman" w:hAnsi="Times New Roman" w:cs="Times New Roman"/>
          <w:b/>
          <w:bCs/>
          <w:color w:val="000000" w:themeColor="text1"/>
          <w:sz w:val="30"/>
          <w:szCs w:val="32"/>
          <w14:textFill>
            <w14:solidFill>
              <w14:schemeClr w14:val="tx1"/>
            </w14:solidFill>
          </w14:textFill>
        </w:rPr>
      </w:pPr>
      <w:r>
        <w:rPr>
          <w:rFonts w:ascii="Times New Roman" w:hAnsi="Times New Roman" w:cs="Times New Roman"/>
          <w:b/>
          <w:bCs/>
          <w:color w:val="000000" w:themeColor="text1"/>
          <w:sz w:val="30"/>
          <w:szCs w:val="32"/>
          <w14:textFill>
            <w14:solidFill>
              <w14:schemeClr w14:val="tx1"/>
            </w14:solidFill>
          </w14:textFill>
        </w:rPr>
        <w:t>10.2.3</w:t>
      </w:r>
      <w:r>
        <w:rPr>
          <w:rFonts w:hint="eastAsia" w:ascii="Times New Roman" w:hAnsi="Times New Roman" w:cs="Times New Roman"/>
          <w:b/>
          <w:bCs/>
          <w:color w:val="000000" w:themeColor="text1"/>
          <w:sz w:val="30"/>
          <w:szCs w:val="32"/>
          <w14:textFill>
            <w14:solidFill>
              <w14:schemeClr w14:val="tx1"/>
            </w14:solidFill>
          </w14:textFill>
        </w:rPr>
        <w:t>地表水</w:t>
      </w:r>
      <w:r>
        <w:rPr>
          <w:rFonts w:ascii="Times New Roman" w:hAnsi="Times New Roman" w:cs="Times New Roman"/>
          <w:b/>
          <w:bCs/>
          <w:color w:val="000000" w:themeColor="text1"/>
          <w:sz w:val="30"/>
          <w:szCs w:val="32"/>
          <w14:textFill>
            <w14:solidFill>
              <w14:schemeClr w14:val="tx1"/>
            </w14:solidFill>
          </w14:textFill>
        </w:rPr>
        <w:t>环境现状</w:t>
      </w:r>
    </w:p>
    <w:p w14:paraId="743A6E54">
      <w:pPr>
        <w:spacing w:line="360" w:lineRule="auto"/>
        <w:ind w:firstLine="480" w:firstLineChars="200"/>
        <w:jc w:val="both"/>
        <w:rPr>
          <w:rFonts w:ascii="Times New Roman" w:hAnsi="Times New Roman" w:cs="Times New Roman"/>
          <w:color w:val="000000" w:themeColor="text1"/>
          <w:spacing w:val="-8"/>
          <w14:textFill>
            <w14:solidFill>
              <w14:schemeClr w14:val="tx1"/>
            </w14:solidFill>
          </w14:textFill>
        </w:rPr>
      </w:pPr>
      <w:r>
        <w:rPr>
          <w:rFonts w:hint="eastAsia" w:cs="Times New Roman"/>
          <w:color w:val="000000" w:themeColor="text1"/>
          <w:szCs w:val="20"/>
          <w14:textFill>
            <w14:solidFill>
              <w14:schemeClr w14:val="tx1"/>
            </w14:solidFill>
          </w14:textFill>
        </w:rPr>
        <w:t>盖孜河</w:t>
      </w:r>
      <w:r>
        <w:rPr>
          <w:color w:val="000000" w:themeColor="text1"/>
          <w14:textFill>
            <w14:solidFill>
              <w14:schemeClr w14:val="tx1"/>
            </w14:solidFill>
          </w14:textFill>
        </w:rPr>
        <w:t>各项</w:t>
      </w:r>
      <w:r>
        <w:rPr>
          <w:rFonts w:hint="eastAsia" w:cs="Times New Roman"/>
          <w:color w:val="000000" w:themeColor="text1"/>
          <w:szCs w:val="20"/>
          <w14:textFill>
            <w14:solidFill>
              <w14:schemeClr w14:val="tx1"/>
            </w14:solidFill>
          </w14:textFill>
        </w:rPr>
        <w:t>水质</w:t>
      </w:r>
      <w:r>
        <w:rPr>
          <w:rFonts w:hint="eastAsia"/>
          <w:color w:val="000000" w:themeColor="text1"/>
          <w14:textFill>
            <w14:solidFill>
              <w14:schemeClr w14:val="tx1"/>
            </w14:solidFill>
          </w14:textFill>
        </w:rPr>
        <w:t>监测指标均</w:t>
      </w:r>
      <w:r>
        <w:rPr>
          <w:color w:val="000000" w:themeColor="text1"/>
          <w14:textFill>
            <w14:solidFill>
              <w14:schemeClr w14:val="tx1"/>
            </w14:solidFill>
          </w14:textFill>
        </w:rPr>
        <w:t>能够</w:t>
      </w:r>
      <w:r>
        <w:rPr>
          <w:rFonts w:hint="eastAsia"/>
          <w:color w:val="000000" w:themeColor="text1"/>
          <w14:textFill>
            <w14:solidFill>
              <w14:schemeClr w14:val="tx1"/>
            </w14:solidFill>
          </w14:textFill>
        </w:rPr>
        <w:t>满足</w:t>
      </w:r>
      <w:r>
        <w:rPr>
          <w:color w:val="000000" w:themeColor="text1"/>
          <w14:textFill>
            <w14:solidFill>
              <w14:schemeClr w14:val="tx1"/>
            </w14:solidFill>
          </w14:textFill>
        </w:rPr>
        <w:t>《地表水环境质量标准》（GB 3838-2002）中的II类标准要求。</w:t>
      </w:r>
    </w:p>
    <w:p w14:paraId="00A778F1">
      <w:pPr>
        <w:keepNext/>
        <w:keepLines/>
        <w:adjustRightInd w:val="0"/>
        <w:snapToGrid w:val="0"/>
        <w:spacing w:before="120" w:beforeLines="50" w:after="120"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730" w:name="_Toc98413617"/>
      <w:bookmarkStart w:id="731" w:name="_Toc57826816"/>
      <w:bookmarkStart w:id="732" w:name="_Toc97464723"/>
      <w:bookmarkStart w:id="733" w:name="_Toc34989657"/>
      <w:bookmarkStart w:id="734" w:name="_Toc98414299"/>
      <w:r>
        <w:rPr>
          <w:rFonts w:ascii="Times New Roman" w:hAnsi="Times New Roman" w:cs="Times New Roman"/>
          <w:b/>
          <w:bCs/>
          <w:color w:val="000000" w:themeColor="text1"/>
          <w:sz w:val="30"/>
          <w:szCs w:val="32"/>
          <w14:textFill>
            <w14:solidFill>
              <w14:schemeClr w14:val="tx1"/>
            </w14:solidFill>
          </w14:textFill>
        </w:rPr>
        <w:t>10.2.4生态环境现状</w:t>
      </w:r>
      <w:bookmarkEnd w:id="730"/>
      <w:bookmarkEnd w:id="731"/>
      <w:bookmarkEnd w:id="732"/>
      <w:bookmarkEnd w:id="733"/>
      <w:bookmarkEnd w:id="734"/>
    </w:p>
    <w:p w14:paraId="33D762BC">
      <w:pPr>
        <w:topLinePunct/>
        <w:spacing w:line="360" w:lineRule="auto"/>
        <w:ind w:firstLine="480" w:firstLineChars="200"/>
        <w:jc w:val="both"/>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（1）陆生植物</w:t>
      </w:r>
    </w:p>
    <w:p w14:paraId="68F38E14">
      <w:pPr>
        <w:topLinePunct/>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通过现场调查沿线主要为白杨树、桃树等乔木、柽柳、假木贼、芦苇、碱蓬、滨藜、琵琶柴等植被，芦苇的可食性差，属劣等牧草，根据《全国重点牧区草场资源调查大纲和技术规程》中的五等八级标准，项目区荒草地划入五等八级草场。植被分布相对较为稀疏且分布极不均匀，总体覆盖度相对很低，生物量取值</w:t>
      </w:r>
      <w:r>
        <w:rPr>
          <w:color w:val="000000" w:themeColor="text1"/>
          <w14:textFill>
            <w14:solidFill>
              <w14:schemeClr w14:val="tx1"/>
            </w14:solidFill>
          </w14:textFill>
        </w:rPr>
        <w:t>75</w:t>
      </w:r>
      <w:r>
        <w:rPr>
          <w:rFonts w:hint="eastAsia"/>
          <w:color w:val="000000" w:themeColor="text1"/>
          <w14:textFill>
            <w14:solidFill>
              <w14:schemeClr w14:val="tx1"/>
            </w14:solidFill>
          </w14:textFill>
        </w:rPr>
        <w:t>0kg/hm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。植物区系多为灌丛、低地草甸、荒漠植物和绿洲人工种植植物为主，未见珍稀濒危植物分布。</w:t>
      </w:r>
    </w:p>
    <w:p w14:paraId="629E7B0E">
      <w:pPr>
        <w:topLinePunct/>
        <w:spacing w:line="360" w:lineRule="auto"/>
        <w:ind w:firstLine="480" w:firstLineChars="200"/>
        <w:jc w:val="both"/>
        <w:rPr>
          <w:color w:val="000000" w:themeColor="text1"/>
          <w:szCs w:val="20"/>
          <w14:textFill>
            <w14:solidFill>
              <w14:schemeClr w14:val="tx1"/>
            </w14:solidFill>
          </w14:textFill>
        </w:rPr>
      </w:pPr>
      <w:r>
        <w:rPr>
          <w:rFonts w:hint="eastAsia"/>
          <w:color w:val="000000" w:themeColor="text1"/>
          <w:szCs w:val="20"/>
          <w14:textFill>
            <w14:solidFill>
              <w14:schemeClr w14:val="tx1"/>
            </w14:solidFill>
          </w14:textFill>
        </w:rPr>
        <w:t>（2）陆生动物</w:t>
      </w:r>
    </w:p>
    <w:p w14:paraId="74E3ABE3">
      <w:pPr>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喀什噶尔河流域上游山区及部分平原区在野生动物地理区划上属于古北界、中亚亚界、哈萨克斯坦区、天山山地亚区、昆仑-阿尔金山小区、南天山小区，动物种群有着蒙新区至青藏区过渡的类型特点；下游局部平原区野生动物地理区划上属于古北界、中亚亚界、蒙新区、西部荒漠亚区的塔里木盆地小区。项目区位于人类活动频繁区域，</w:t>
      </w:r>
      <w:r>
        <w:rPr>
          <w:rFonts w:hint="eastAsia"/>
          <w:color w:val="000000" w:themeColor="text1"/>
          <w14:textFill>
            <w14:solidFill>
              <w14:schemeClr w14:val="tx1"/>
            </w14:solidFill>
          </w14:textFill>
        </w:rPr>
        <w:t>根据现场访问调查，工程占地范围及评价范围内未发现国家及新疆维吾尔自治区重点保护野生动物。区域无上述陆生动物的天然集中分布区和栖息地；也没有迁徙鸟类的重要繁殖地、停歇地和越冬地；也没有野生动物的迁徙通道。</w:t>
      </w:r>
    </w:p>
    <w:p w14:paraId="5D462191">
      <w:pPr>
        <w:spacing w:line="360" w:lineRule="auto"/>
        <w:ind w:firstLine="480"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（3）水生动物</w:t>
      </w:r>
    </w:p>
    <w:p w14:paraId="6682AC7D">
      <w:pPr>
        <w:pStyle w:val="6"/>
        <w:kinsoku w:val="0"/>
        <w:overflowPunct w:val="0"/>
        <w:spacing w:after="0" w:line="360" w:lineRule="auto"/>
        <w:ind w:firstLine="480" w:firstLineChars="200"/>
        <w:jc w:val="both"/>
        <w:rPr>
          <w:rFonts w:ascii="Times New Roman" w:hAnsi="Times New Roman" w:cs="Times New Roman"/>
          <w:snapToGrid w:val="0"/>
          <w:color w:val="000000" w:themeColor="text1"/>
          <w:kern w:val="2"/>
          <w:lang w:val="zh-CN"/>
          <w14:textFill>
            <w14:solidFill>
              <w14:schemeClr w14:val="tx1"/>
            </w14:solidFill>
          </w14:textFill>
        </w:rPr>
      </w:pPr>
      <w:r>
        <w:rPr>
          <w:rFonts w:hint="eastAsia"/>
          <w:color w:val="000000" w:themeColor="text1"/>
          <w14:textFill>
            <w14:solidFill>
              <w14:schemeClr w14:val="tx1"/>
            </w14:solidFill>
          </w14:textFill>
        </w:rPr>
        <w:t>工程涉水河道水流缓慢，项目区河段仅有极少量鱼类，也未发现鱼类重要生境。工程区及周边区域范围内水流相对缓慢，未发现鱼类产卵场、索饵场及越冬场。</w:t>
      </w:r>
    </w:p>
    <w:p w14:paraId="3E201811">
      <w:pPr>
        <w:pStyle w:val="3"/>
        <w:adjustRightInd w:val="0"/>
        <w:snapToGrid w:val="0"/>
        <w:spacing w:before="120" w:after="120" w:line="240" w:lineRule="auto"/>
        <w:rPr>
          <w:rFonts w:ascii="Times New Roman" w:hAnsi="Times New Roman" w:cs="Times New Roman"/>
          <w:color w:val="000000" w:themeColor="text1"/>
          <w14:textFill>
            <w14:solidFill>
              <w14:schemeClr w14:val="tx1"/>
            </w14:solidFill>
          </w14:textFill>
        </w:rPr>
      </w:pPr>
      <w:bookmarkStart w:id="735" w:name="_Toc4507882"/>
      <w:bookmarkStart w:id="736" w:name="_Toc98413618"/>
      <w:bookmarkStart w:id="737" w:name="_Toc187675453"/>
      <w:r>
        <w:rPr>
          <w:rFonts w:ascii="Times New Roman" w:hAnsi="Times New Roman" w:cs="Times New Roman"/>
          <w:color w:val="000000" w:themeColor="text1"/>
          <w14:textFill>
            <w14:solidFill>
              <w14:schemeClr w14:val="tx1"/>
            </w14:solidFill>
          </w14:textFill>
        </w:rPr>
        <w:t>10.3环境影响</w:t>
      </w:r>
      <w:bookmarkEnd w:id="735"/>
      <w:bookmarkEnd w:id="736"/>
      <w:r>
        <w:rPr>
          <w:rFonts w:ascii="Times New Roman" w:hAnsi="Times New Roman" w:cs="Times New Roman"/>
          <w:color w:val="000000" w:themeColor="text1"/>
          <w14:textFill>
            <w14:solidFill>
              <w14:schemeClr w14:val="tx1"/>
            </w14:solidFill>
          </w14:textFill>
        </w:rPr>
        <w:t>及环保措施</w:t>
      </w:r>
      <w:bookmarkEnd w:id="737"/>
    </w:p>
    <w:p w14:paraId="70482A27">
      <w:pPr>
        <w:keepNext/>
        <w:keepLines/>
        <w:adjustRightInd w:val="0"/>
        <w:snapToGrid w:val="0"/>
        <w:spacing w:before="120" w:beforeLines="50" w:after="120" w:afterLines="50"/>
        <w:outlineLvl w:val="2"/>
        <w:rPr>
          <w:rFonts w:ascii="Times New Roman" w:hAnsi="Times New Roman" w:cs="Times New Roman"/>
          <w:b/>
          <w:bCs/>
          <w:color w:val="000000" w:themeColor="text1"/>
          <w:sz w:val="30"/>
          <w:szCs w:val="32"/>
          <w14:textFill>
            <w14:solidFill>
              <w14:schemeClr w14:val="tx1"/>
            </w14:solidFill>
          </w14:textFill>
        </w:rPr>
      </w:pPr>
      <w:bookmarkStart w:id="738" w:name="_Toc57826818"/>
      <w:bookmarkStart w:id="739" w:name="_Toc98414301"/>
      <w:bookmarkStart w:id="740" w:name="_Toc34989659"/>
      <w:bookmarkStart w:id="741" w:name="_Toc98413619"/>
      <w:bookmarkStart w:id="742" w:name="_Toc97464725"/>
      <w:r>
        <w:rPr>
          <w:rFonts w:ascii="Times New Roman" w:hAnsi="Times New Roman" w:cs="Times New Roman"/>
          <w:b/>
          <w:bCs/>
          <w:color w:val="000000" w:themeColor="text1"/>
          <w:sz w:val="30"/>
          <w:szCs w:val="32"/>
          <w14:textFill>
            <w14:solidFill>
              <w14:schemeClr w14:val="tx1"/>
            </w14:solidFill>
          </w14:textFill>
        </w:rPr>
        <w:t>10.3.1大气环境影响</w:t>
      </w:r>
      <w:bookmarkEnd w:id="738"/>
      <w:bookmarkEnd w:id="739"/>
      <w:bookmarkEnd w:id="740"/>
      <w:bookmarkEnd w:id="741"/>
      <w:bookmarkEnd w:id="742"/>
      <w:r>
        <w:rPr>
          <w:rFonts w:ascii="Times New Roman" w:hAnsi="Times New Roman" w:cs="Times New Roman"/>
          <w:b/>
          <w:bCs/>
          <w:color w:val="000000" w:themeColor="text1"/>
          <w:sz w:val="30"/>
          <w:szCs w:val="32"/>
          <w14:textFill>
            <w14:solidFill>
              <w14:schemeClr w14:val="tx1"/>
            </w14:solidFill>
          </w14:textFill>
        </w:rPr>
        <w:t>及环保措施</w:t>
      </w:r>
    </w:p>
    <w:p w14:paraId="1B85FC2D">
      <w:pPr>
        <w:pStyle w:val="5"/>
        <w:keepLines/>
        <w:topLinePunct/>
        <w:autoSpaceDE/>
        <w:adjustRightInd/>
        <w:spacing w:before="100" w:beforeLines="0" w:beforeAutospacing="1" w:after="120"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10.3.1.1施工期</w:t>
      </w:r>
    </w:p>
    <w:bookmarkEnd w:id="719"/>
    <w:p w14:paraId="7E28144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bookmarkStart w:id="743" w:name="bookmark62"/>
      <w:bookmarkEnd w:id="743"/>
      <w:r>
        <w:rPr>
          <w:rFonts w:ascii="Times New Roman" w:hAnsi="Times New Roman" w:cs="Times New Roman"/>
          <w:snapToGrid w:val="0"/>
          <w:color w:val="000000" w:themeColor="text1"/>
          <w14:textFill>
            <w14:solidFill>
              <w14:schemeClr w14:val="tx1"/>
            </w14:solidFill>
          </w14:textFill>
        </w:rPr>
        <w:t>（一）</w:t>
      </w:r>
      <w:r>
        <w:rPr>
          <w:rFonts w:ascii="Times New Roman" w:hAnsi="Times New Roman" w:cs="Times New Roman"/>
          <w:snapToGrid w:val="0"/>
          <w:color w:val="000000" w:themeColor="text1"/>
          <w:lang w:val="zh-CN"/>
          <w14:textFill>
            <w14:solidFill>
              <w14:schemeClr w14:val="tx1"/>
            </w14:solidFill>
          </w14:textFill>
        </w:rPr>
        <w:t>环境影响</w:t>
      </w:r>
    </w:p>
    <w:p w14:paraId="629FB286">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期的主要污染物为粉尘、扬尘和沥青烟。由于本工程施工期较长，因此它们将对沿线环境空气质量产生一定的不利影响，但影响范围不大，而且主要是短期影响。建议采取经常洒水、合理确定拌合场站的位置等适当的防护措施，以缓解工程施工对沿线环境空气质量的影响。</w:t>
      </w:r>
    </w:p>
    <w:p w14:paraId="2390B5E5">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（二）环保措施</w:t>
      </w:r>
    </w:p>
    <w:p w14:paraId="019EC54C">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（1）建设单位应合理设计材料运输路线，运输道路、施工现场尤其是稳定土拌合站，应定时洒水。</w:t>
      </w:r>
    </w:p>
    <w:p w14:paraId="4303A371">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（2）运送散装含尘物料的车辆，要用蓬布苫盖，以防物料飞扬。</w:t>
      </w:r>
    </w:p>
    <w:p w14:paraId="7DA1EDAE">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（3）施工作业时应加强洒水降尘。</w:t>
      </w:r>
    </w:p>
    <w:p w14:paraId="48282A64">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（4）</w:t>
      </w:r>
      <w:r>
        <w:rPr>
          <w:rFonts w:ascii="Times New Roman" w:hAnsi="Times New Roman" w:cs="Times New Roman"/>
          <w:snapToGrid w:val="0"/>
          <w:color w:val="000000" w:themeColor="text1"/>
          <w:lang w:val="zh-CN"/>
          <w14:textFill>
            <w14:solidFill>
              <w14:schemeClr w14:val="tx1"/>
            </w14:solidFill>
          </w14:textFill>
        </w:rPr>
        <w:t>拌合站采取全封闭车间化生产，原材料、上料、配料、搅拌设备以及料仓存料库全封闭，砂石料拌合采用集中站拌方式，拌合站四周设置围挡防风阻尘，</w:t>
      </w:r>
      <w:r>
        <w:rPr>
          <w:rFonts w:ascii="Times New Roman" w:hAnsi="Times New Roman" w:cs="Times New Roman"/>
          <w:snapToGrid w:val="0"/>
          <w:color w:val="000000" w:themeColor="text1"/>
          <w14:textFill>
            <w14:solidFill>
              <w14:schemeClr w14:val="tx1"/>
            </w14:solidFill>
          </w14:textFill>
        </w:rPr>
        <w:t>混凝土拌合站的筒仓含尘废气经仓顶脉冲布袋除尘器处理后排放，废气中颗粒物排放浓度均满足《水泥工业大气污染物排放标准》（GB4915-2013）中表1散装水泥中转站及水泥制品生产排放限值（颗粒物≤20</w:t>
      </w:r>
      <w:r>
        <w:rPr>
          <w:rFonts w:ascii="Times New Roman" w:hAnsi="Times New Roman" w:cs="Times New Roman"/>
          <w:color w:val="000000" w:themeColor="text1"/>
          <w14:textFill>
            <w14:solidFill>
              <w14:schemeClr w14:val="tx1"/>
            </w14:solidFill>
          </w14:textFill>
        </w:rPr>
        <w:t xml:space="preserve"> 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snapToGrid w:val="0"/>
          <w:color w:val="000000" w:themeColor="text1"/>
          <w14:textFill>
            <w14:solidFill>
              <w14:schemeClr w14:val="tx1"/>
            </w14:solidFill>
          </w14:textFill>
        </w:rPr>
        <w:t>）要求。</w:t>
      </w:r>
      <w:r>
        <w:rPr>
          <w:rFonts w:ascii="Times New Roman" w:hAnsi="Times New Roman" w:cs="Times New Roman"/>
          <w:color w:val="000000" w:themeColor="text1"/>
          <w14:textFill>
            <w14:solidFill>
              <w14:schemeClr w14:val="tx1"/>
            </w14:solidFill>
          </w14:textFill>
        </w:rPr>
        <w:t>在沥青拌合站设置除尘收集装置，防治扬尘污染。沥青拌合站采用封闭式筒仓熬制沥青密闭作业，沥青烟气通过筒仓顶部排气孔排出，排气孔设置布袋除尘器。选取先进的沥青混凝土拌合设备，配备除尘设备、沥青烟净化和排放设施，保证沥青烟气达标排放，即沥青烟的排放浓度满足《大气污染物综合排放标准》（GB16297-1996）中沥青烟建筑搅拌的排放要求，即：75mg/m</w:t>
      </w:r>
      <w:r>
        <w:rPr>
          <w:rFonts w:ascii="Times New Roman" w:hAnsi="Times New Roman" w:cs="Times New Roman"/>
          <w:color w:val="000000" w:themeColor="text1"/>
          <w:vertAlign w:val="superscript"/>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w:t>
      </w:r>
    </w:p>
    <w:p w14:paraId="47EF13AC">
      <w:pPr>
        <w:pStyle w:val="5"/>
        <w:keepLines/>
        <w:topLinePunct/>
        <w:autoSpaceDE/>
        <w:adjustRightInd/>
        <w:spacing w:before="100" w:beforeLines="0" w:beforeAutospacing="1" w:after="120"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10.3.1.2营运期</w:t>
      </w:r>
    </w:p>
    <w:p w14:paraId="39D2830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（一）环境影响</w:t>
      </w:r>
    </w:p>
    <w:p w14:paraId="5BFA743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本项目营运期汽车尾气将对周边环境空气质量产生一定的影响，但影响很小，并且通过全国已建公路环境保护竣工验收调查的结果，NO</w:t>
      </w:r>
      <w:r>
        <w:rPr>
          <w:rFonts w:ascii="Times New Roman" w:hAnsi="Times New Roman" w:cs="Times New Roman"/>
          <w:snapToGrid w:val="0"/>
          <w:color w:val="000000" w:themeColor="text1"/>
          <w:vertAlign w:val="subscript"/>
          <w:lang w:val="zh-CN"/>
          <w14:textFill>
            <w14:solidFill>
              <w14:schemeClr w14:val="tx1"/>
            </w14:solidFill>
          </w14:textFill>
        </w:rPr>
        <w:t>2</w:t>
      </w:r>
      <w:r>
        <w:rPr>
          <w:rFonts w:ascii="Times New Roman" w:hAnsi="Times New Roman" w:cs="Times New Roman"/>
          <w:snapToGrid w:val="0"/>
          <w:color w:val="000000" w:themeColor="text1"/>
          <w:lang w:val="zh-CN"/>
          <w14:textFill>
            <w14:solidFill>
              <w14:schemeClr w14:val="tx1"/>
            </w14:solidFill>
          </w14:textFill>
        </w:rPr>
        <w:t>、CO各期均不超标</w:t>
      </w:r>
      <w:r>
        <w:rPr>
          <w:rFonts w:hint="eastAsia" w:ascii="Times New Roman" w:hAnsi="Times New Roman" w:cs="Times New Roman"/>
          <w:snapToGrid w:val="0"/>
          <w:color w:val="000000" w:themeColor="text1"/>
          <w:lang w:val="zh-CN"/>
          <w14:textFill>
            <w14:solidFill>
              <w14:schemeClr w14:val="tx1"/>
            </w14:solidFill>
          </w14:textFill>
        </w:rPr>
        <w:t>，随着汽车设计和制造技术的进步以及不断采用清洁能源可以有效缓解汽车尾气污染。</w:t>
      </w:r>
    </w:p>
    <w:p w14:paraId="32488046">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（二）环保措施</w:t>
      </w:r>
    </w:p>
    <w:p w14:paraId="226DDCAA">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（1）加强公路管理及路面养护，保持公路良好营运状态，减少塞车现象。</w:t>
      </w:r>
    </w:p>
    <w:p w14:paraId="6BB73A6D">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（2）严格执行汽车排放车检制度，加强检车管理，严格检车规程，限制尾气排放严重超标及车况不好的车辆上路。</w:t>
      </w:r>
    </w:p>
    <w:p w14:paraId="6F494B2D">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（3）加强运输散装物资如煤、水泥、砂石材料等车辆的管理，运送上述物品需加盖蓬布。</w:t>
      </w:r>
    </w:p>
    <w:p w14:paraId="69D5E69F">
      <w:pPr>
        <w:keepNext/>
        <w:keepLines/>
        <w:adjustRightInd w:val="0"/>
        <w:snapToGrid w:val="0"/>
        <w:spacing w:before="120" w:beforeLines="50" w:after="120" w:afterLines="50"/>
        <w:outlineLvl w:val="2"/>
        <w:rPr>
          <w:rFonts w:ascii="Times New Roman" w:hAnsi="Times New Roman" w:cs="Times New Roman"/>
          <w:b/>
          <w:bCs/>
          <w:color w:val="000000" w:themeColor="text1"/>
          <w:sz w:val="30"/>
          <w:szCs w:val="32"/>
          <w14:textFill>
            <w14:solidFill>
              <w14:schemeClr w14:val="tx1"/>
            </w14:solidFill>
          </w14:textFill>
        </w:rPr>
      </w:pPr>
      <w:bookmarkStart w:id="744" w:name="_Toc57826819"/>
      <w:bookmarkStart w:id="745" w:name="_Toc97464726"/>
      <w:bookmarkStart w:id="746" w:name="_Toc98413620"/>
      <w:bookmarkStart w:id="747" w:name="_Toc34989660"/>
      <w:r>
        <w:rPr>
          <w:rFonts w:ascii="Times New Roman" w:hAnsi="Times New Roman" w:cs="Times New Roman"/>
          <w:b/>
          <w:bCs/>
          <w:color w:val="000000" w:themeColor="text1"/>
          <w:sz w:val="30"/>
          <w:szCs w:val="32"/>
          <w14:textFill>
            <w14:solidFill>
              <w14:schemeClr w14:val="tx1"/>
            </w14:solidFill>
          </w14:textFill>
        </w:rPr>
        <w:t>10.3.2水环境影响</w:t>
      </w:r>
      <w:bookmarkEnd w:id="744"/>
      <w:bookmarkEnd w:id="745"/>
      <w:bookmarkEnd w:id="746"/>
      <w:bookmarkEnd w:id="747"/>
      <w:r>
        <w:rPr>
          <w:rFonts w:ascii="Times New Roman" w:hAnsi="Times New Roman" w:cs="Times New Roman"/>
          <w:b/>
          <w:bCs/>
          <w:color w:val="000000" w:themeColor="text1"/>
          <w:sz w:val="30"/>
          <w:szCs w:val="32"/>
          <w14:textFill>
            <w14:solidFill>
              <w14:schemeClr w14:val="tx1"/>
            </w14:solidFill>
          </w14:textFill>
        </w:rPr>
        <w:t>及环保措施</w:t>
      </w:r>
    </w:p>
    <w:p w14:paraId="4DFD438B">
      <w:pPr>
        <w:pStyle w:val="5"/>
        <w:keepLines/>
        <w:topLinePunct/>
        <w:autoSpaceDE/>
        <w:adjustRightInd/>
        <w:spacing w:before="100" w:beforeLines="0" w:beforeAutospacing="1" w:after="120"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10.3.2.1施工期</w:t>
      </w:r>
    </w:p>
    <w:p w14:paraId="081506EA">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（一）环境影响</w:t>
      </w:r>
    </w:p>
    <w:p w14:paraId="29B6E33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（1）施工场地废水</w:t>
      </w:r>
    </w:p>
    <w:p w14:paraId="6836EB19">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施工场地废水主要包括水稳、水泥混凝土拌合站</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预制场</w:t>
      </w:r>
      <w:r>
        <w:rPr>
          <w:rFonts w:hint="eastAsia" w:ascii="Times New Roman" w:hAnsi="Times New Roman" w:cs="Times New Roman"/>
          <w:color w:val="000000" w:themeColor="text1"/>
          <w14:textFill>
            <w14:solidFill>
              <w14:schemeClr w14:val="tx1"/>
            </w14:solidFill>
          </w14:textFill>
        </w:rPr>
        <w:t>、桥梁施工等</w:t>
      </w:r>
      <w:r>
        <w:rPr>
          <w:rFonts w:ascii="Times New Roman" w:hAnsi="Times New Roman" w:cs="Times New Roman"/>
          <w:color w:val="000000" w:themeColor="text1"/>
          <w14:textFill>
            <w14:solidFill>
              <w14:schemeClr w14:val="tx1"/>
            </w14:solidFill>
          </w14:textFill>
        </w:rPr>
        <w:t>产生的生产废水。</w:t>
      </w:r>
    </w:p>
    <w:p w14:paraId="1DE61A8A">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（2）生活污水</w:t>
      </w:r>
    </w:p>
    <w:p w14:paraId="1F94EEA9">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本项目2处自建施工综合场站内设生活区，施工人员每天会产生餐饮、洗漱、如厕的生活污水。</w:t>
      </w:r>
    </w:p>
    <w:p w14:paraId="2F948AA9">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（二）环保措施</w:t>
      </w:r>
    </w:p>
    <w:p w14:paraId="709830E3">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（1）施工场地废水：本项目拟在综合场站内设</w:t>
      </w:r>
      <w:r>
        <w:rPr>
          <w:rFonts w:ascii="Times New Roman" w:hAnsi="Times New Roman" w:cs="Times New Roman"/>
          <w:snapToGrid w:val="0"/>
          <w:color w:val="000000" w:themeColor="text1"/>
          <w14:textFill>
            <w14:solidFill>
              <w14:schemeClr w14:val="tx1"/>
            </w14:solidFill>
          </w14:textFill>
        </w:rPr>
        <w:t>多个</w:t>
      </w:r>
      <w:r>
        <w:rPr>
          <w:rFonts w:ascii="Times New Roman" w:hAnsi="Times New Roman" w:cs="Times New Roman"/>
          <w:snapToGrid w:val="0"/>
          <w:color w:val="000000" w:themeColor="text1"/>
          <w:lang w:val="zh-CN"/>
          <w14:textFill>
            <w14:solidFill>
              <w14:schemeClr w14:val="tx1"/>
            </w14:solidFill>
          </w14:textFill>
        </w:rPr>
        <w:t>沉淀池，废水由沉淀池收集，经沉淀除渣等处理后回用做降尘用水，不外排，施工结束后将沉淀池覆土掩埋，对环境影响较小。</w:t>
      </w:r>
    </w:p>
    <w:p w14:paraId="199856D9">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桥梁施工固体废物、废油、废水等可能进入水体产生不利影响。施工过程中对施工机械和施工材料加强现场管理，规范固体废物、废水排放，可避免和减缓桥梁施工对沿线地表水体的污染。</w:t>
      </w:r>
    </w:p>
    <w:p w14:paraId="04488958">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2）在公路施工期，必须加强环境管理，并将物料堆放至远离河流的一侧，尽可能减少物料的流失量，减轻对附近地表水体的污染程度，通过加强管理，可有效地减轻对水环境的影响。</w:t>
      </w:r>
    </w:p>
    <w:p w14:paraId="6DC9A58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w:t>
      </w:r>
      <w:r>
        <w:rPr>
          <w:rFonts w:ascii="Times New Roman" w:hAnsi="Times New Roman" w:cs="Times New Roman"/>
          <w:snapToGrid w:val="0"/>
          <w:color w:val="000000" w:themeColor="text1"/>
          <w:lang w:val="zh-CN"/>
          <w14:textFill>
            <w14:solidFill>
              <w14:schemeClr w14:val="tx1"/>
            </w14:solidFill>
          </w14:textFill>
        </w:rPr>
        <w:t>3）施工临时用地不得设置在拟建公路伴行的河流一侧、跨越的其他河流、冲沟等地表水体周围，施工垃圾堆放应避开并严禁倾倒至水体。施工前应对施工人员进行环保教育，提高施工人员的环保意识，确保文明施工，防止施工行为对地表水体造成不利影响。</w:t>
      </w:r>
    </w:p>
    <w:p w14:paraId="6BDFD421">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（4）生活污水：</w:t>
      </w:r>
      <w:r>
        <w:rPr>
          <w:rFonts w:ascii="Times New Roman" w:hAnsi="Times New Roman" w:cs="Times New Roman"/>
          <w:color w:val="000000" w:themeColor="text1"/>
          <w14:textFill>
            <w14:solidFill>
              <w14:schemeClr w14:val="tx1"/>
            </w14:solidFill>
          </w14:textFill>
        </w:rPr>
        <w:t>本项目2处自建施工综合场站的生活污水经一体化污水处理设施处理后，</w:t>
      </w:r>
      <w:r>
        <w:rPr>
          <w:rFonts w:hint="eastAsia" w:ascii="Times New Roman" w:hAnsi="Times New Roman" w:cs="Times New Roman"/>
          <w:color w:val="000000" w:themeColor="text1"/>
          <w14:textFill>
            <w14:solidFill>
              <w14:schemeClr w14:val="tx1"/>
            </w14:solidFill>
          </w14:textFill>
        </w:rPr>
        <w:t>用于洒水降尘</w:t>
      </w:r>
      <w:r>
        <w:rPr>
          <w:rFonts w:ascii="Times New Roman" w:hAnsi="Times New Roman" w:cs="Times New Roman"/>
          <w:color w:val="000000" w:themeColor="text1"/>
          <w14:textFill>
            <w14:solidFill>
              <w14:schemeClr w14:val="tx1"/>
            </w14:solidFill>
          </w14:textFill>
        </w:rPr>
        <w:t>。</w:t>
      </w:r>
    </w:p>
    <w:p w14:paraId="04D9D6BA">
      <w:pPr>
        <w:pStyle w:val="5"/>
        <w:keepLines/>
        <w:topLinePunct/>
        <w:autoSpaceDE/>
        <w:adjustRightInd/>
        <w:spacing w:before="100" w:beforeLines="0" w:beforeAutospacing="1" w:after="120" w:line="240" w:lineRule="auto"/>
        <w:jc w:val="both"/>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10.3.2.2营运期</w:t>
      </w:r>
    </w:p>
    <w:p w14:paraId="340F3DDE">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营运期对水环境的污染主要来自于路面或者桥面污染物随雨水径流对地表水造成的污染以及运输危险品车辆在重要水域地段发生交通事故导致的突发性水污染。</w:t>
      </w:r>
      <w:r>
        <w:rPr>
          <w:rFonts w:hint="eastAsia" w:ascii="Times New Roman" w:hAnsi="Times New Roman" w:cs="Times New Roman"/>
          <w:snapToGrid w:val="0"/>
          <w:color w:val="000000" w:themeColor="text1"/>
          <w:lang w:val="zh-CN"/>
          <w14:textFill>
            <w14:solidFill>
              <w14:schemeClr w14:val="tx1"/>
            </w14:solidFill>
          </w14:textFill>
        </w:rPr>
        <w:t xml:space="preserve">通过采取在桥梁处设置径流收集系统，加强危化品运输管理等措施，公路营运期对水环境的影响较小。 </w:t>
      </w:r>
    </w:p>
    <w:p w14:paraId="47C52C23">
      <w:pPr>
        <w:keepNext/>
        <w:keepLines/>
        <w:adjustRightInd w:val="0"/>
        <w:snapToGrid w:val="0"/>
        <w:spacing w:before="120" w:beforeLines="50" w:after="120" w:afterLines="50"/>
        <w:outlineLvl w:val="2"/>
        <w:rPr>
          <w:rFonts w:ascii="Times New Roman" w:hAnsi="Times New Roman" w:cs="Times New Roman"/>
          <w:b/>
          <w:bCs/>
          <w:color w:val="000000" w:themeColor="text1"/>
          <w:sz w:val="30"/>
          <w:szCs w:val="32"/>
          <w14:textFill>
            <w14:solidFill>
              <w14:schemeClr w14:val="tx1"/>
            </w14:solidFill>
          </w14:textFill>
        </w:rPr>
      </w:pPr>
      <w:bookmarkStart w:id="748" w:name="_Toc97464727"/>
      <w:bookmarkStart w:id="749" w:name="_Toc34989661"/>
      <w:bookmarkStart w:id="750" w:name="_Toc98414303"/>
      <w:bookmarkStart w:id="751" w:name="_Toc98413621"/>
      <w:bookmarkStart w:id="752" w:name="_Toc57826820"/>
      <w:r>
        <w:rPr>
          <w:rFonts w:ascii="Times New Roman" w:hAnsi="Times New Roman" w:cs="Times New Roman"/>
          <w:b/>
          <w:bCs/>
          <w:color w:val="000000" w:themeColor="text1"/>
          <w:sz w:val="30"/>
          <w:szCs w:val="32"/>
          <w14:textFill>
            <w14:solidFill>
              <w14:schemeClr w14:val="tx1"/>
            </w14:solidFill>
          </w14:textFill>
        </w:rPr>
        <w:t>10.3.3声环境影响</w:t>
      </w:r>
      <w:bookmarkEnd w:id="748"/>
      <w:bookmarkEnd w:id="749"/>
      <w:bookmarkEnd w:id="750"/>
      <w:bookmarkEnd w:id="751"/>
      <w:bookmarkEnd w:id="752"/>
      <w:r>
        <w:rPr>
          <w:rFonts w:ascii="Times New Roman" w:hAnsi="Times New Roman" w:cs="Times New Roman"/>
          <w:b/>
          <w:bCs/>
          <w:color w:val="000000" w:themeColor="text1"/>
          <w:sz w:val="30"/>
          <w:szCs w:val="32"/>
          <w14:textFill>
            <w14:solidFill>
              <w14:schemeClr w14:val="tx1"/>
            </w14:solidFill>
          </w14:textFill>
        </w:rPr>
        <w:t>及环保措施</w:t>
      </w:r>
    </w:p>
    <w:p w14:paraId="723B2748">
      <w:pPr>
        <w:pStyle w:val="5"/>
        <w:keepLines/>
        <w:topLinePunct/>
        <w:autoSpaceDE/>
        <w:adjustRightInd/>
        <w:spacing w:before="100" w:beforeLines="0" w:beforeAutospacing="1" w:after="120"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10.3.2.1施工期</w:t>
      </w:r>
    </w:p>
    <w:p w14:paraId="625EFCED">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（一）环境影响</w:t>
      </w:r>
    </w:p>
    <w:p w14:paraId="7119EF07">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公路建设施工阶段的噪声主要来自于施工过程中施工机械和运输车辆产生的噪声。根据预测，施工机械和运输车辆多台机械设备同时运转时，产生的最大噪声是发生在路面施工阶段，昼间要在距离施工现场200m以外、夜间要在距离施工现场1100m以外，噪声才可以满足《建筑施工场界环境噪声排放标准》（GB12523-2011）标准要求，本项目沿线有居民点，</w:t>
      </w:r>
      <w:r>
        <w:rPr>
          <w:rFonts w:hint="eastAsia" w:ascii="Times New Roman" w:hAnsi="Times New Roman" w:cs="Times New Roman"/>
          <w:snapToGrid w:val="0"/>
          <w:color w:val="000000" w:themeColor="text1"/>
          <w14:textFill>
            <w14:solidFill>
              <w14:schemeClr w14:val="tx1"/>
            </w14:solidFill>
          </w14:textFill>
        </w:rPr>
        <w:t>施工时应采取措施，避免夜间施工，总体而言，施工时</w:t>
      </w:r>
      <w:r>
        <w:rPr>
          <w:rFonts w:ascii="Times New Roman" w:hAnsi="Times New Roman" w:cs="Times New Roman"/>
          <w:snapToGrid w:val="0"/>
          <w:color w:val="000000" w:themeColor="text1"/>
          <w:lang w:val="zh-CN"/>
          <w14:textFill>
            <w14:solidFill>
              <w14:schemeClr w14:val="tx1"/>
            </w14:solidFill>
          </w14:textFill>
        </w:rPr>
        <w:t>产生的噪声影响较小。</w:t>
      </w:r>
    </w:p>
    <w:p w14:paraId="0AF3E512">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（二）环保措施</w:t>
      </w:r>
    </w:p>
    <w:p w14:paraId="49A78B07">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合理布局施工现场、合理安排施工作业时间、合理安排施工运输车辆的行走路线和行走时间、合理选择施工机械设备、做好宣传工作，倡导科学管理和文明施工、加强环境管理，接受环保部门环境监督、施工单位需贯彻各项施工管理制度、施工人员注意劳动保护。</w:t>
      </w:r>
    </w:p>
    <w:p w14:paraId="3B8D5AD1">
      <w:pPr>
        <w:pStyle w:val="5"/>
        <w:snapToGrid w:val="0"/>
        <w:spacing w:before="120" w:after="120" w:line="240" w:lineRule="auto"/>
        <w:jc w:val="both"/>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10.3.2.2营运期</w:t>
      </w:r>
    </w:p>
    <w:p w14:paraId="38E1E482">
      <w:pPr>
        <w:spacing w:line="360" w:lineRule="auto"/>
        <w:ind w:firstLine="480" w:firstLineChars="200"/>
        <w:jc w:val="both"/>
        <w:rPr>
          <w:rFonts w:ascii="Times New Roman" w:hAnsi="Times New Roman" w:cs="Times New Roman"/>
          <w:color w:val="000000" w:themeColor="text1"/>
          <w:szCs w:val="28"/>
          <w14:textFill>
            <w14:solidFill>
              <w14:schemeClr w14:val="tx1"/>
            </w14:solidFill>
          </w14:textFill>
        </w:rPr>
      </w:pPr>
      <w:r>
        <w:rPr>
          <w:rFonts w:ascii="Times New Roman" w:hAnsi="Times New Roman" w:cs="Times New Roman"/>
          <w:color w:val="000000" w:themeColor="text1"/>
          <w:szCs w:val="28"/>
          <w14:textFill>
            <w14:solidFill>
              <w14:schemeClr w14:val="tx1"/>
            </w14:solidFill>
          </w14:textFill>
        </w:rPr>
        <w:t>（一）环境影响</w:t>
      </w:r>
    </w:p>
    <w:p w14:paraId="4D082E3C">
      <w:pPr>
        <w:spacing w:line="360" w:lineRule="auto"/>
        <w:ind w:firstLine="480" w:firstLineChars="200"/>
        <w:jc w:val="both"/>
        <w:rPr>
          <w:rFonts w:ascii="Times New Roman" w:hAnsi="Times New Roman" w:cs="Times New Roman"/>
          <w:color w:val="000000" w:themeColor="text1"/>
          <w:lang w:val="en-GB"/>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w:t>
      </w:r>
      <w:r>
        <w:rPr>
          <w:rFonts w:ascii="Times New Roman" w:hAnsi="Times New Roman" w:cs="Times New Roman"/>
          <w:color w:val="000000" w:themeColor="text1"/>
          <w:lang w:val="en-GB"/>
          <w14:textFill>
            <w14:solidFill>
              <w14:schemeClr w14:val="tx1"/>
            </w14:solidFill>
          </w14:textFill>
        </w:rPr>
        <w:t>运行期的噪声主要为车辆发动机噪声、车辆行驶产生的噪声。采用《</w:t>
      </w:r>
      <w:r>
        <w:rPr>
          <w:rFonts w:ascii="Times New Roman" w:hAnsi="Times New Roman" w:cs="Times New Roman"/>
          <w:color w:val="000000" w:themeColor="text1"/>
          <w14:textFill>
            <w14:solidFill>
              <w14:schemeClr w14:val="tx1"/>
            </w14:solidFill>
          </w14:textFill>
        </w:rPr>
        <w:t>环境影响评价技术导则 公路建设项目</w:t>
      </w:r>
      <w:r>
        <w:rPr>
          <w:rFonts w:ascii="Times New Roman" w:hAnsi="Times New Roman" w:cs="Times New Roman"/>
          <w:color w:val="000000" w:themeColor="text1"/>
          <w:lang w:val="en-GB"/>
          <w14:textFill>
            <w14:solidFill>
              <w14:schemeClr w14:val="tx1"/>
            </w14:solidFill>
          </w14:textFill>
        </w:rPr>
        <w:t>》（HJ 1358—2024）中公路交通噪声预测模型进行预测。</w:t>
      </w:r>
    </w:p>
    <w:p w14:paraId="4DE299EC">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根据预测结果，按照4a类标准，营运期近期2026年昼间、夜间达标距离均为距离道路中心线小于20m；中期2032年昼间、夜间达标距离为距离道路中心线小于20m；远期2040年昼间、夜间达标距离为距离道路中心线小于20m。</w:t>
      </w:r>
    </w:p>
    <w:p w14:paraId="0937E2AE">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按照2类标准，</w:t>
      </w:r>
      <w:r>
        <w:rPr>
          <w:rFonts w:hint="eastAsia" w:ascii="Times New Roman" w:hAnsi="Times New Roman" w:cs="Times New Roman"/>
          <w:color w:val="000000" w:themeColor="text1"/>
          <w14:textFill>
            <w14:solidFill>
              <w14:schemeClr w14:val="tx1"/>
            </w14:solidFill>
          </w14:textFill>
        </w:rPr>
        <w:t>营运期近期</w:t>
      </w:r>
      <w:r>
        <w:rPr>
          <w:rFonts w:ascii="Times New Roman" w:hAnsi="Times New Roman" w:cs="Times New Roman"/>
          <w:color w:val="000000" w:themeColor="text1"/>
          <w14:textFill>
            <w14:solidFill>
              <w14:schemeClr w14:val="tx1"/>
            </w14:solidFill>
          </w14:textFill>
        </w:rPr>
        <w:t>2026年昼间、夜间达标距离均为距离道路中心线小于20m；中期2032年昼间、夜间达标距离为距离道路中心线小于20m；远期2040年昼间、夜间达标距离为距离道路中心线小于20m。</w:t>
      </w:r>
    </w:p>
    <w:p w14:paraId="3FFFEEEC">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（二）环保措施</w:t>
      </w:r>
      <w:bookmarkStart w:id="753" w:name="_Toc34989662"/>
      <w:bookmarkStart w:id="754" w:name="_Toc57826821"/>
      <w:bookmarkStart w:id="755" w:name="_Toc97464728"/>
      <w:bookmarkStart w:id="756" w:name="_Toc98413622"/>
      <w:bookmarkStart w:id="757" w:name="_Toc98414304"/>
    </w:p>
    <w:p w14:paraId="587DB909">
      <w:pPr>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（1）加强道路通车后的道路养护工作，维持道路路面的平整度，避免因路况不佳造成车辆颠簸而引起交通噪声。</w:t>
      </w:r>
    </w:p>
    <w:p w14:paraId="6A307E49">
      <w:pPr>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规划控制措施：本项目沿线两侧距路中心线</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米以内区域的临路第一排房屋不宜作为居民住宅、学校、医院等特殊敏感建筑规划建设用地。</w:t>
      </w:r>
    </w:p>
    <w:p w14:paraId="6169A590">
      <w:pPr>
        <w:keepNext/>
        <w:keepLines/>
        <w:adjustRightInd w:val="0"/>
        <w:snapToGrid w:val="0"/>
        <w:spacing w:before="120" w:beforeLines="50" w:after="120" w:afterLines="50"/>
        <w:outlineLvl w:val="2"/>
        <w:rPr>
          <w:rFonts w:ascii="Times New Roman" w:hAnsi="Times New Roman" w:cs="Times New Roman"/>
          <w:b/>
          <w:bCs/>
          <w:color w:val="000000" w:themeColor="text1"/>
          <w:sz w:val="30"/>
          <w:szCs w:val="32"/>
          <w14:textFill>
            <w14:solidFill>
              <w14:schemeClr w14:val="tx1"/>
            </w14:solidFill>
          </w14:textFill>
        </w:rPr>
      </w:pPr>
      <w:r>
        <w:rPr>
          <w:rFonts w:ascii="Times New Roman" w:hAnsi="Times New Roman" w:cs="Times New Roman"/>
          <w:b/>
          <w:bCs/>
          <w:color w:val="000000" w:themeColor="text1"/>
          <w:sz w:val="30"/>
          <w:szCs w:val="32"/>
          <w14:textFill>
            <w14:solidFill>
              <w14:schemeClr w14:val="tx1"/>
            </w14:solidFill>
          </w14:textFill>
        </w:rPr>
        <w:t>10.3.4固体废物</w:t>
      </w:r>
      <w:bookmarkEnd w:id="753"/>
      <w:bookmarkEnd w:id="754"/>
      <w:bookmarkEnd w:id="755"/>
      <w:bookmarkEnd w:id="756"/>
      <w:bookmarkEnd w:id="757"/>
      <w:r>
        <w:rPr>
          <w:rFonts w:ascii="Times New Roman" w:hAnsi="Times New Roman" w:cs="Times New Roman"/>
          <w:b/>
          <w:bCs/>
          <w:color w:val="000000" w:themeColor="text1"/>
          <w:sz w:val="30"/>
          <w:szCs w:val="32"/>
          <w14:textFill>
            <w14:solidFill>
              <w14:schemeClr w14:val="tx1"/>
            </w14:solidFill>
          </w14:textFill>
        </w:rPr>
        <w:t>环境影响及环保措施</w:t>
      </w:r>
    </w:p>
    <w:p w14:paraId="2D01667F">
      <w:pPr>
        <w:pStyle w:val="5"/>
        <w:keepLines/>
        <w:topLinePunct/>
        <w:autoSpaceDE/>
        <w:adjustRightInd/>
        <w:spacing w:before="100" w:beforeLines="0" w:beforeAutospacing="1" w:after="120" w:line="240" w:lineRule="auto"/>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10.3.4.1施工期</w:t>
      </w:r>
    </w:p>
    <w:p w14:paraId="29C5E02B">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（一）环境影响</w:t>
      </w:r>
    </w:p>
    <w:p w14:paraId="273596C8">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本项目施工期产生的固体废物主要为废弃土石方、施工人员生活垃圾</w:t>
      </w:r>
      <w:r>
        <w:rPr>
          <w:rFonts w:hint="eastAsia" w:ascii="Times New Roman" w:hAnsi="Times New Roman" w:cs="Times New Roman"/>
          <w:snapToGrid w:val="0"/>
          <w:color w:val="000000" w:themeColor="text1"/>
          <w:lang w:val="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危险固废废活性炭</w:t>
      </w:r>
      <w:r>
        <w:rPr>
          <w:rFonts w:ascii="Times New Roman" w:hAnsi="Times New Roman" w:cs="Times New Roman"/>
          <w:color w:val="000000" w:themeColor="text1"/>
          <w14:textFill>
            <w14:solidFill>
              <w14:schemeClr w14:val="tx1"/>
            </w14:solidFill>
          </w14:textFill>
        </w:rPr>
        <w:t>。</w:t>
      </w:r>
    </w:p>
    <w:p w14:paraId="4DE6433C">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（二）环保措施</w:t>
      </w:r>
    </w:p>
    <w:p w14:paraId="15AE20B4">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本项目设弃土场3处，弃土弃渣全部弃于弃土场内，在施工结束时，将对所有弃土场及时平整恢复，可将弃土及弃土场对环境影响降至最低。</w:t>
      </w:r>
    </w:p>
    <w:p w14:paraId="54294CF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施工人员生活垃圾统一收集，</w:t>
      </w:r>
      <w:r>
        <w:rPr>
          <w:rFonts w:ascii="Times New Roman" w:hAnsi="Times New Roman" w:cs="Times New Roman"/>
          <w:snapToGrid w:val="0"/>
          <w:color w:val="000000" w:themeColor="text1"/>
          <w14:textFill>
            <w14:solidFill>
              <w14:schemeClr w14:val="tx1"/>
            </w14:solidFill>
          </w14:textFill>
        </w:rPr>
        <w:t>清运至生活垃圾填埋</w:t>
      </w:r>
      <w:r>
        <w:rPr>
          <w:rFonts w:ascii="Times New Roman" w:hAnsi="Times New Roman" w:cs="Times New Roman"/>
          <w:snapToGrid w:val="0"/>
          <w:color w:val="000000" w:themeColor="text1"/>
          <w:lang w:val="zh-CN"/>
          <w14:textFill>
            <w14:solidFill>
              <w14:schemeClr w14:val="tx1"/>
            </w14:solidFill>
          </w14:textFill>
        </w:rPr>
        <w:t>场。</w:t>
      </w:r>
    </w:p>
    <w:p w14:paraId="4F799231">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危险废物沥青烟气净化产生的废活性炭，用于沥青站烟气净化设施，由设备厂家提供安装维护服务，活性炭也在维护过程中由厂家负责回收后再生处理，不在施工现状临时贮存。</w:t>
      </w:r>
    </w:p>
    <w:p w14:paraId="05EA3713">
      <w:pPr>
        <w:pStyle w:val="5"/>
        <w:keepLines/>
        <w:topLinePunct/>
        <w:autoSpaceDE/>
        <w:adjustRightInd/>
        <w:spacing w:before="100" w:beforeLines="0" w:beforeAutospacing="1" w:after="120" w:line="240" w:lineRule="auto"/>
        <w:jc w:val="both"/>
        <w:textAlignment w:val="auto"/>
        <w:rPr>
          <w:rFonts w:ascii="Times New Roman" w:hAnsi="Times New Roman" w:cs="Times New Roman"/>
          <w:i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10.3.4.2营运期</w:t>
      </w:r>
    </w:p>
    <w:p w14:paraId="054F7C25">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hint="eastAsia" w:ascii="Times New Roman" w:hAnsi="Times New Roman" w:cs="Times New Roman"/>
          <w:snapToGrid w:val="0"/>
          <w:color w:val="000000" w:themeColor="text1"/>
          <w:lang w:val="zh-CN"/>
          <w14:textFill>
            <w14:solidFill>
              <w14:schemeClr w14:val="tx1"/>
            </w14:solidFill>
          </w14:textFill>
        </w:rPr>
        <w:t>运营期固体废物主要来源于过往车辆产生的生活垃圾，与环卫部门签订垃圾委托协议，定期对产生的垃圾进行清运至</w:t>
      </w:r>
      <w:r>
        <w:rPr>
          <w:rFonts w:ascii="Times New Roman" w:hAnsi="Times New Roman" w:cs="Times New Roman"/>
          <w:snapToGrid w:val="0"/>
          <w:color w:val="000000" w:themeColor="text1"/>
          <w:lang w:val="zh-CN"/>
          <w14:textFill>
            <w14:solidFill>
              <w14:schemeClr w14:val="tx1"/>
            </w14:solidFill>
          </w14:textFill>
        </w:rPr>
        <w:t>生活垃圾填埋场。</w:t>
      </w:r>
    </w:p>
    <w:p w14:paraId="555A394F">
      <w:pPr>
        <w:spacing w:line="360" w:lineRule="auto"/>
        <w:ind w:firstLine="480" w:firstLineChars="200"/>
        <w:jc w:val="both"/>
        <w:rPr>
          <w:rFonts w:ascii="Times New Roman" w:hAnsi="Times New Roman" w:cs="Times New Roman"/>
          <w:snapToGrid w:val="0"/>
          <w:color w:val="000000" w:themeColor="text1"/>
          <w:lang w:val="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公路养护</w:t>
      </w:r>
      <w:r>
        <w:rPr>
          <w:rFonts w:hint="eastAsia" w:ascii="Times New Roman" w:hAnsi="Times New Roman" w:cs="Times New Roman"/>
          <w:color w:val="000000" w:themeColor="text1"/>
          <w14:textFill>
            <w14:solidFill>
              <w14:schemeClr w14:val="tx1"/>
            </w14:solidFill>
          </w14:textFill>
        </w:rPr>
        <w:t>产生的</w:t>
      </w:r>
      <w:r>
        <w:rPr>
          <w:rFonts w:ascii="Times New Roman" w:hAnsi="Times New Roman" w:cs="Times New Roman"/>
          <w:color w:val="000000" w:themeColor="text1"/>
          <w14:textFill>
            <w14:solidFill>
              <w14:schemeClr w14:val="tx1"/>
            </w14:solidFill>
          </w14:textFill>
        </w:rPr>
        <w:t>废旧沥青</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送至具有废旧沥青回收处理资质的单位进行处理</w:t>
      </w:r>
      <w:r>
        <w:rPr>
          <w:rFonts w:ascii="Times New Roman" w:hAnsi="Times New Roman" w:cs="Times New Roman"/>
          <w:snapToGrid w:val="0"/>
          <w:color w:val="000000" w:themeColor="text1"/>
          <w:lang w:val="zh-CN"/>
          <w14:textFill>
            <w14:solidFill>
              <w14:schemeClr w14:val="tx1"/>
            </w14:solidFill>
          </w14:textFill>
        </w:rPr>
        <w:t>。</w:t>
      </w:r>
    </w:p>
    <w:p w14:paraId="01556970">
      <w:pPr>
        <w:keepNext/>
        <w:keepLines/>
        <w:adjustRightInd w:val="0"/>
        <w:snapToGrid w:val="0"/>
        <w:spacing w:before="120" w:beforeLines="50" w:after="120" w:afterLines="50"/>
        <w:jc w:val="both"/>
        <w:outlineLvl w:val="2"/>
        <w:rPr>
          <w:rFonts w:ascii="Times New Roman" w:hAnsi="Times New Roman" w:cs="Times New Roman"/>
          <w:b/>
          <w:bCs/>
          <w:color w:val="000000" w:themeColor="text1"/>
          <w:sz w:val="30"/>
          <w:szCs w:val="32"/>
          <w14:textFill>
            <w14:solidFill>
              <w14:schemeClr w14:val="tx1"/>
            </w14:solidFill>
          </w14:textFill>
        </w:rPr>
      </w:pPr>
      <w:bookmarkStart w:id="758" w:name="_Toc34989663"/>
      <w:bookmarkStart w:id="759" w:name="_Toc57826822"/>
      <w:bookmarkStart w:id="760" w:name="_Toc98414305"/>
      <w:bookmarkStart w:id="761" w:name="_Toc97464729"/>
      <w:bookmarkStart w:id="762" w:name="_Toc98413623"/>
      <w:r>
        <w:rPr>
          <w:rFonts w:ascii="Times New Roman" w:hAnsi="Times New Roman" w:cs="Times New Roman"/>
          <w:b/>
          <w:bCs/>
          <w:color w:val="000000" w:themeColor="text1"/>
          <w:sz w:val="30"/>
          <w:szCs w:val="32"/>
          <w14:textFill>
            <w14:solidFill>
              <w14:schemeClr w14:val="tx1"/>
            </w14:solidFill>
          </w14:textFill>
        </w:rPr>
        <w:t>10.3.5生态环境影响</w:t>
      </w:r>
      <w:bookmarkEnd w:id="758"/>
      <w:bookmarkEnd w:id="759"/>
      <w:bookmarkEnd w:id="760"/>
      <w:bookmarkEnd w:id="761"/>
      <w:bookmarkEnd w:id="762"/>
      <w:r>
        <w:rPr>
          <w:rFonts w:ascii="Times New Roman" w:hAnsi="Times New Roman" w:cs="Times New Roman"/>
          <w:b/>
          <w:bCs/>
          <w:color w:val="000000" w:themeColor="text1"/>
          <w:sz w:val="30"/>
          <w:szCs w:val="32"/>
          <w14:textFill>
            <w14:solidFill>
              <w14:schemeClr w14:val="tx1"/>
            </w14:solidFill>
          </w14:textFill>
        </w:rPr>
        <w:t>及环保措施</w:t>
      </w:r>
    </w:p>
    <w:p w14:paraId="44BAAA14">
      <w:pPr>
        <w:pStyle w:val="5"/>
        <w:keepLines/>
        <w:topLinePunct/>
        <w:autoSpaceDE/>
        <w:adjustRightInd/>
        <w:spacing w:before="100" w:beforeLines="0" w:beforeAutospacing="1" w:after="120" w:line="240" w:lineRule="auto"/>
        <w:jc w:val="both"/>
        <w:textAlignment w:val="auto"/>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10.3.5.1施工期</w:t>
      </w:r>
    </w:p>
    <w:p w14:paraId="481BAA8A">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（一）环境影响</w:t>
      </w:r>
    </w:p>
    <w:p w14:paraId="686A5D4D">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工程对生态环境的影响主要是永久占地及各类临时占地，工程施工占用土地、造成植被破坏，引发水土流失，需要采取一定的生态补偿和恢复措施。</w:t>
      </w:r>
    </w:p>
    <w:p w14:paraId="538A45C3">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snapToGrid w:val="0"/>
          <w:color w:val="000000" w:themeColor="text1"/>
          <w:lang w:val="zh-CN"/>
          <w14:textFill>
            <w14:solidFill>
              <w14:schemeClr w14:val="tx1"/>
            </w14:solidFill>
          </w14:textFill>
        </w:rPr>
        <w:t>施工过程中野生动物将被迫离开原来的觅食地，由于沿线存在周围相同的生境，公路修建对其影响不大</w:t>
      </w:r>
      <w:r>
        <w:rPr>
          <w:rFonts w:ascii="Times New Roman" w:hAnsi="Times New Roman" w:cs="Times New Roman"/>
          <w:color w:val="000000" w:themeColor="text1"/>
          <w14:textFill>
            <w14:solidFill>
              <w14:schemeClr w14:val="tx1"/>
            </w14:solidFill>
          </w14:textFill>
        </w:rPr>
        <w:t>。</w:t>
      </w:r>
    </w:p>
    <w:p w14:paraId="7AA32E2A">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（二）环保措施</w:t>
      </w:r>
    </w:p>
    <w:p w14:paraId="612F09C7">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①拟建项目建设对沿线植被存在一定的影响，但不会使区内生态体系的生物量发生明显的改变。</w:t>
      </w:r>
    </w:p>
    <w:p w14:paraId="6496EF55">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②项目沿线区域有一定野生动物分布，工程沿线设置的桥梁、涵洞等均可以作为两侧野生动物正常活动的通道。通过加强施工管理，严禁施工人员捕杀沿线的野生动物；开工前，在工地及周边设立爱护野生动物和自然植被的宣传牌，并对施工人员进行环境保护和生物多样性保护宣传教育工作；严禁施工人员采获野生植物或捕杀野生动物，处罚破坏生态环境的人员。</w:t>
      </w:r>
    </w:p>
    <w:p w14:paraId="0D687A21">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③本工程沿线共布设主要弃土场3</w:t>
      </w:r>
      <w:r>
        <w:rPr>
          <w:rFonts w:ascii="Times New Roman" w:hAnsi="Times New Roman" w:cs="Times New Roman"/>
          <w:snapToGrid w:val="0"/>
          <w:color w:val="000000" w:themeColor="text1"/>
          <w14:textFill>
            <w14:solidFill>
              <w14:schemeClr w14:val="tx1"/>
            </w14:solidFill>
          </w14:textFill>
        </w:rPr>
        <w:t>处，</w:t>
      </w:r>
      <w:r>
        <w:rPr>
          <w:rFonts w:hint="eastAsia" w:ascii="Times New Roman" w:hAnsi="Times New Roman" w:cs="Times New Roman"/>
          <w:snapToGrid w:val="0"/>
          <w:color w:val="000000" w:themeColor="text1"/>
          <w14:textFill>
            <w14:solidFill>
              <w14:schemeClr w14:val="tx1"/>
            </w14:solidFill>
          </w14:textFill>
        </w:rPr>
        <w:t>施工综合场站2处。主要大临工程选址合理，不涉及自然保护区、森林公园、湿地公园、饮用水水源保护区等环境敏感区，远离学校、村庄等敏感目标。施工结束后，及时进行生态恢复。</w:t>
      </w:r>
    </w:p>
    <w:p w14:paraId="7C220D31">
      <w:pPr>
        <w:spacing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④</w:t>
      </w:r>
      <w:r>
        <w:rPr>
          <w:rFonts w:ascii="Times New Roman" w:hAnsi="Times New Roman" w:cs="Times New Roman"/>
          <w:snapToGrid w:val="0"/>
          <w:color w:val="000000" w:themeColor="text1"/>
          <w14:textFill>
            <w14:solidFill>
              <w14:schemeClr w14:val="tx1"/>
            </w14:solidFill>
          </w14:textFill>
        </w:rPr>
        <w:t>工程占用灌木林地采取货币补偿方式给林业部门进行补偿</w:t>
      </w:r>
      <w:r>
        <w:rPr>
          <w:rFonts w:ascii="Times New Roman" w:hAnsi="Times New Roman" w:cs="Times New Roman"/>
          <w:color w:val="000000" w:themeColor="text1"/>
          <w14:textFill>
            <w14:solidFill>
              <w14:schemeClr w14:val="tx1"/>
            </w14:solidFill>
          </w14:textFill>
        </w:rPr>
        <w:t>。</w:t>
      </w:r>
    </w:p>
    <w:p w14:paraId="4160FC66">
      <w:pPr>
        <w:pStyle w:val="5"/>
        <w:keepLines/>
        <w:topLinePunct/>
        <w:autoSpaceDE/>
        <w:adjustRightInd/>
        <w:spacing w:before="100" w:beforeLines="0" w:beforeAutospacing="1" w:after="120" w:line="240" w:lineRule="auto"/>
        <w:textAlignment w:val="auto"/>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i w:val="0"/>
          <w:color w:val="000000" w:themeColor="text1"/>
          <w14:textFill>
            <w14:solidFill>
              <w14:schemeClr w14:val="tx1"/>
            </w14:solidFill>
          </w14:textFill>
        </w:rPr>
        <w:t>10.3.5.2营运期</w:t>
      </w:r>
    </w:p>
    <w:p w14:paraId="40BFA89A">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（一）环境影响</w:t>
      </w:r>
    </w:p>
    <w:p w14:paraId="13B3E3BB">
      <w:pPr>
        <w:pStyle w:val="397"/>
        <w:spacing w:line="360" w:lineRule="auto"/>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公路建成后，永久占地内的植被将完全被路面取代，营运期车辆行驶对动物的活动和觅食有一定的不利影响。</w:t>
      </w:r>
    </w:p>
    <w:p w14:paraId="773430DB">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（二）环保措施</w:t>
      </w:r>
    </w:p>
    <w:p w14:paraId="28433D0B">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snapToGrid w:val="0"/>
          <w:color w:val="000000" w:themeColor="text1"/>
          <w14:textFill>
            <w14:solidFill>
              <w14:schemeClr w14:val="tx1"/>
            </w14:solidFill>
          </w14:textFill>
        </w:rPr>
        <w:t>车辆需按规定速度行驶，通行车辆禁止往车外扔垃圾。加强对公路沿线生态环境的管理、保护、巡护工作。禁止公路维修和检查人员对动物</w:t>
      </w:r>
      <w:r>
        <w:rPr>
          <w:rFonts w:ascii="Times New Roman" w:hAnsi="Times New Roman" w:cs="Times New Roman"/>
          <w:color w:val="000000" w:themeColor="text1"/>
          <w14:textFill>
            <w14:solidFill>
              <w14:schemeClr w14:val="tx1"/>
            </w14:solidFill>
          </w14:textFill>
        </w:rPr>
        <w:t>活动和觅食地带</w:t>
      </w:r>
      <w:r>
        <w:rPr>
          <w:rFonts w:ascii="Times New Roman" w:hAnsi="Times New Roman" w:cs="Times New Roman"/>
          <w:snapToGrid w:val="0"/>
          <w:color w:val="000000" w:themeColor="text1"/>
          <w14:textFill>
            <w14:solidFill>
              <w14:schemeClr w14:val="tx1"/>
            </w14:solidFill>
          </w14:textFill>
        </w:rPr>
        <w:t>产生新的破坏，实施维护工作时应尽力避免影响野生动物正常的活动。安排维护人员定期对路段进行维护，清理公路沿线垃圾</w:t>
      </w:r>
      <w:r>
        <w:rPr>
          <w:rFonts w:hint="eastAsia" w:ascii="Times New Roman" w:hAnsi="Times New Roman" w:cs="Times New Roman"/>
          <w:snapToGrid w:val="0"/>
          <w:color w:val="000000" w:themeColor="text1"/>
          <w14:textFill>
            <w14:solidFill>
              <w14:schemeClr w14:val="tx1"/>
            </w14:solidFill>
          </w14:textFill>
        </w:rPr>
        <w:t>。</w:t>
      </w:r>
    </w:p>
    <w:p w14:paraId="36898FA9">
      <w:pPr>
        <w:keepNext/>
        <w:keepLines/>
        <w:adjustRightInd w:val="0"/>
        <w:snapToGrid w:val="0"/>
        <w:spacing w:before="120" w:beforeLines="50" w:after="120" w:afterLines="50"/>
        <w:outlineLvl w:val="2"/>
        <w:rPr>
          <w:rFonts w:ascii="Times New Roman" w:hAnsi="Times New Roman" w:cs="Times New Roman"/>
          <w:b/>
          <w:bCs/>
          <w:color w:val="000000" w:themeColor="text1"/>
          <w:sz w:val="30"/>
          <w:szCs w:val="32"/>
          <w14:textFill>
            <w14:solidFill>
              <w14:schemeClr w14:val="tx1"/>
            </w14:solidFill>
          </w14:textFill>
        </w:rPr>
      </w:pPr>
      <w:r>
        <w:rPr>
          <w:rFonts w:ascii="Times New Roman" w:hAnsi="Times New Roman" w:cs="Times New Roman"/>
          <w:b/>
          <w:bCs/>
          <w:color w:val="000000" w:themeColor="text1"/>
          <w:sz w:val="30"/>
          <w:szCs w:val="32"/>
          <w14:textFill>
            <w14:solidFill>
              <w14:schemeClr w14:val="tx1"/>
            </w14:solidFill>
          </w14:textFill>
        </w:rPr>
        <w:t>10.3.6</w:t>
      </w:r>
      <w:r>
        <w:rPr>
          <w:rFonts w:hint="eastAsia" w:ascii="Times New Roman" w:hAnsi="Times New Roman" w:cs="Times New Roman"/>
          <w:b/>
          <w:bCs/>
          <w:color w:val="000000" w:themeColor="text1"/>
          <w:sz w:val="30"/>
          <w:szCs w:val="32"/>
          <w14:textFill>
            <w14:solidFill>
              <w14:schemeClr w14:val="tx1"/>
            </w14:solidFill>
          </w14:textFill>
        </w:rPr>
        <w:t>环境风险影响评价</w:t>
      </w:r>
    </w:p>
    <w:p w14:paraId="565916DE">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项目环境风险主要是潜在的水污染环境风险事故，该风险主要源自项目跨盖孜河发生运输危险品的泄漏事故，将对区域水体造成污染。为防止营运期运输危险品的车辆发生运输事故导致危险品直接泄入、径流进入水体造成污染。对工程跨越盖孜河桥梁路段应设置桥面径流收集系统及应急收集池。为了减少发生危险品运输事故泄漏对环境造成污染，本项目还应当建立事故应急处理预案及备案，并纳入沿线的县环境事件应急预案之中，并配备必要的应急设备与器材。</w:t>
      </w:r>
    </w:p>
    <w:p w14:paraId="32CF1FA3">
      <w:pPr>
        <w:pStyle w:val="3"/>
        <w:adjustRightInd w:val="0"/>
        <w:snapToGrid w:val="0"/>
        <w:spacing w:before="120" w:after="120" w:line="240" w:lineRule="auto"/>
        <w:jc w:val="both"/>
        <w:rPr>
          <w:rFonts w:ascii="Times New Roman" w:hAnsi="Times New Roman" w:cs="Times New Roman"/>
          <w:color w:val="000000" w:themeColor="text1"/>
          <w14:textFill>
            <w14:solidFill>
              <w14:schemeClr w14:val="tx1"/>
            </w14:solidFill>
          </w14:textFill>
        </w:rPr>
      </w:pPr>
      <w:bookmarkStart w:id="763" w:name="_Toc4507883"/>
      <w:bookmarkStart w:id="764" w:name="_Toc98413624"/>
      <w:bookmarkStart w:id="765" w:name="_Toc187675454"/>
      <w:bookmarkStart w:id="766" w:name="_Toc4507886"/>
      <w:bookmarkStart w:id="767" w:name="_Toc98413631"/>
      <w:r>
        <w:rPr>
          <w:rFonts w:ascii="Times New Roman" w:hAnsi="Times New Roman" w:cs="Times New Roman"/>
          <w:color w:val="000000" w:themeColor="text1"/>
          <w14:textFill>
            <w14:solidFill>
              <w14:schemeClr w14:val="tx1"/>
            </w14:solidFill>
          </w14:textFill>
        </w:rPr>
        <w:t>10.4公众</w:t>
      </w:r>
      <w:bookmarkEnd w:id="763"/>
      <w:bookmarkEnd w:id="764"/>
      <w:r>
        <w:rPr>
          <w:rFonts w:ascii="Times New Roman" w:hAnsi="Times New Roman" w:cs="Times New Roman"/>
          <w:color w:val="000000" w:themeColor="text1"/>
          <w14:textFill>
            <w14:solidFill>
              <w14:schemeClr w14:val="tx1"/>
            </w14:solidFill>
          </w14:textFill>
        </w:rPr>
        <w:t>参与</w:t>
      </w:r>
      <w:bookmarkEnd w:id="765"/>
    </w:p>
    <w:p w14:paraId="4EFD73A6">
      <w:pPr>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hint="eastAsia" w:ascii="Times New Roman" w:hAnsi="Times New Roman" w:cs="Times New Roman"/>
          <w:snapToGrid w:val="0"/>
          <w:color w:val="000000" w:themeColor="text1"/>
          <w14:textFill>
            <w14:solidFill>
              <w14:schemeClr w14:val="tx1"/>
            </w14:solidFill>
          </w14:textFill>
        </w:rPr>
        <w:t>本项目公众参与工作分建设项目信息网上公示、报纸公示及现场公示。在政府网发布了一次、二次及第三次报批公示，在报纸进行了两次报纸公示。本项目在公示期间，未收到公众电话或邮件咨询意见及反对意见。对于公众比较关心的环境问题，报告书的相关章节作出了相应的环保措施要求，可以降低或消除这些环境影响</w:t>
      </w:r>
      <w:r>
        <w:rPr>
          <w:rFonts w:ascii="Times New Roman" w:hAnsi="Times New Roman" w:cs="Times New Roman"/>
          <w:snapToGrid w:val="0"/>
          <w:color w:val="000000" w:themeColor="text1"/>
          <w14:textFill>
            <w14:solidFill>
              <w14:schemeClr w14:val="tx1"/>
            </w14:solidFill>
          </w14:textFill>
        </w:rPr>
        <w:t>。</w:t>
      </w:r>
    </w:p>
    <w:p w14:paraId="6C4A936D">
      <w:pPr>
        <w:pStyle w:val="3"/>
        <w:adjustRightInd w:val="0"/>
        <w:snapToGrid w:val="0"/>
        <w:spacing w:before="120" w:after="120" w:line="240" w:lineRule="auto"/>
        <w:rPr>
          <w:rFonts w:ascii="Times New Roman" w:hAnsi="Times New Roman" w:cs="Times New Roman"/>
          <w:color w:val="000000" w:themeColor="text1"/>
          <w14:textFill>
            <w14:solidFill>
              <w14:schemeClr w14:val="tx1"/>
            </w14:solidFill>
          </w14:textFill>
        </w:rPr>
      </w:pPr>
      <w:bookmarkStart w:id="768" w:name="_Toc187675455"/>
      <w:r>
        <w:rPr>
          <w:rFonts w:ascii="Times New Roman" w:hAnsi="Times New Roman" w:cs="Times New Roman"/>
          <w:color w:val="000000" w:themeColor="text1"/>
          <w14:textFill>
            <w14:solidFill>
              <w14:schemeClr w14:val="tx1"/>
            </w14:solidFill>
          </w14:textFill>
        </w:rPr>
        <w:t>10.5综合结论</w:t>
      </w:r>
      <w:bookmarkEnd w:id="766"/>
      <w:r>
        <w:rPr>
          <w:rFonts w:ascii="Times New Roman" w:hAnsi="Times New Roman" w:cs="Times New Roman"/>
          <w:color w:val="000000" w:themeColor="text1"/>
          <w14:textFill>
            <w14:solidFill>
              <w14:schemeClr w14:val="tx1"/>
            </w14:solidFill>
          </w14:textFill>
        </w:rPr>
        <w:t>及建议</w:t>
      </w:r>
      <w:bookmarkEnd w:id="767"/>
      <w:bookmarkEnd w:id="768"/>
    </w:p>
    <w:p w14:paraId="04069A90">
      <w:pPr>
        <w:tabs>
          <w:tab w:val="left" w:pos="1123"/>
        </w:tabs>
        <w:spacing w:line="360" w:lineRule="auto"/>
        <w:ind w:firstLine="480" w:firstLineChars="200"/>
        <w:jc w:val="both"/>
        <w:rPr>
          <w:rFonts w:ascii="Times New Roman" w:hAnsi="Times New Roman" w:cs="Times New Roman"/>
          <w:snapToGrid w:val="0"/>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第</w:t>
      </w:r>
      <w:r>
        <w:rPr>
          <w:rFonts w:hint="eastAsia" w:ascii="Times New Roman" w:hAnsi="Times New Roman" w:cs="Times New Roman"/>
          <w:color w:val="000000" w:themeColor="text1"/>
          <w14:textFill>
            <w14:solidFill>
              <w14:schemeClr w14:val="tx1"/>
            </w14:solidFill>
          </w14:textFill>
        </w:rPr>
        <w:t>三</w:t>
      </w:r>
      <w:r>
        <w:rPr>
          <w:rFonts w:ascii="Times New Roman" w:hAnsi="Times New Roman" w:cs="Times New Roman"/>
          <w:color w:val="000000" w:themeColor="text1"/>
          <w14:textFill>
            <w14:solidFill>
              <w14:schemeClr w14:val="tx1"/>
            </w14:solidFill>
          </w14:textFill>
        </w:rPr>
        <w:t>师G3012-草湖-G314公路（草湖-G314段）公路</w:t>
      </w:r>
      <w:r>
        <w:rPr>
          <w:rFonts w:hint="eastAsia" w:ascii="Times New Roman" w:hAnsi="Times New Roman" w:cs="Times New Roman"/>
          <w:snapToGrid w:val="0"/>
          <w:color w:val="000000" w:themeColor="text1"/>
          <w14:textFill>
            <w14:solidFill>
              <w14:schemeClr w14:val="tx1"/>
            </w14:solidFill>
          </w14:textFill>
        </w:rPr>
        <w:t>的建设将会对沿线地区的生态环境、声环境、水环境、大气环境等产生一定的不利影响，但通过落实本报告所提出的污染防治措施、生态保护措施和环境风险防范措施，可将项目建设对周围环境的影响降到最低，环境风险可以接受，拟建项目及沿线区域经济、社会和环境的可持续发展。因此，本次评价认为从环境影响的角度而言，本项目的建设是可行的。</w:t>
      </w:r>
      <w:r>
        <w:rPr>
          <w:rFonts w:ascii="Times New Roman" w:hAnsi="Times New Roman" w:cs="Times New Roman"/>
          <w:color w:val="000000" w:themeColor="text1"/>
          <w14:textFill>
            <w14:solidFill>
              <w14:schemeClr w14:val="tx1"/>
            </w14:solidFill>
          </w14:textFill>
        </w:rPr>
        <w:tab/>
      </w:r>
    </w:p>
    <w:p w14:paraId="0C643166">
      <w:pPr>
        <w:spacing w:line="360" w:lineRule="auto"/>
        <w:ind w:firstLine="480" w:firstLineChars="200"/>
        <w:rPr>
          <w:rFonts w:ascii="Times New Roman" w:hAnsi="Times New Roman" w:cs="Times New Roman"/>
          <w:snapToGrid w:val="0"/>
          <w:color w:val="000000" w:themeColor="text1"/>
          <w14:textFill>
            <w14:solidFill>
              <w14:schemeClr w14:val="tx1"/>
            </w14:solidFill>
          </w14:textFill>
        </w:rPr>
      </w:pPr>
    </w:p>
    <w:sectPr>
      <w:footerReference r:id="rId9" w:type="default"/>
      <w:pgSz w:w="11906" w:h="16838"/>
      <w:pgMar w:top="1440" w:right="1797" w:bottom="1440" w:left="1797" w:header="737" w:footer="737"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方正大标宋简体">
    <w:altName w:val="宋体"/>
    <w:panose1 w:val="00000000000000000000"/>
    <w:charset w:val="86"/>
    <w:family w:val="auto"/>
    <w:pitch w:val="default"/>
    <w:sig w:usb0="00000000" w:usb1="00000000" w:usb2="00000010" w:usb3="00000000" w:csb0="00040000" w:csb1="00000000"/>
  </w:font>
  <w:font w:name="汉鼎简魏碑">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PMingLiU">
    <w:altName w:val="Microsoft JhengHei UI"/>
    <w:panose1 w:val="02010601000101010101"/>
    <w:charset w:val="88"/>
    <w:family w:val="auto"/>
    <w:pitch w:val="default"/>
    <w:sig w:usb0="00000000" w:usb1="00000000" w:usb2="00000010" w:usb3="00000000" w:csb0="00100000" w:csb1="00000000"/>
  </w:font>
  <w:font w:name="PMingLiU">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0" w:usb3="00000000" w:csb0="00100000" w:csb1="00000000"/>
  </w:font>
  <w:font w:name="細明體">
    <w:altName w:val="Segoe Print"/>
    <w:panose1 w:val="00000000000000000000"/>
    <w:charset w:val="00"/>
    <w:family w:val="auto"/>
    <w:pitch w:val="default"/>
    <w:sig w:usb0="0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00000" w:csb1="00000000"/>
  </w:font>
  <w:font w:name="Futura Bk BT">
    <w:altName w:val="Lucida Sans Unicode"/>
    <w:panose1 w:val="00000000000000000000"/>
    <w:charset w:val="00"/>
    <w:family w:val="swiss"/>
    <w:pitch w:val="default"/>
    <w:sig w:usb0="00000000" w:usb1="00000000" w:usb2="00000000" w:usb3="00000000" w:csb0="0000001B" w:csb1="00000000"/>
  </w:font>
  <w:font w:name="Lucida Sans Unicode">
    <w:panose1 w:val="020B0602030504020204"/>
    <w:charset w:val="00"/>
    <w:family w:val="auto"/>
    <w:pitch w:val="default"/>
    <w:sig w:usb0="80001AFF" w:usb1="0000396B" w:usb2="00000000" w:usb3="00000000" w:csb0="200000BF" w:csb1="D7F70000"/>
  </w:font>
  <w:font w:name="仿宋体">
    <w:altName w:val="宋体"/>
    <w:panose1 w:val="00000000000000000000"/>
    <w:charset w:val="86"/>
    <w:family w:val="roma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Technic">
    <w:altName w:val="Segoe Print"/>
    <w:panose1 w:val="00000400000000000000"/>
    <w:charset w:val="02"/>
    <w:family w:val="auto"/>
    <w:pitch w:val="default"/>
    <w:sig w:usb0="00000000" w:usb1="00000000" w:usb2="00000000" w:usb3="00000000" w:csb0="80000000" w:csb1="00000000"/>
  </w:font>
  <w:font w:name="Verdana">
    <w:panose1 w:val="020B0604030504040204"/>
    <w:charset w:val="00"/>
    <w:family w:val="swiss"/>
    <w:pitch w:val="default"/>
    <w:sig w:usb0="A00006FF" w:usb1="4000205B" w:usb2="00000010" w:usb3="00000000" w:csb0="2000019F" w:csb1="00000000"/>
  </w:font>
  <w:font w:name="方正仿宋简体">
    <w:altName w:val="Arial Unicode MS"/>
    <w:panose1 w:val="02010601030101010101"/>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OpenSymbol">
    <w:altName w:val="Arial Unicode MS"/>
    <w:panose1 w:val="00000000000000000000"/>
    <w:charset w:val="80"/>
    <w:family w:val="auto"/>
    <w:pitch w:val="default"/>
    <w:sig w:usb0="00000000" w:usb1="00000000" w:usb2="00000000" w:usb3="00000000" w:csb0="00040001" w:csb1="00000000"/>
  </w:font>
  <w:font w:name="Adobe 仿宋 Std R">
    <w:altName w:val="仿宋"/>
    <w:panose1 w:val="00000000000000000000"/>
    <w:charset w:val="00"/>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方正魏碑简体">
    <w:altName w:val="宋体"/>
    <w:panose1 w:val="00000000000000000000"/>
    <w:charset w:val="86"/>
    <w:family w:val="auto"/>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TimesNewRomanPSMT">
    <w:altName w:val="华文行楷"/>
    <w:panose1 w:val="00000000000000000000"/>
    <w:charset w:val="86"/>
    <w:family w:val="auto"/>
    <w:pitch w:val="default"/>
    <w:sig w:usb0="00000000" w:usb1="00000000" w:usb2="00000010" w:usb3="00000000" w:csb0="00040001" w:csb1="00000000"/>
  </w:font>
  <w:font w:name="华文行楷">
    <w:panose1 w:val="02010800040101010101"/>
    <w:charset w:val="86"/>
    <w:family w:val="auto"/>
    <w:pitch w:val="default"/>
    <w:sig w:usb0="00000001" w:usb1="080F0000" w:usb2="0000000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MS Mincho">
    <w:altName w:val="Yu Gothic UI"/>
    <w:panose1 w:val="02020609040205080304"/>
    <w:charset w:val="80"/>
    <w:family w:val="roman"/>
    <w:pitch w:val="default"/>
    <w:sig w:usb0="00000000" w:usb1="00000000" w:usb2="00000010" w:usb3="00000000" w:csb0="00020000" w:csb1="00000000"/>
  </w:font>
  <w:font w:name="ＭＳ 明朝">
    <w:altName w:val="Segoe Print"/>
    <w:panose1 w:val="00000000000000000000"/>
    <w:charset w:val="00"/>
    <w:family w:val="auto"/>
    <w:pitch w:val="default"/>
    <w:sig w:usb0="00000000" w:usb1="00000000" w:usb2="00000000" w:usb3="00000000" w:csb0="00000000" w:csb1="00000000"/>
  </w:font>
  <w:font w:name="华康宋体W5(P)">
    <w:altName w:val="宋体"/>
    <w:panose1 w:val="00000000000000000000"/>
    <w:charset w:val="86"/>
    <w:family w:val="roma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Symusic">
    <w:altName w:val="Segoe Print"/>
    <w:panose1 w:val="00000400000000000000"/>
    <w:charset w:val="00"/>
    <w:family w:val="auto"/>
    <w:pitch w:val="default"/>
    <w:sig w:usb0="00000000" w:usb1="00000000" w:usb2="00000000" w:usb3="00000000" w:csb0="000001FF" w:csb1="00000000"/>
  </w:font>
  <w:font w:name="‚l‚r –¾’©">
    <w:altName w:val="宋体"/>
    <w:panose1 w:val="00000000000000000000"/>
    <w:charset w:val="86"/>
    <w:family w:val="roman"/>
    <w:pitch w:val="default"/>
    <w:sig w:usb0="00000000" w:usb1="00000000" w:usb2="0062BC5C" w:usb3="0062BCB0" w:csb0="00000000" w:csb1="0062BC6C"/>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创艺简楷体">
    <w:altName w:val="宋体"/>
    <w:panose1 w:val="00000000000000000000"/>
    <w:charset w:val="86"/>
    <w:family w:val="auto"/>
    <w:pitch w:val="default"/>
    <w:sig w:usb0="00000000" w:usb1="00000000" w:usb2="00000010" w:usb3="00000000" w:csb0="00040000" w:csb1="00000000"/>
  </w:font>
  <w:font w:name="Microsoft JhengHei">
    <w:panose1 w:val="020B0604030504040204"/>
    <w:charset w:val="88"/>
    <w:family w:val="swiss"/>
    <w:pitch w:val="default"/>
    <w:sig w:usb0="000002A7" w:usb1="28CF4400" w:usb2="00000016" w:usb3="00000000" w:csb0="00100009" w:csb1="00000000"/>
  </w:font>
  <w:font w:name="Courier">
    <w:altName w:val="Courier New"/>
    <w:panose1 w:val="02070409020205020404"/>
    <w:charset w:val="00"/>
    <w:family w:val="modern"/>
    <w:pitch w:val="default"/>
    <w:sig w:usb0="00000000" w:usb1="00000000" w:usb2="00000000" w:usb3="00000000" w:csb0="00000001" w:csb1="00000000"/>
  </w:font>
  <w:font w:name="隶书">
    <w:panose1 w:val="02010509060101010101"/>
    <w:charset w:val="86"/>
    <w:family w:val="modern"/>
    <w:pitch w:val="default"/>
    <w:sig w:usb0="00000001" w:usb1="080E0000" w:usb2="00000000" w:usb3="00000000" w:csb0="00040000" w:csb1="00000000"/>
  </w:font>
  <w:font w:name="CIDFont+F2">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TimesNewRomanPS-ItalicM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7300B">
    <w:pPr>
      <w:pBdr>
        <w:top w:val="thinThickSmallGap" w:color="622423" w:sz="24" w:space="0"/>
      </w:pBdr>
      <w:tabs>
        <w:tab w:val="right" w:pos="8958"/>
      </w:tabs>
      <w:spacing w:line="360" w:lineRule="auto"/>
      <w:rPr>
        <w:rFonts w:ascii="华文行楷" w:eastAsia="华文行楷"/>
      </w:rPr>
    </w:pPr>
    <w:r>
      <w:rPr>
        <w:rFonts w:hint="eastAsia" w:ascii="华文行楷" w:eastAsia="华文行楷"/>
      </w:rPr>
      <w:t>新疆兵团勘测设计院集团股份有限公司编制</w:t>
    </w:r>
  </w:p>
  <w:p w14:paraId="6AD7B108">
    <w:pPr>
      <w:pStyle w:val="5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760601858"/>
      <w:docPartObj>
        <w:docPartGallery w:val="autotext"/>
      </w:docPartObj>
    </w:sdtPr>
    <w:sdtEndPr>
      <w:rPr>
        <w:sz w:val="18"/>
        <w:szCs w:val="18"/>
      </w:rPr>
    </w:sdtEndPr>
    <w:sdtContent>
      <w:p w14:paraId="68DBBD47">
        <w:pPr>
          <w:pBdr>
            <w:top w:val="thinThickSmallGap" w:color="622423" w:sz="24" w:space="0"/>
          </w:pBdr>
          <w:tabs>
            <w:tab w:val="right" w:pos="8958"/>
          </w:tabs>
          <w:spacing w:line="360" w:lineRule="auto"/>
          <w:rPr>
            <w:rFonts w:ascii="华文行楷" w:eastAsia="华文行楷"/>
          </w:rPr>
        </w:pPr>
        <w:r>
          <w:rPr>
            <w:rFonts w:hint="eastAsia" w:ascii="华文行楷" w:eastAsia="华文行楷"/>
          </w:rPr>
          <w:t>新疆兵团勘测设计院集团股份有限公司编制</w:t>
        </w:r>
      </w:p>
      <w:p w14:paraId="77995791">
        <w:pPr>
          <w:pStyle w:val="54"/>
          <w:jc w:val="center"/>
        </w:pPr>
        <w:r>
          <w:fldChar w:fldCharType="begin"/>
        </w:r>
        <w:r>
          <w:instrText xml:space="preserve">PAGE   \* MERGEFORMAT</w:instrText>
        </w:r>
        <w:r>
          <w:fldChar w:fldCharType="separate"/>
        </w:r>
        <w:r>
          <w:rPr>
            <w:lang w:val="zh-CN"/>
          </w:rPr>
          <w:t>15</w:t>
        </w:r>
        <w:r>
          <w:fldChar w:fldCharType="end"/>
        </w:r>
      </w:p>
    </w:sdtContent>
  </w:sdt>
  <w:p w14:paraId="50C156DA">
    <w:pPr>
      <w:pStyle w:val="6"/>
      <w:kinsoku w:val="0"/>
      <w:overflowPunct w:val="0"/>
      <w:spacing w:line="14" w:lineRule="auto"/>
      <w:rPr>
        <w:sz w:val="20"/>
        <w:szCs w:val="20"/>
      </w:rPr>
    </w:pPr>
  </w:p>
  <w:p w14:paraId="242DC8BB">
    <w:pPr>
      <w:pStyle w:val="6"/>
      <w:kinsoku w:val="0"/>
      <w:overflowPunct w:val="0"/>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C3A1">
    <w:pPr>
      <w:pStyle w:val="54"/>
      <w:pBdr>
        <w:top w:val="thinThickSmallGap" w:color="622423" w:sz="24" w:space="1"/>
      </w:pBdr>
      <w:tabs>
        <w:tab w:val="right" w:pos="8958"/>
        <w:tab w:val="clear" w:pos="4153"/>
        <w:tab w:val="clear" w:pos="8306"/>
      </w:tabs>
      <w:spacing w:line="360" w:lineRule="auto"/>
      <w:rPr>
        <w:rFonts w:ascii="华文行楷" w:eastAsia="华文行楷"/>
      </w:rPr>
    </w:pPr>
    <w:r>
      <mc:AlternateContent>
        <mc:Choice Requires="wps">
          <w:drawing>
            <wp:anchor distT="0" distB="0" distL="114300" distR="114300" simplePos="0" relativeHeight="251660288" behindDoc="1" locked="0" layoutInCell="0" allowOverlap="1">
              <wp:simplePos x="0" y="0"/>
              <wp:positionH relativeFrom="page">
                <wp:posOffset>3822700</wp:posOffset>
              </wp:positionH>
              <wp:positionV relativeFrom="page">
                <wp:posOffset>9982200</wp:posOffset>
              </wp:positionV>
              <wp:extent cx="355600" cy="127000"/>
              <wp:effectExtent l="0" t="0" r="6350" b="635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355600" cy="127000"/>
                      </a:xfrm>
                      <a:prstGeom prst="rect">
                        <a:avLst/>
                      </a:prstGeom>
                      <a:noFill/>
                      <a:ln>
                        <a:noFill/>
                      </a:ln>
                    </wps:spPr>
                    <wps:txbx>
                      <w:txbxContent>
                        <w:p w14:paraId="3903F8FA">
                          <w:pPr>
                            <w:pStyle w:val="6"/>
                            <w:kinsoku w:val="0"/>
                            <w:overflowPunct w:val="0"/>
                            <w:spacing w:line="235" w:lineRule="exact"/>
                            <w:ind w:left="40"/>
                            <w:rPr>
                              <w:rFonts w:ascii="Calibri" w:hAnsi="Calibri" w:cs="Calibri" w:eastAsiaTheme="minorEastAsia"/>
                              <w:sz w:val="21"/>
                              <w:szCs w:val="21"/>
                            </w:rPr>
                          </w:pPr>
                          <w:r>
                            <w:rPr>
                              <w:rFonts w:ascii="Calibri" w:hAnsi="Calibri" w:cs="Calibri" w:eastAsiaTheme="minorEastAsia"/>
                              <w:sz w:val="21"/>
                              <w:szCs w:val="21"/>
                            </w:rPr>
                            <w:fldChar w:fldCharType="begin"/>
                          </w:r>
                          <w:r>
                            <w:rPr>
                              <w:rFonts w:ascii="Calibri" w:hAnsi="Calibri" w:cs="Calibri" w:eastAsiaTheme="minorEastAsia"/>
                              <w:sz w:val="21"/>
                              <w:szCs w:val="21"/>
                            </w:rPr>
                            <w:instrText xml:space="preserve"> PAGE </w:instrText>
                          </w:r>
                          <w:r>
                            <w:rPr>
                              <w:rFonts w:ascii="Calibri" w:hAnsi="Calibri" w:cs="Calibri" w:eastAsiaTheme="minorEastAsia"/>
                              <w:sz w:val="21"/>
                              <w:szCs w:val="21"/>
                            </w:rPr>
                            <w:fldChar w:fldCharType="separate"/>
                          </w:r>
                          <w:r>
                            <w:rPr>
                              <w:rFonts w:ascii="Calibri" w:hAnsi="Calibri" w:cs="Calibri" w:eastAsiaTheme="minorEastAsia"/>
                              <w:sz w:val="21"/>
                              <w:szCs w:val="21"/>
                            </w:rPr>
                            <w:t>142</w:t>
                          </w:r>
                          <w:r>
                            <w:rPr>
                              <w:rFonts w:ascii="Calibri" w:hAnsi="Calibri" w:cs="Calibri" w:eastAsiaTheme="minorEastAsia"/>
                              <w:sz w:val="21"/>
                              <w:szCs w:val="21"/>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01pt;margin-top:786pt;height:10pt;width:28pt;mso-position-horizontal-relative:page;mso-position-vertical-relative:page;z-index:-251656192;mso-width-relative:page;mso-height-relative:page;" filled="f" stroked="f" coordsize="21600,21600" o:allowincell="f" o:gfxdata="UEsDBAoAAAAAAIdO4kAAAAAAAAAAAAAAAAAEAAAAZHJzL1BLAwQUAAAACACHTuJAPvWL7dgAAAAN&#10;AQAADwAAAGRycy9kb3ducmV2LnhtbE1Py07DMBC8I/EP1iJxo3YrNbQhToUqOCEh0nDg6CTbxGq8&#10;TmP3wd+zOdHb7MxodibbXF0vzjgG60nDfKZAINW+sdRq+C7fn1YgQjTUmN4TavjFAJv8/i4zaeMv&#10;VOB5F1vBIRRSo6GLcUilDHWHzoSZH5BY2/vRmcjn2MpmNBcOd71cKJVIZyzxh84MuO2wPuxOTsPr&#10;DxVv9vhZfRX7wpblWtFHctD68WGuXkBEvMZ/M0z1uTrk3KnyJ2qC6DUkasFbIgvL5wmxJVmuGFQT&#10;tWZK5pm8XZH/AVBLAwQUAAAACACHTuJA8H0hPQsCAAAEBAAADgAAAGRycy9lMm9Eb2MueG1srVPN&#10;jtMwEL4j8Q6W7zTpoi0oarpatlqEtPxICw8wdZzGIvGYsdukPAC8AScu3HmuPgdjp+0uy2UPXKzx&#10;ePzN930ezy+GrhVbTd6gLeV0kkuhrcLK2HUpP328fvZSCh/AVtCi1aXcaS8vFk+fzHtX6DNssK00&#10;CQaxvuhdKZsQXJFlXjW6Az9Bpy0f1kgdBN7SOqsIekbv2uwsz2dZj1Q5QqW95+xyPJQHRHoMINa1&#10;UXqJatNpG0ZU0i0EluQb47xcJLZ1rVV4X9deB9GWkpWGtHITjldxzRZzKNYErjHqQAEeQ+GBpg6M&#10;5aYnqCUEEBsy/0B1RhF6rMNEYZeNQpIjrGKaP/DmtgGnkxa22ruT6f7/wap32w8kTFXKmRQWOn7w&#10;/Y/v+5+/97++iVm0p3e+4Kpbx3VheIUDD02S6t0Nqs9eWLxqwK71JRH2jYaK6U3jzeze1RHHR5BV&#10;/xYr7gObgAloqKmL3rEbgtH5aXanp9FDEIqTz8/PZzmfKD6anr3IOY4doDheduTDa42diEEpiV8+&#10;gcP2xoex9FgSe1m8Nm3LeSha+1eCMWMmkY98R+ZhWA1cHRWtsNqxDMJxmPgrcdAgfZWi50Eqpf+y&#10;AdJStG8sWxGn7hjQMVgdA7CKr5YySDGGV2Gczo0js24YeTTb4iXbVZsk5Y7FgScPRzLjMMhx+u7v&#10;U9Xd513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71i+3YAAAADQEAAA8AAAAAAAAAAQAgAAAA&#10;IgAAAGRycy9kb3ducmV2LnhtbFBLAQIUABQAAAAIAIdO4kDwfSE9CwIAAAQEAAAOAAAAAAAAAAEA&#10;IAAAACcBAABkcnMvZTJvRG9jLnhtbFBLBQYAAAAABgAGAFkBAACkBQAAAAA=&#10;">
              <v:fill on="f" focussize="0,0"/>
              <v:stroke on="f"/>
              <v:imagedata o:title=""/>
              <o:lock v:ext="edit" aspectratio="f"/>
              <v:textbox inset="0mm,0mm,0mm,0mm">
                <w:txbxContent>
                  <w:p w14:paraId="3903F8FA">
                    <w:pPr>
                      <w:pStyle w:val="6"/>
                      <w:kinsoku w:val="0"/>
                      <w:overflowPunct w:val="0"/>
                      <w:spacing w:line="235" w:lineRule="exact"/>
                      <w:ind w:left="40"/>
                      <w:rPr>
                        <w:rFonts w:ascii="Calibri" w:hAnsi="Calibri" w:cs="Calibri" w:eastAsiaTheme="minorEastAsia"/>
                        <w:sz w:val="21"/>
                        <w:szCs w:val="21"/>
                      </w:rPr>
                    </w:pPr>
                    <w:r>
                      <w:rPr>
                        <w:rFonts w:ascii="Calibri" w:hAnsi="Calibri" w:cs="Calibri" w:eastAsiaTheme="minorEastAsia"/>
                        <w:sz w:val="21"/>
                        <w:szCs w:val="21"/>
                      </w:rPr>
                      <w:fldChar w:fldCharType="begin"/>
                    </w:r>
                    <w:r>
                      <w:rPr>
                        <w:rFonts w:ascii="Calibri" w:hAnsi="Calibri" w:cs="Calibri" w:eastAsiaTheme="minorEastAsia"/>
                        <w:sz w:val="21"/>
                        <w:szCs w:val="21"/>
                      </w:rPr>
                      <w:instrText xml:space="preserve"> PAGE </w:instrText>
                    </w:r>
                    <w:r>
                      <w:rPr>
                        <w:rFonts w:ascii="Calibri" w:hAnsi="Calibri" w:cs="Calibri" w:eastAsiaTheme="minorEastAsia"/>
                        <w:sz w:val="21"/>
                        <w:szCs w:val="21"/>
                      </w:rPr>
                      <w:fldChar w:fldCharType="separate"/>
                    </w:r>
                    <w:r>
                      <w:rPr>
                        <w:rFonts w:ascii="Calibri" w:hAnsi="Calibri" w:cs="Calibri" w:eastAsiaTheme="minorEastAsia"/>
                        <w:sz w:val="21"/>
                        <w:szCs w:val="21"/>
                      </w:rPr>
                      <w:t>142</w:t>
                    </w:r>
                    <w:r>
                      <w:rPr>
                        <w:rFonts w:ascii="Calibri" w:hAnsi="Calibri" w:cs="Calibri" w:eastAsiaTheme="minorEastAsia"/>
                        <w:sz w:val="21"/>
                        <w:szCs w:val="21"/>
                      </w:rPr>
                      <w:fldChar w:fldCharType="end"/>
                    </w:r>
                  </w:p>
                </w:txbxContent>
              </v:textbox>
            </v:shape>
          </w:pict>
        </mc:Fallback>
      </mc:AlternateContent>
    </w:r>
    <w:r>
      <w:rPr>
        <w:rFonts w:hint="eastAsia" w:ascii="华文行楷" w:eastAsia="华文行楷"/>
      </w:rPr>
      <w:t>新疆兵团勘测设计院集团股份有限公司编制</w:t>
    </w:r>
  </w:p>
  <w:p w14:paraId="7283E22F">
    <w:pPr>
      <w:pStyle w:val="54"/>
      <w:pBdr>
        <w:top w:val="thinThickSmallGap" w:color="622423" w:sz="24" w:space="1"/>
      </w:pBdr>
      <w:tabs>
        <w:tab w:val="right" w:pos="8958"/>
        <w:tab w:val="clear" w:pos="4153"/>
        <w:tab w:val="clear" w:pos="8306"/>
      </w:tabs>
      <w:spacing w:line="360" w:lineRule="auto"/>
      <w:rPr>
        <w:rFonts w:ascii="华文行楷" w:eastAsia="华文行楷"/>
      </w:rPr>
    </w:pPr>
  </w:p>
  <w:p w14:paraId="48891817">
    <w:pPr>
      <w:pStyle w:val="6"/>
      <w:kinsoku w:val="0"/>
      <w:overflowPunct w:val="0"/>
      <w:spacing w:line="14" w:lineRule="auto"/>
      <w:rPr>
        <w:rFonts w:eastAsiaTheme="minorEastAsia"/>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5438726"/>
      <w:docPartObj>
        <w:docPartGallery w:val="autotext"/>
      </w:docPartObj>
    </w:sdtPr>
    <w:sdtContent>
      <w:p w14:paraId="6C9B4FBB">
        <w:pPr>
          <w:pStyle w:val="54"/>
          <w:pBdr>
            <w:top w:val="thinThickSmallGap" w:color="622423" w:sz="24" w:space="1"/>
          </w:pBdr>
          <w:tabs>
            <w:tab w:val="right" w:pos="8958"/>
            <w:tab w:val="clear" w:pos="4153"/>
            <w:tab w:val="clear" w:pos="8306"/>
          </w:tabs>
          <w:spacing w:line="360" w:lineRule="auto"/>
          <w:rPr>
            <w:rFonts w:ascii="华文行楷" w:eastAsia="华文行楷"/>
          </w:rPr>
        </w:pPr>
        <w:r>
          <w:rPr>
            <w:rFonts w:ascii="华文行楷" w:eastAsia="华文行楷"/>
          </w:rPr>
          <w:t>新疆兵团勘测设计院集团</w:t>
        </w:r>
        <w:r>
          <w:rPr>
            <w:rFonts w:hint="eastAsia" w:ascii="华文行楷" w:eastAsia="华文行楷"/>
          </w:rPr>
          <w:t>股份</w:t>
        </w:r>
        <w:r>
          <w:rPr>
            <w:rFonts w:ascii="华文行楷" w:eastAsia="华文行楷"/>
          </w:rPr>
          <w:t>有限公司</w:t>
        </w:r>
        <w:r>
          <w:rPr>
            <w:rFonts w:hint="eastAsia" w:ascii="华文行楷" w:eastAsia="华文行楷"/>
          </w:rPr>
          <w:t>编制</w:t>
        </w:r>
      </w:p>
      <w:p w14:paraId="1D4EB431">
        <w:pPr>
          <w:pStyle w:val="54"/>
          <w:jc w:val="center"/>
        </w:pPr>
        <w:r>
          <w:fldChar w:fldCharType="begin"/>
        </w:r>
        <w:r>
          <w:instrText xml:space="preserve">PAGE   \* MERGEFORMAT</w:instrText>
        </w:r>
        <w:r>
          <w:fldChar w:fldCharType="separate"/>
        </w:r>
        <w:r>
          <w:rPr>
            <w:lang w:val="zh-CN"/>
          </w:rPr>
          <w:t>150</w:t>
        </w:r>
        <w:r>
          <w:fldChar w:fldCharType="end"/>
        </w:r>
      </w:p>
    </w:sdtContent>
  </w:sdt>
  <w:p w14:paraId="6F638DFF">
    <w:pPr>
      <w:pStyle w:val="6"/>
      <w:kinsoku w:val="0"/>
      <w:overflowPunct w:val="0"/>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CEDCB">
    <w:pPr>
      <w:pStyle w:val="54"/>
      <w:pBdr>
        <w:top w:val="thinThickSmallGap" w:color="622423" w:sz="24" w:space="1"/>
      </w:pBdr>
      <w:tabs>
        <w:tab w:val="right" w:pos="8958"/>
        <w:tab w:val="clear" w:pos="4153"/>
        <w:tab w:val="clear" w:pos="8306"/>
      </w:tabs>
      <w:spacing w:line="360" w:lineRule="auto"/>
      <w:rPr>
        <w:rFonts w:ascii="华文行楷" w:eastAsia="华文行楷"/>
      </w:rPr>
    </w:pPr>
    <w:r>
      <w:rPr>
        <w:rFonts w:ascii="华文行楷" w:eastAsia="华文行楷"/>
      </w:rPr>
      <w:t>新疆兵团勘测设计院集团</w:t>
    </w:r>
    <w:r>
      <w:rPr>
        <w:rFonts w:hint="eastAsia" w:ascii="华文行楷" w:eastAsia="华文行楷"/>
      </w:rPr>
      <w:t>股份</w:t>
    </w:r>
    <w:r>
      <w:rPr>
        <w:rFonts w:ascii="华文行楷" w:eastAsia="华文行楷"/>
      </w:rPr>
      <w:t>有限公司</w:t>
    </w:r>
    <w:r>
      <w:rPr>
        <w:rFonts w:hint="eastAsia" w:ascii="华文行楷" w:eastAsia="华文行楷"/>
      </w:rPr>
      <w:t>编制</w:t>
    </w:r>
  </w:p>
  <w:p w14:paraId="05CB5320">
    <w:pPr>
      <w:pStyle w:val="54"/>
      <w:framePr w:wrap="around" w:vAnchor="text" w:hAnchor="page" w:x="5806" w:y="159"/>
      <w:rPr>
        <w:rStyle w:val="135"/>
      </w:rPr>
    </w:pPr>
    <w:r>
      <w:rPr>
        <w:rStyle w:val="135"/>
      </w:rPr>
      <w:fldChar w:fldCharType="begin"/>
    </w:r>
    <w:r>
      <w:rPr>
        <w:rStyle w:val="135"/>
      </w:rPr>
      <w:instrText xml:space="preserve">PAGE  </w:instrText>
    </w:r>
    <w:r>
      <w:rPr>
        <w:rStyle w:val="135"/>
      </w:rPr>
      <w:fldChar w:fldCharType="separate"/>
    </w:r>
    <w:r>
      <w:rPr>
        <w:rStyle w:val="135"/>
      </w:rPr>
      <w:t>158</w:t>
    </w:r>
    <w:r>
      <w:rPr>
        <w:rStyle w:val="135"/>
      </w:rPr>
      <w:fldChar w:fldCharType="end"/>
    </w:r>
  </w:p>
  <w:p w14:paraId="6440A5F3">
    <w:pPr>
      <w:pStyle w:val="5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304B">
    <w:pPr>
      <w:pBdr>
        <w:bottom w:val="thickThinSmallGap" w:color="622423" w:sz="24" w:space="1"/>
      </w:pBdr>
      <w:spacing w:after="48" w:line="100" w:lineRule="atLeast"/>
      <w:jc w:val="center"/>
      <w:rPr>
        <w:rFonts w:eastAsia="隶书"/>
      </w:rPr>
    </w:pPr>
    <w:r>
      <w:rPr>
        <w:rFonts w:eastAsia="隶书"/>
      </w:rPr>
      <w:t>G3012-草湖-G314公路（草湖-G314段）</w:t>
    </w:r>
    <w:r>
      <w:rPr>
        <w:rFonts w:hint="eastAsia" w:eastAsia="隶书"/>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7D16F">
    <w:pPr>
      <w:pBdr>
        <w:bottom w:val="thickThinSmallGap" w:color="622423" w:sz="24" w:space="1"/>
      </w:pBdr>
      <w:spacing w:after="48" w:line="100" w:lineRule="atLeast"/>
      <w:jc w:val="center"/>
      <w:rPr>
        <w:rFonts w:eastAsia="隶书"/>
      </w:rPr>
    </w:pPr>
    <w:r>
      <w:rPr>
        <w:rFonts w:eastAsia="隶书"/>
      </w:rPr>
      <w:t>G3012-草湖-G314公路（草湖-G314段）</w:t>
    </w:r>
    <w:r>
      <w:rPr>
        <w:rFonts w:hint="eastAsia" w:eastAsia="隶书"/>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4"/>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3">
    <w:nsid w:val="FFFFFF80"/>
    <w:multiLevelType w:val="singleLevel"/>
    <w:tmpl w:val="FFFFFF80"/>
    <w:lvl w:ilvl="0" w:tentative="0">
      <w:start w:val="1"/>
      <w:numFmt w:val="bullet"/>
      <w:pStyle w:val="45"/>
      <w:lvlText w:val=""/>
      <w:lvlJc w:val="left"/>
      <w:pPr>
        <w:tabs>
          <w:tab w:val="left" w:pos="2040"/>
        </w:tabs>
        <w:ind w:left="2040" w:leftChars="800" w:hanging="360" w:hangingChars="200"/>
      </w:pPr>
      <w:rPr>
        <w:rFonts w:hint="default" w:ascii="Wingdings" w:hAnsi="Wingdings"/>
      </w:rPr>
    </w:lvl>
  </w:abstractNum>
  <w:abstractNum w:abstractNumId="4">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5">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6">
    <w:nsid w:val="FFFFFF88"/>
    <w:multiLevelType w:val="singleLevel"/>
    <w:tmpl w:val="FFFFFF88"/>
    <w:lvl w:ilvl="0" w:tentative="0">
      <w:start w:val="1"/>
      <w:numFmt w:val="decimal"/>
      <w:pStyle w:val="21"/>
      <w:lvlText w:val="%1."/>
      <w:lvlJc w:val="left"/>
      <w:pPr>
        <w:tabs>
          <w:tab w:val="left" w:pos="360"/>
        </w:tabs>
        <w:ind w:left="360" w:hanging="360" w:hangingChars="200"/>
      </w:pPr>
    </w:lvl>
  </w:abstractNum>
  <w:abstractNum w:abstractNumId="7">
    <w:nsid w:val="228D2686"/>
    <w:multiLevelType w:val="singleLevel"/>
    <w:tmpl w:val="228D2686"/>
    <w:lvl w:ilvl="0" w:tentative="0">
      <w:start w:val="5"/>
      <w:numFmt w:val="decimal"/>
      <w:pStyle w:val="2232"/>
      <w:lvlText w:val="%1."/>
      <w:legacy w:legacy="1" w:legacySpace="0" w:legacyIndent="0"/>
      <w:lvlJc w:val="left"/>
      <w:rPr>
        <w:rFonts w:hint="eastAsia" w:ascii="宋体" w:hAnsi="宋体" w:eastAsia="宋体"/>
        <w:color w:val="292D28"/>
      </w:rPr>
    </w:lvl>
  </w:abstractNum>
  <w:abstractNum w:abstractNumId="8">
    <w:nsid w:val="3DB57900"/>
    <w:multiLevelType w:val="multilevel"/>
    <w:tmpl w:val="3DB57900"/>
    <w:lvl w:ilvl="0" w:tentative="0">
      <w:start w:val="1"/>
      <w:numFmt w:val="decimal"/>
      <w:isLgl/>
      <w:suff w:val="space"/>
      <w:lvlText w:val="%1"/>
      <w:lvlJc w:val="left"/>
      <w:pPr>
        <w:ind w:left="0" w:firstLine="0"/>
      </w:pPr>
      <w:rPr>
        <w:rFonts w:hint="default" w:ascii="Times New Roman" w:hAnsi="Times New Roman" w:eastAsia="黑体"/>
        <w:b w:val="0"/>
        <w:i w:val="0"/>
        <w:sz w:val="32"/>
        <w:szCs w:val="32"/>
      </w:rPr>
    </w:lvl>
    <w:lvl w:ilvl="1" w:tentative="0">
      <w:start w:val="1"/>
      <w:numFmt w:val="decimal"/>
      <w:isLgl/>
      <w:suff w:val="space"/>
      <w:lvlText w:val="%1.%2"/>
      <w:lvlJc w:val="left"/>
      <w:pPr>
        <w:ind w:left="0" w:firstLine="0"/>
      </w:pPr>
      <w:rPr>
        <w:rFonts w:hint="default" w:ascii="Times New Roman" w:hAnsi="Times New Roman" w:eastAsia="黑体"/>
        <w:b w:val="0"/>
        <w:i w:val="0"/>
        <w:sz w:val="28"/>
        <w:szCs w:val="28"/>
      </w:rPr>
    </w:lvl>
    <w:lvl w:ilvl="2" w:tentative="0">
      <w:start w:val="1"/>
      <w:numFmt w:val="decimal"/>
      <w:pStyle w:val="1626"/>
      <w:isLgl/>
      <w:suff w:val="space"/>
      <w:lvlText w:val="%1.%2.%3"/>
      <w:lvlJc w:val="left"/>
      <w:pPr>
        <w:ind w:left="0" w:firstLine="0"/>
      </w:pPr>
      <w:rPr>
        <w:rFonts w:hint="default" w:ascii="Times New Roman" w:hAnsi="Times New Roman" w:eastAsia="黑体"/>
        <w:b w:val="0"/>
        <w:i w:val="0"/>
        <w:sz w:val="24"/>
        <w:szCs w:val="24"/>
      </w:rPr>
    </w:lvl>
    <w:lvl w:ilvl="3" w:tentative="0">
      <w:start w:val="1"/>
      <w:numFmt w:val="decimal"/>
      <w:isLgl/>
      <w:suff w:val="space"/>
      <w:lvlText w:val="%1.%2.%3.%4"/>
      <w:lvlJc w:val="left"/>
      <w:pPr>
        <w:ind w:left="0" w:firstLine="0"/>
      </w:pPr>
      <w:rPr>
        <w:rFonts w:hint="default" w:ascii="Times New Roman" w:hAnsi="Times New Roman" w:eastAsia="黑体"/>
        <w:b w:val="0"/>
        <w:i w:val="0"/>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5BF172D0"/>
    <w:multiLevelType w:val="multilevel"/>
    <w:tmpl w:val="5BF172D0"/>
    <w:lvl w:ilvl="0" w:tentative="0">
      <w:start w:val="1"/>
      <w:numFmt w:val="decimalEnclosedCircle"/>
      <w:lvlText w:val="%1"/>
      <w:lvlJc w:val="left"/>
      <w:pPr>
        <w:ind w:left="840" w:hanging="360"/>
      </w:pPr>
      <w:rPr>
        <w:rFonts w:hint="default"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DD87BAD"/>
    <w:multiLevelType w:val="multilevel"/>
    <w:tmpl w:val="5DD87BAD"/>
    <w:lvl w:ilvl="0" w:tentative="0">
      <w:start w:val="1"/>
      <w:numFmt w:val="decimal"/>
      <w:lvlText w:val="（%1）"/>
      <w:lvlJc w:val="left"/>
      <w:pPr>
        <w:tabs>
          <w:tab w:val="left" w:pos="720"/>
        </w:tabs>
        <w:ind w:left="720" w:hanging="720"/>
      </w:pPr>
    </w:lvl>
    <w:lvl w:ilvl="1" w:tentative="0">
      <w:start w:val="1"/>
      <w:numFmt w:val="bullet"/>
      <w:pStyle w:val="2216"/>
      <w:lvlText w:val=""/>
      <w:lvlJc w:val="left"/>
      <w:pPr>
        <w:tabs>
          <w:tab w:val="left" w:pos="1322"/>
        </w:tabs>
        <w:ind w:left="1322" w:hanging="420"/>
      </w:pPr>
      <w:rPr>
        <w:rFonts w:hint="default" w:ascii="Wingdings" w:hAnsi="Wingdings"/>
      </w:rPr>
    </w:lvl>
    <w:lvl w:ilvl="2" w:tentative="0">
      <w:start w:val="1"/>
      <w:numFmt w:val="decimal"/>
      <w:lvlText w:val="%3）"/>
      <w:lvlJc w:val="left"/>
      <w:pPr>
        <w:ind w:left="120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79272E07"/>
    <w:multiLevelType w:val="multilevel"/>
    <w:tmpl w:val="79272E07"/>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B541212"/>
    <w:multiLevelType w:val="multilevel"/>
    <w:tmpl w:val="7B541212"/>
    <w:lvl w:ilvl="0" w:tentative="0">
      <w:start w:val="1"/>
      <w:numFmt w:val="bullet"/>
      <w:pStyle w:val="88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4"/>
  </w:num>
  <w:num w:numId="3">
    <w:abstractNumId w:val="6"/>
  </w:num>
  <w:num w:numId="4">
    <w:abstractNumId w:val="5"/>
  </w:num>
  <w:num w:numId="5">
    <w:abstractNumId w:val="1"/>
  </w:num>
  <w:num w:numId="6">
    <w:abstractNumId w:val="3"/>
  </w:num>
  <w:num w:numId="7">
    <w:abstractNumId w:val="0"/>
  </w:num>
  <w:num w:numId="8">
    <w:abstractNumId w:val="12"/>
  </w:num>
  <w:num w:numId="9">
    <w:abstractNumId w:val="8"/>
  </w:num>
  <w:num w:numId="10">
    <w:abstractNumId w:val="1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AE3"/>
    <w:rsid w:val="0000001A"/>
    <w:rsid w:val="000000DB"/>
    <w:rsid w:val="000000FF"/>
    <w:rsid w:val="000003EC"/>
    <w:rsid w:val="00000412"/>
    <w:rsid w:val="00000663"/>
    <w:rsid w:val="0000073D"/>
    <w:rsid w:val="00000748"/>
    <w:rsid w:val="000007B6"/>
    <w:rsid w:val="000008D2"/>
    <w:rsid w:val="00000970"/>
    <w:rsid w:val="00000B9C"/>
    <w:rsid w:val="00000BF5"/>
    <w:rsid w:val="00000BFA"/>
    <w:rsid w:val="00000CF7"/>
    <w:rsid w:val="00000E6F"/>
    <w:rsid w:val="00000EC6"/>
    <w:rsid w:val="00000F41"/>
    <w:rsid w:val="000010EC"/>
    <w:rsid w:val="0000121B"/>
    <w:rsid w:val="00001285"/>
    <w:rsid w:val="000013BD"/>
    <w:rsid w:val="000013E4"/>
    <w:rsid w:val="000014C9"/>
    <w:rsid w:val="00001578"/>
    <w:rsid w:val="000016CE"/>
    <w:rsid w:val="00001758"/>
    <w:rsid w:val="00001881"/>
    <w:rsid w:val="000019A1"/>
    <w:rsid w:val="000019D2"/>
    <w:rsid w:val="00001A43"/>
    <w:rsid w:val="00001B58"/>
    <w:rsid w:val="00001D08"/>
    <w:rsid w:val="00001D68"/>
    <w:rsid w:val="00001EC6"/>
    <w:rsid w:val="00001ECB"/>
    <w:rsid w:val="00001EF3"/>
    <w:rsid w:val="0000213C"/>
    <w:rsid w:val="00002279"/>
    <w:rsid w:val="000022BB"/>
    <w:rsid w:val="000023C5"/>
    <w:rsid w:val="000024A3"/>
    <w:rsid w:val="00002A65"/>
    <w:rsid w:val="00002B15"/>
    <w:rsid w:val="00002B2C"/>
    <w:rsid w:val="00002BC1"/>
    <w:rsid w:val="00002C91"/>
    <w:rsid w:val="00002CA8"/>
    <w:rsid w:val="00002CB9"/>
    <w:rsid w:val="00003281"/>
    <w:rsid w:val="0000379C"/>
    <w:rsid w:val="00003902"/>
    <w:rsid w:val="00003B1B"/>
    <w:rsid w:val="00003B3B"/>
    <w:rsid w:val="00003B66"/>
    <w:rsid w:val="00003D16"/>
    <w:rsid w:val="00003E1D"/>
    <w:rsid w:val="00004369"/>
    <w:rsid w:val="0000437E"/>
    <w:rsid w:val="00004683"/>
    <w:rsid w:val="00004770"/>
    <w:rsid w:val="00004A60"/>
    <w:rsid w:val="00004AC0"/>
    <w:rsid w:val="00004B95"/>
    <w:rsid w:val="00004C20"/>
    <w:rsid w:val="00004F0B"/>
    <w:rsid w:val="00004F83"/>
    <w:rsid w:val="00004FED"/>
    <w:rsid w:val="0000501F"/>
    <w:rsid w:val="0000516C"/>
    <w:rsid w:val="00005284"/>
    <w:rsid w:val="00005366"/>
    <w:rsid w:val="0000542F"/>
    <w:rsid w:val="000054C4"/>
    <w:rsid w:val="000057E1"/>
    <w:rsid w:val="000058A1"/>
    <w:rsid w:val="000058BE"/>
    <w:rsid w:val="00005A3C"/>
    <w:rsid w:val="00005A41"/>
    <w:rsid w:val="00005A4D"/>
    <w:rsid w:val="00005C23"/>
    <w:rsid w:val="00005C98"/>
    <w:rsid w:val="00005CE4"/>
    <w:rsid w:val="00005E79"/>
    <w:rsid w:val="00006418"/>
    <w:rsid w:val="00006431"/>
    <w:rsid w:val="0000647F"/>
    <w:rsid w:val="00006630"/>
    <w:rsid w:val="00006808"/>
    <w:rsid w:val="00006921"/>
    <w:rsid w:val="00006A04"/>
    <w:rsid w:val="00006A13"/>
    <w:rsid w:val="00006B57"/>
    <w:rsid w:val="00006CB1"/>
    <w:rsid w:val="00006CB8"/>
    <w:rsid w:val="00006D45"/>
    <w:rsid w:val="00006E22"/>
    <w:rsid w:val="00006ED3"/>
    <w:rsid w:val="00006EE9"/>
    <w:rsid w:val="00006F72"/>
    <w:rsid w:val="00006F84"/>
    <w:rsid w:val="000071C3"/>
    <w:rsid w:val="0000720F"/>
    <w:rsid w:val="00007293"/>
    <w:rsid w:val="000072B3"/>
    <w:rsid w:val="000073B9"/>
    <w:rsid w:val="00007400"/>
    <w:rsid w:val="00007AB5"/>
    <w:rsid w:val="00007B13"/>
    <w:rsid w:val="00007BA1"/>
    <w:rsid w:val="00007DF9"/>
    <w:rsid w:val="00010170"/>
    <w:rsid w:val="00010366"/>
    <w:rsid w:val="0001037B"/>
    <w:rsid w:val="000106AF"/>
    <w:rsid w:val="00010710"/>
    <w:rsid w:val="00010892"/>
    <w:rsid w:val="000109BE"/>
    <w:rsid w:val="000109D7"/>
    <w:rsid w:val="00010A22"/>
    <w:rsid w:val="00010ACD"/>
    <w:rsid w:val="00010B36"/>
    <w:rsid w:val="00010DAE"/>
    <w:rsid w:val="00010E85"/>
    <w:rsid w:val="00010F28"/>
    <w:rsid w:val="000111A6"/>
    <w:rsid w:val="00011517"/>
    <w:rsid w:val="0001155B"/>
    <w:rsid w:val="000115B6"/>
    <w:rsid w:val="0001176B"/>
    <w:rsid w:val="00011872"/>
    <w:rsid w:val="0001189D"/>
    <w:rsid w:val="00011960"/>
    <w:rsid w:val="0001197A"/>
    <w:rsid w:val="00011A1F"/>
    <w:rsid w:val="00011B54"/>
    <w:rsid w:val="00011B6F"/>
    <w:rsid w:val="00011C2B"/>
    <w:rsid w:val="00011C3F"/>
    <w:rsid w:val="00011C45"/>
    <w:rsid w:val="00011DD5"/>
    <w:rsid w:val="00011E81"/>
    <w:rsid w:val="00011F0A"/>
    <w:rsid w:val="00012048"/>
    <w:rsid w:val="0001218C"/>
    <w:rsid w:val="00012269"/>
    <w:rsid w:val="000122CE"/>
    <w:rsid w:val="000123E9"/>
    <w:rsid w:val="0001248B"/>
    <w:rsid w:val="00012495"/>
    <w:rsid w:val="000124CA"/>
    <w:rsid w:val="0001297A"/>
    <w:rsid w:val="00012DF1"/>
    <w:rsid w:val="00012EE6"/>
    <w:rsid w:val="00012F3E"/>
    <w:rsid w:val="00012FB8"/>
    <w:rsid w:val="000132A4"/>
    <w:rsid w:val="0001342E"/>
    <w:rsid w:val="00013AB5"/>
    <w:rsid w:val="00013C81"/>
    <w:rsid w:val="00013CAC"/>
    <w:rsid w:val="00013E4C"/>
    <w:rsid w:val="00013E71"/>
    <w:rsid w:val="00013FE0"/>
    <w:rsid w:val="00014052"/>
    <w:rsid w:val="00014201"/>
    <w:rsid w:val="00014257"/>
    <w:rsid w:val="00014325"/>
    <w:rsid w:val="000145B7"/>
    <w:rsid w:val="000147D6"/>
    <w:rsid w:val="0001481C"/>
    <w:rsid w:val="000149D2"/>
    <w:rsid w:val="000149F9"/>
    <w:rsid w:val="00014A16"/>
    <w:rsid w:val="00014A74"/>
    <w:rsid w:val="00014AA8"/>
    <w:rsid w:val="00014B38"/>
    <w:rsid w:val="00014B44"/>
    <w:rsid w:val="00014BA5"/>
    <w:rsid w:val="00014C30"/>
    <w:rsid w:val="00014DBF"/>
    <w:rsid w:val="00014ECA"/>
    <w:rsid w:val="00014EFD"/>
    <w:rsid w:val="00014F1C"/>
    <w:rsid w:val="00014F78"/>
    <w:rsid w:val="00015020"/>
    <w:rsid w:val="00015096"/>
    <w:rsid w:val="00015100"/>
    <w:rsid w:val="00015558"/>
    <w:rsid w:val="00015823"/>
    <w:rsid w:val="00015DCB"/>
    <w:rsid w:val="00015ED4"/>
    <w:rsid w:val="00015F68"/>
    <w:rsid w:val="00015F8A"/>
    <w:rsid w:val="00016057"/>
    <w:rsid w:val="00016116"/>
    <w:rsid w:val="00016187"/>
    <w:rsid w:val="0001625C"/>
    <w:rsid w:val="000162CC"/>
    <w:rsid w:val="000163E1"/>
    <w:rsid w:val="00016538"/>
    <w:rsid w:val="000166FE"/>
    <w:rsid w:val="00016984"/>
    <w:rsid w:val="00016A03"/>
    <w:rsid w:val="00016A71"/>
    <w:rsid w:val="00016D08"/>
    <w:rsid w:val="00016EE8"/>
    <w:rsid w:val="00016F16"/>
    <w:rsid w:val="00016F34"/>
    <w:rsid w:val="000170E1"/>
    <w:rsid w:val="00017104"/>
    <w:rsid w:val="00017465"/>
    <w:rsid w:val="000174FE"/>
    <w:rsid w:val="000178B1"/>
    <w:rsid w:val="000179A7"/>
    <w:rsid w:val="00017A18"/>
    <w:rsid w:val="00017BB1"/>
    <w:rsid w:val="00017C49"/>
    <w:rsid w:val="00017C51"/>
    <w:rsid w:val="00017C9F"/>
    <w:rsid w:val="00017CBB"/>
    <w:rsid w:val="00017DB5"/>
    <w:rsid w:val="00017E31"/>
    <w:rsid w:val="00020115"/>
    <w:rsid w:val="000201A4"/>
    <w:rsid w:val="00020222"/>
    <w:rsid w:val="00020482"/>
    <w:rsid w:val="0002053C"/>
    <w:rsid w:val="000205EE"/>
    <w:rsid w:val="000206D4"/>
    <w:rsid w:val="0002077A"/>
    <w:rsid w:val="00020786"/>
    <w:rsid w:val="0002098B"/>
    <w:rsid w:val="00020A59"/>
    <w:rsid w:val="00020A9B"/>
    <w:rsid w:val="00020BCD"/>
    <w:rsid w:val="00020D77"/>
    <w:rsid w:val="00021068"/>
    <w:rsid w:val="000210A2"/>
    <w:rsid w:val="000211C3"/>
    <w:rsid w:val="000211D8"/>
    <w:rsid w:val="0002144F"/>
    <w:rsid w:val="00021633"/>
    <w:rsid w:val="000216AF"/>
    <w:rsid w:val="0002171F"/>
    <w:rsid w:val="000217B3"/>
    <w:rsid w:val="0002181A"/>
    <w:rsid w:val="00021B7A"/>
    <w:rsid w:val="00021C11"/>
    <w:rsid w:val="00021C65"/>
    <w:rsid w:val="00021CDD"/>
    <w:rsid w:val="00021E4A"/>
    <w:rsid w:val="00022087"/>
    <w:rsid w:val="000220FA"/>
    <w:rsid w:val="00022170"/>
    <w:rsid w:val="000221C1"/>
    <w:rsid w:val="00022233"/>
    <w:rsid w:val="00022256"/>
    <w:rsid w:val="00022275"/>
    <w:rsid w:val="000222D8"/>
    <w:rsid w:val="0002249D"/>
    <w:rsid w:val="00022551"/>
    <w:rsid w:val="000225E6"/>
    <w:rsid w:val="000226DE"/>
    <w:rsid w:val="000228B6"/>
    <w:rsid w:val="00022907"/>
    <w:rsid w:val="00022BC7"/>
    <w:rsid w:val="00022C08"/>
    <w:rsid w:val="00022C4B"/>
    <w:rsid w:val="00022CA8"/>
    <w:rsid w:val="00022DA8"/>
    <w:rsid w:val="00022F00"/>
    <w:rsid w:val="00022F25"/>
    <w:rsid w:val="00022F2E"/>
    <w:rsid w:val="000231B6"/>
    <w:rsid w:val="00023237"/>
    <w:rsid w:val="0002327C"/>
    <w:rsid w:val="0002336E"/>
    <w:rsid w:val="00023587"/>
    <w:rsid w:val="000235F4"/>
    <w:rsid w:val="0002361D"/>
    <w:rsid w:val="0002362B"/>
    <w:rsid w:val="000238C0"/>
    <w:rsid w:val="00023936"/>
    <w:rsid w:val="00023997"/>
    <w:rsid w:val="00023D50"/>
    <w:rsid w:val="00023F78"/>
    <w:rsid w:val="00023FEA"/>
    <w:rsid w:val="00024115"/>
    <w:rsid w:val="000241A6"/>
    <w:rsid w:val="000241DB"/>
    <w:rsid w:val="00024578"/>
    <w:rsid w:val="00024618"/>
    <w:rsid w:val="000248D4"/>
    <w:rsid w:val="000248FB"/>
    <w:rsid w:val="00024AC4"/>
    <w:rsid w:val="00024AF5"/>
    <w:rsid w:val="00024B1D"/>
    <w:rsid w:val="00024ED6"/>
    <w:rsid w:val="00024F36"/>
    <w:rsid w:val="00025133"/>
    <w:rsid w:val="000251AE"/>
    <w:rsid w:val="00025217"/>
    <w:rsid w:val="00025225"/>
    <w:rsid w:val="000252B5"/>
    <w:rsid w:val="0002533A"/>
    <w:rsid w:val="000253D0"/>
    <w:rsid w:val="0002548D"/>
    <w:rsid w:val="000254E8"/>
    <w:rsid w:val="00025684"/>
    <w:rsid w:val="00025708"/>
    <w:rsid w:val="0002572D"/>
    <w:rsid w:val="00025866"/>
    <w:rsid w:val="00025876"/>
    <w:rsid w:val="000258C8"/>
    <w:rsid w:val="000258CB"/>
    <w:rsid w:val="000258D7"/>
    <w:rsid w:val="00025B85"/>
    <w:rsid w:val="00025BBE"/>
    <w:rsid w:val="00025D47"/>
    <w:rsid w:val="00025F47"/>
    <w:rsid w:val="000261E8"/>
    <w:rsid w:val="0002621A"/>
    <w:rsid w:val="00026234"/>
    <w:rsid w:val="0002626B"/>
    <w:rsid w:val="0002645E"/>
    <w:rsid w:val="000265B7"/>
    <w:rsid w:val="000266E7"/>
    <w:rsid w:val="000269DE"/>
    <w:rsid w:val="000269F9"/>
    <w:rsid w:val="00026B51"/>
    <w:rsid w:val="00026E11"/>
    <w:rsid w:val="00026FFD"/>
    <w:rsid w:val="0002708D"/>
    <w:rsid w:val="00027133"/>
    <w:rsid w:val="00027381"/>
    <w:rsid w:val="000275AB"/>
    <w:rsid w:val="000276EB"/>
    <w:rsid w:val="00027705"/>
    <w:rsid w:val="00027769"/>
    <w:rsid w:val="00027848"/>
    <w:rsid w:val="0002784C"/>
    <w:rsid w:val="00027957"/>
    <w:rsid w:val="00027ACB"/>
    <w:rsid w:val="00027AE2"/>
    <w:rsid w:val="00027B52"/>
    <w:rsid w:val="00027F81"/>
    <w:rsid w:val="00027F8C"/>
    <w:rsid w:val="00027F90"/>
    <w:rsid w:val="00027FF9"/>
    <w:rsid w:val="00030011"/>
    <w:rsid w:val="0003008D"/>
    <w:rsid w:val="00030183"/>
    <w:rsid w:val="000301C3"/>
    <w:rsid w:val="00030520"/>
    <w:rsid w:val="000305FA"/>
    <w:rsid w:val="000306DB"/>
    <w:rsid w:val="0003118C"/>
    <w:rsid w:val="00031242"/>
    <w:rsid w:val="000312DB"/>
    <w:rsid w:val="000312F4"/>
    <w:rsid w:val="00031305"/>
    <w:rsid w:val="00031527"/>
    <w:rsid w:val="0003155A"/>
    <w:rsid w:val="000315C8"/>
    <w:rsid w:val="000315FE"/>
    <w:rsid w:val="000316FD"/>
    <w:rsid w:val="00031812"/>
    <w:rsid w:val="0003187C"/>
    <w:rsid w:val="00031A39"/>
    <w:rsid w:val="00031B58"/>
    <w:rsid w:val="00031CE2"/>
    <w:rsid w:val="00031D68"/>
    <w:rsid w:val="00031F9B"/>
    <w:rsid w:val="0003204A"/>
    <w:rsid w:val="0003206B"/>
    <w:rsid w:val="000320E6"/>
    <w:rsid w:val="00032158"/>
    <w:rsid w:val="0003233D"/>
    <w:rsid w:val="00032453"/>
    <w:rsid w:val="000326F3"/>
    <w:rsid w:val="000327EE"/>
    <w:rsid w:val="00032B93"/>
    <w:rsid w:val="00032CDD"/>
    <w:rsid w:val="00032DD1"/>
    <w:rsid w:val="00032FB0"/>
    <w:rsid w:val="000330EF"/>
    <w:rsid w:val="000331AA"/>
    <w:rsid w:val="000331FD"/>
    <w:rsid w:val="0003335C"/>
    <w:rsid w:val="00033659"/>
    <w:rsid w:val="0003371C"/>
    <w:rsid w:val="00033746"/>
    <w:rsid w:val="0003387F"/>
    <w:rsid w:val="000338DB"/>
    <w:rsid w:val="00033948"/>
    <w:rsid w:val="00033961"/>
    <w:rsid w:val="000339C8"/>
    <w:rsid w:val="00033A0F"/>
    <w:rsid w:val="00033A8B"/>
    <w:rsid w:val="00033AC2"/>
    <w:rsid w:val="00033CC9"/>
    <w:rsid w:val="00033D76"/>
    <w:rsid w:val="0003403F"/>
    <w:rsid w:val="0003408E"/>
    <w:rsid w:val="000341A1"/>
    <w:rsid w:val="00034306"/>
    <w:rsid w:val="0003447B"/>
    <w:rsid w:val="000345AE"/>
    <w:rsid w:val="00034624"/>
    <w:rsid w:val="00034639"/>
    <w:rsid w:val="0003465C"/>
    <w:rsid w:val="00034850"/>
    <w:rsid w:val="00034A9A"/>
    <w:rsid w:val="00034B09"/>
    <w:rsid w:val="00034B34"/>
    <w:rsid w:val="00034CAC"/>
    <w:rsid w:val="00034CB5"/>
    <w:rsid w:val="00034DBE"/>
    <w:rsid w:val="00034E49"/>
    <w:rsid w:val="000350DA"/>
    <w:rsid w:val="0003534D"/>
    <w:rsid w:val="000354B7"/>
    <w:rsid w:val="00035533"/>
    <w:rsid w:val="00035715"/>
    <w:rsid w:val="0003593C"/>
    <w:rsid w:val="00035A4C"/>
    <w:rsid w:val="00035BCD"/>
    <w:rsid w:val="00035DD1"/>
    <w:rsid w:val="0003614F"/>
    <w:rsid w:val="000361AA"/>
    <w:rsid w:val="000363EF"/>
    <w:rsid w:val="00036459"/>
    <w:rsid w:val="00036681"/>
    <w:rsid w:val="00036840"/>
    <w:rsid w:val="0003693E"/>
    <w:rsid w:val="00036A83"/>
    <w:rsid w:val="00036AB2"/>
    <w:rsid w:val="00036BD8"/>
    <w:rsid w:val="00036E1A"/>
    <w:rsid w:val="00036FCC"/>
    <w:rsid w:val="00036FF7"/>
    <w:rsid w:val="0003713F"/>
    <w:rsid w:val="0003714A"/>
    <w:rsid w:val="00037267"/>
    <w:rsid w:val="00037399"/>
    <w:rsid w:val="000374F1"/>
    <w:rsid w:val="00037509"/>
    <w:rsid w:val="00037556"/>
    <w:rsid w:val="00037798"/>
    <w:rsid w:val="00037935"/>
    <w:rsid w:val="00037A8A"/>
    <w:rsid w:val="00037B47"/>
    <w:rsid w:val="00037C58"/>
    <w:rsid w:val="00037D35"/>
    <w:rsid w:val="0004000F"/>
    <w:rsid w:val="00040053"/>
    <w:rsid w:val="000400F4"/>
    <w:rsid w:val="000403C0"/>
    <w:rsid w:val="000404E0"/>
    <w:rsid w:val="0004053E"/>
    <w:rsid w:val="00040649"/>
    <w:rsid w:val="00040775"/>
    <w:rsid w:val="00040926"/>
    <w:rsid w:val="00040AEC"/>
    <w:rsid w:val="00040C41"/>
    <w:rsid w:val="00040D0B"/>
    <w:rsid w:val="00040D4F"/>
    <w:rsid w:val="00040D52"/>
    <w:rsid w:val="00040DB6"/>
    <w:rsid w:val="0004108B"/>
    <w:rsid w:val="0004116E"/>
    <w:rsid w:val="00041175"/>
    <w:rsid w:val="000411E1"/>
    <w:rsid w:val="000413C2"/>
    <w:rsid w:val="00041414"/>
    <w:rsid w:val="00041848"/>
    <w:rsid w:val="000419DF"/>
    <w:rsid w:val="00041B6D"/>
    <w:rsid w:val="00041C25"/>
    <w:rsid w:val="00041DBE"/>
    <w:rsid w:val="00041F2D"/>
    <w:rsid w:val="00041FB9"/>
    <w:rsid w:val="00041FD4"/>
    <w:rsid w:val="00042050"/>
    <w:rsid w:val="000421BE"/>
    <w:rsid w:val="0004239F"/>
    <w:rsid w:val="00042553"/>
    <w:rsid w:val="0004259D"/>
    <w:rsid w:val="000425AF"/>
    <w:rsid w:val="00042667"/>
    <w:rsid w:val="00042744"/>
    <w:rsid w:val="0004277C"/>
    <w:rsid w:val="000427F6"/>
    <w:rsid w:val="0004283A"/>
    <w:rsid w:val="00042847"/>
    <w:rsid w:val="000428C3"/>
    <w:rsid w:val="00042B59"/>
    <w:rsid w:val="00042BF1"/>
    <w:rsid w:val="00042CD5"/>
    <w:rsid w:val="00042D0D"/>
    <w:rsid w:val="00042E13"/>
    <w:rsid w:val="00042F44"/>
    <w:rsid w:val="00042FDB"/>
    <w:rsid w:val="00043117"/>
    <w:rsid w:val="00043285"/>
    <w:rsid w:val="00043298"/>
    <w:rsid w:val="000432FC"/>
    <w:rsid w:val="00043441"/>
    <w:rsid w:val="000434AF"/>
    <w:rsid w:val="0004354B"/>
    <w:rsid w:val="000436F5"/>
    <w:rsid w:val="0004381C"/>
    <w:rsid w:val="00043857"/>
    <w:rsid w:val="000438E5"/>
    <w:rsid w:val="00043911"/>
    <w:rsid w:val="00043A79"/>
    <w:rsid w:val="00043B58"/>
    <w:rsid w:val="00043E9C"/>
    <w:rsid w:val="000440EF"/>
    <w:rsid w:val="000440FC"/>
    <w:rsid w:val="00044120"/>
    <w:rsid w:val="000441D9"/>
    <w:rsid w:val="0004432B"/>
    <w:rsid w:val="00044465"/>
    <w:rsid w:val="000445B8"/>
    <w:rsid w:val="00044648"/>
    <w:rsid w:val="000446C3"/>
    <w:rsid w:val="00044711"/>
    <w:rsid w:val="00044930"/>
    <w:rsid w:val="0004494A"/>
    <w:rsid w:val="00044A63"/>
    <w:rsid w:val="00044B2E"/>
    <w:rsid w:val="00044C7A"/>
    <w:rsid w:val="00044D5E"/>
    <w:rsid w:val="00044D76"/>
    <w:rsid w:val="00044D7E"/>
    <w:rsid w:val="00044DDD"/>
    <w:rsid w:val="00044DEB"/>
    <w:rsid w:val="00044E50"/>
    <w:rsid w:val="00044E8B"/>
    <w:rsid w:val="00044F8F"/>
    <w:rsid w:val="000450F0"/>
    <w:rsid w:val="0004523D"/>
    <w:rsid w:val="000452C2"/>
    <w:rsid w:val="0004534A"/>
    <w:rsid w:val="000454DC"/>
    <w:rsid w:val="0004550F"/>
    <w:rsid w:val="000455B0"/>
    <w:rsid w:val="000455F8"/>
    <w:rsid w:val="0004565B"/>
    <w:rsid w:val="000457A9"/>
    <w:rsid w:val="0004589B"/>
    <w:rsid w:val="000458D9"/>
    <w:rsid w:val="00045A18"/>
    <w:rsid w:val="00045A51"/>
    <w:rsid w:val="00045A78"/>
    <w:rsid w:val="00045E7D"/>
    <w:rsid w:val="00045EBF"/>
    <w:rsid w:val="00045FED"/>
    <w:rsid w:val="00046080"/>
    <w:rsid w:val="00046095"/>
    <w:rsid w:val="00046398"/>
    <w:rsid w:val="000465FA"/>
    <w:rsid w:val="000465FB"/>
    <w:rsid w:val="00046724"/>
    <w:rsid w:val="00046732"/>
    <w:rsid w:val="0004686D"/>
    <w:rsid w:val="000469A6"/>
    <w:rsid w:val="00046A30"/>
    <w:rsid w:val="00046B34"/>
    <w:rsid w:val="00046C4B"/>
    <w:rsid w:val="00046E04"/>
    <w:rsid w:val="00046E6E"/>
    <w:rsid w:val="00047262"/>
    <w:rsid w:val="0004726D"/>
    <w:rsid w:val="0004727C"/>
    <w:rsid w:val="0004728C"/>
    <w:rsid w:val="00047352"/>
    <w:rsid w:val="0004737E"/>
    <w:rsid w:val="000473C3"/>
    <w:rsid w:val="00047487"/>
    <w:rsid w:val="00047552"/>
    <w:rsid w:val="000475C0"/>
    <w:rsid w:val="00047628"/>
    <w:rsid w:val="00047730"/>
    <w:rsid w:val="00047784"/>
    <w:rsid w:val="000477C7"/>
    <w:rsid w:val="00047866"/>
    <w:rsid w:val="000478A1"/>
    <w:rsid w:val="00047AF9"/>
    <w:rsid w:val="00047BE6"/>
    <w:rsid w:val="00047FF3"/>
    <w:rsid w:val="0005002B"/>
    <w:rsid w:val="000501C1"/>
    <w:rsid w:val="0005027E"/>
    <w:rsid w:val="000502D6"/>
    <w:rsid w:val="000503DA"/>
    <w:rsid w:val="000503E6"/>
    <w:rsid w:val="000504BE"/>
    <w:rsid w:val="00050657"/>
    <w:rsid w:val="000506C7"/>
    <w:rsid w:val="000506C8"/>
    <w:rsid w:val="00050712"/>
    <w:rsid w:val="000507D3"/>
    <w:rsid w:val="0005092F"/>
    <w:rsid w:val="00050A13"/>
    <w:rsid w:val="00050B21"/>
    <w:rsid w:val="00050BC8"/>
    <w:rsid w:val="00050CA6"/>
    <w:rsid w:val="00050F9D"/>
    <w:rsid w:val="000513A9"/>
    <w:rsid w:val="00051469"/>
    <w:rsid w:val="000515DC"/>
    <w:rsid w:val="00051748"/>
    <w:rsid w:val="00051764"/>
    <w:rsid w:val="000518F6"/>
    <w:rsid w:val="00051959"/>
    <w:rsid w:val="000519ED"/>
    <w:rsid w:val="00051A2C"/>
    <w:rsid w:val="00051B79"/>
    <w:rsid w:val="00051C60"/>
    <w:rsid w:val="00051C65"/>
    <w:rsid w:val="00051E58"/>
    <w:rsid w:val="00051E97"/>
    <w:rsid w:val="00051F14"/>
    <w:rsid w:val="00051F96"/>
    <w:rsid w:val="00052364"/>
    <w:rsid w:val="000523BE"/>
    <w:rsid w:val="000523C5"/>
    <w:rsid w:val="0005248D"/>
    <w:rsid w:val="000524E6"/>
    <w:rsid w:val="00052575"/>
    <w:rsid w:val="000526D0"/>
    <w:rsid w:val="00052766"/>
    <w:rsid w:val="0005283E"/>
    <w:rsid w:val="000528C6"/>
    <w:rsid w:val="00052976"/>
    <w:rsid w:val="0005299E"/>
    <w:rsid w:val="00052B56"/>
    <w:rsid w:val="00052BDD"/>
    <w:rsid w:val="00052C2E"/>
    <w:rsid w:val="00052C55"/>
    <w:rsid w:val="00052C89"/>
    <w:rsid w:val="00052D1F"/>
    <w:rsid w:val="00052D27"/>
    <w:rsid w:val="00052EB2"/>
    <w:rsid w:val="00052F0D"/>
    <w:rsid w:val="00053013"/>
    <w:rsid w:val="000530DF"/>
    <w:rsid w:val="0005312E"/>
    <w:rsid w:val="0005320A"/>
    <w:rsid w:val="0005359B"/>
    <w:rsid w:val="000539C7"/>
    <w:rsid w:val="00053A22"/>
    <w:rsid w:val="00053A55"/>
    <w:rsid w:val="00053A6B"/>
    <w:rsid w:val="00053B6D"/>
    <w:rsid w:val="00053BDC"/>
    <w:rsid w:val="00053BDF"/>
    <w:rsid w:val="00053CFA"/>
    <w:rsid w:val="00053E99"/>
    <w:rsid w:val="00053FA9"/>
    <w:rsid w:val="00054196"/>
    <w:rsid w:val="00054232"/>
    <w:rsid w:val="000542D8"/>
    <w:rsid w:val="0005432A"/>
    <w:rsid w:val="000543E2"/>
    <w:rsid w:val="000544C0"/>
    <w:rsid w:val="00054880"/>
    <w:rsid w:val="000548E0"/>
    <w:rsid w:val="00054B59"/>
    <w:rsid w:val="0005515F"/>
    <w:rsid w:val="000551F8"/>
    <w:rsid w:val="000553EC"/>
    <w:rsid w:val="000555C2"/>
    <w:rsid w:val="000555C6"/>
    <w:rsid w:val="00055746"/>
    <w:rsid w:val="000557C6"/>
    <w:rsid w:val="0005584B"/>
    <w:rsid w:val="00055972"/>
    <w:rsid w:val="000559DD"/>
    <w:rsid w:val="000559E2"/>
    <w:rsid w:val="00055A38"/>
    <w:rsid w:val="00055A4D"/>
    <w:rsid w:val="00055B45"/>
    <w:rsid w:val="00055DAA"/>
    <w:rsid w:val="00055DBA"/>
    <w:rsid w:val="00055DBD"/>
    <w:rsid w:val="00055F16"/>
    <w:rsid w:val="00055F93"/>
    <w:rsid w:val="00056005"/>
    <w:rsid w:val="00056168"/>
    <w:rsid w:val="00056311"/>
    <w:rsid w:val="0005639F"/>
    <w:rsid w:val="00056563"/>
    <w:rsid w:val="000565BD"/>
    <w:rsid w:val="0005672D"/>
    <w:rsid w:val="000568E9"/>
    <w:rsid w:val="00056AD5"/>
    <w:rsid w:val="00056B92"/>
    <w:rsid w:val="00056BC8"/>
    <w:rsid w:val="00056C44"/>
    <w:rsid w:val="00056D9E"/>
    <w:rsid w:val="00056DA8"/>
    <w:rsid w:val="00056DF2"/>
    <w:rsid w:val="00056E72"/>
    <w:rsid w:val="0005700D"/>
    <w:rsid w:val="000571DB"/>
    <w:rsid w:val="000571EF"/>
    <w:rsid w:val="000571FE"/>
    <w:rsid w:val="000574B2"/>
    <w:rsid w:val="00057523"/>
    <w:rsid w:val="00057698"/>
    <w:rsid w:val="0005769C"/>
    <w:rsid w:val="00057895"/>
    <w:rsid w:val="000579D1"/>
    <w:rsid w:val="00057C9E"/>
    <w:rsid w:val="00057D2F"/>
    <w:rsid w:val="000600B9"/>
    <w:rsid w:val="000600DB"/>
    <w:rsid w:val="0006017C"/>
    <w:rsid w:val="000601D5"/>
    <w:rsid w:val="000602A2"/>
    <w:rsid w:val="000602BC"/>
    <w:rsid w:val="0006052F"/>
    <w:rsid w:val="00060709"/>
    <w:rsid w:val="0006075C"/>
    <w:rsid w:val="00060812"/>
    <w:rsid w:val="00060930"/>
    <w:rsid w:val="00060939"/>
    <w:rsid w:val="0006098C"/>
    <w:rsid w:val="000609CB"/>
    <w:rsid w:val="00060AE1"/>
    <w:rsid w:val="00060B37"/>
    <w:rsid w:val="00060B56"/>
    <w:rsid w:val="00060BE4"/>
    <w:rsid w:val="00060C71"/>
    <w:rsid w:val="00060C7E"/>
    <w:rsid w:val="00060CB5"/>
    <w:rsid w:val="00060E8A"/>
    <w:rsid w:val="00060EC0"/>
    <w:rsid w:val="00060F97"/>
    <w:rsid w:val="0006116F"/>
    <w:rsid w:val="00061241"/>
    <w:rsid w:val="00061265"/>
    <w:rsid w:val="000614A1"/>
    <w:rsid w:val="00061813"/>
    <w:rsid w:val="00061968"/>
    <w:rsid w:val="000619A0"/>
    <w:rsid w:val="00061A2F"/>
    <w:rsid w:val="00061B00"/>
    <w:rsid w:val="00061BA5"/>
    <w:rsid w:val="00061C25"/>
    <w:rsid w:val="00061D52"/>
    <w:rsid w:val="00061D5C"/>
    <w:rsid w:val="00061DE5"/>
    <w:rsid w:val="00061EE4"/>
    <w:rsid w:val="00061FAA"/>
    <w:rsid w:val="0006201B"/>
    <w:rsid w:val="000623F7"/>
    <w:rsid w:val="0006246A"/>
    <w:rsid w:val="000624F5"/>
    <w:rsid w:val="00062611"/>
    <w:rsid w:val="000627B9"/>
    <w:rsid w:val="0006293A"/>
    <w:rsid w:val="00062BA4"/>
    <w:rsid w:val="00062C57"/>
    <w:rsid w:val="00062F4C"/>
    <w:rsid w:val="00063110"/>
    <w:rsid w:val="00063376"/>
    <w:rsid w:val="0006338F"/>
    <w:rsid w:val="0006368F"/>
    <w:rsid w:val="000636CD"/>
    <w:rsid w:val="000636F5"/>
    <w:rsid w:val="000637CF"/>
    <w:rsid w:val="000638C3"/>
    <w:rsid w:val="00063956"/>
    <w:rsid w:val="00063A1A"/>
    <w:rsid w:val="00063A27"/>
    <w:rsid w:val="00063D8A"/>
    <w:rsid w:val="00063DB4"/>
    <w:rsid w:val="00063E2C"/>
    <w:rsid w:val="00063EF8"/>
    <w:rsid w:val="00064090"/>
    <w:rsid w:val="000640B1"/>
    <w:rsid w:val="000642CA"/>
    <w:rsid w:val="00064408"/>
    <w:rsid w:val="000644A8"/>
    <w:rsid w:val="00064606"/>
    <w:rsid w:val="00064923"/>
    <w:rsid w:val="00064A8B"/>
    <w:rsid w:val="00064DC7"/>
    <w:rsid w:val="00064EA4"/>
    <w:rsid w:val="00064EF2"/>
    <w:rsid w:val="00064F7B"/>
    <w:rsid w:val="0006503C"/>
    <w:rsid w:val="000650FD"/>
    <w:rsid w:val="00065135"/>
    <w:rsid w:val="0006523A"/>
    <w:rsid w:val="000653D0"/>
    <w:rsid w:val="00065449"/>
    <w:rsid w:val="0006562D"/>
    <w:rsid w:val="000656F3"/>
    <w:rsid w:val="00065714"/>
    <w:rsid w:val="000659AE"/>
    <w:rsid w:val="000659C2"/>
    <w:rsid w:val="00065A44"/>
    <w:rsid w:val="00065AEA"/>
    <w:rsid w:val="00065D28"/>
    <w:rsid w:val="00065D3A"/>
    <w:rsid w:val="00065D80"/>
    <w:rsid w:val="00065EA0"/>
    <w:rsid w:val="00065FAD"/>
    <w:rsid w:val="00066152"/>
    <w:rsid w:val="00066233"/>
    <w:rsid w:val="00066360"/>
    <w:rsid w:val="000664AB"/>
    <w:rsid w:val="0006650F"/>
    <w:rsid w:val="0006668F"/>
    <w:rsid w:val="0006672C"/>
    <w:rsid w:val="00066735"/>
    <w:rsid w:val="000667F2"/>
    <w:rsid w:val="000668AA"/>
    <w:rsid w:val="0006693F"/>
    <w:rsid w:val="000669F7"/>
    <w:rsid w:val="00066ABE"/>
    <w:rsid w:val="00066C73"/>
    <w:rsid w:val="00066F4C"/>
    <w:rsid w:val="00066F62"/>
    <w:rsid w:val="000670C2"/>
    <w:rsid w:val="00067170"/>
    <w:rsid w:val="00067242"/>
    <w:rsid w:val="000673B3"/>
    <w:rsid w:val="0006744D"/>
    <w:rsid w:val="00067521"/>
    <w:rsid w:val="0006759F"/>
    <w:rsid w:val="0006760D"/>
    <w:rsid w:val="00067624"/>
    <w:rsid w:val="0006765B"/>
    <w:rsid w:val="0006767C"/>
    <w:rsid w:val="00067716"/>
    <w:rsid w:val="0006772E"/>
    <w:rsid w:val="00067748"/>
    <w:rsid w:val="00067815"/>
    <w:rsid w:val="000679F3"/>
    <w:rsid w:val="00067B65"/>
    <w:rsid w:val="00067B71"/>
    <w:rsid w:val="00067BBC"/>
    <w:rsid w:val="00067C32"/>
    <w:rsid w:val="00067FBD"/>
    <w:rsid w:val="00070026"/>
    <w:rsid w:val="00070031"/>
    <w:rsid w:val="0007004C"/>
    <w:rsid w:val="00070085"/>
    <w:rsid w:val="00070100"/>
    <w:rsid w:val="00070184"/>
    <w:rsid w:val="0007025B"/>
    <w:rsid w:val="0007035D"/>
    <w:rsid w:val="00070390"/>
    <w:rsid w:val="000703B7"/>
    <w:rsid w:val="0007093F"/>
    <w:rsid w:val="000709B6"/>
    <w:rsid w:val="00070AB9"/>
    <w:rsid w:val="00070B01"/>
    <w:rsid w:val="00070B40"/>
    <w:rsid w:val="00070C88"/>
    <w:rsid w:val="00070D4F"/>
    <w:rsid w:val="00070D65"/>
    <w:rsid w:val="00070D70"/>
    <w:rsid w:val="0007105B"/>
    <w:rsid w:val="00071185"/>
    <w:rsid w:val="00071354"/>
    <w:rsid w:val="00071374"/>
    <w:rsid w:val="000713CC"/>
    <w:rsid w:val="000716A0"/>
    <w:rsid w:val="000716D2"/>
    <w:rsid w:val="00071705"/>
    <w:rsid w:val="00071984"/>
    <w:rsid w:val="000719EF"/>
    <w:rsid w:val="000719FC"/>
    <w:rsid w:val="00071E70"/>
    <w:rsid w:val="00071FD1"/>
    <w:rsid w:val="0007226C"/>
    <w:rsid w:val="000722CD"/>
    <w:rsid w:val="0007232C"/>
    <w:rsid w:val="00072345"/>
    <w:rsid w:val="00072422"/>
    <w:rsid w:val="00072524"/>
    <w:rsid w:val="00072571"/>
    <w:rsid w:val="00072664"/>
    <w:rsid w:val="00072AB6"/>
    <w:rsid w:val="00072AE1"/>
    <w:rsid w:val="00072C19"/>
    <w:rsid w:val="00072C84"/>
    <w:rsid w:val="00072E0D"/>
    <w:rsid w:val="00072F0C"/>
    <w:rsid w:val="00072FD0"/>
    <w:rsid w:val="000731EA"/>
    <w:rsid w:val="0007327F"/>
    <w:rsid w:val="000733BB"/>
    <w:rsid w:val="000733C7"/>
    <w:rsid w:val="000734B3"/>
    <w:rsid w:val="00073839"/>
    <w:rsid w:val="0007390A"/>
    <w:rsid w:val="000739B6"/>
    <w:rsid w:val="00073A0F"/>
    <w:rsid w:val="00073A85"/>
    <w:rsid w:val="00073AD7"/>
    <w:rsid w:val="00073C6F"/>
    <w:rsid w:val="00073E29"/>
    <w:rsid w:val="0007404F"/>
    <w:rsid w:val="0007405F"/>
    <w:rsid w:val="00074071"/>
    <w:rsid w:val="000740D8"/>
    <w:rsid w:val="00074590"/>
    <w:rsid w:val="000745EF"/>
    <w:rsid w:val="0007465A"/>
    <w:rsid w:val="00074691"/>
    <w:rsid w:val="000746CA"/>
    <w:rsid w:val="00074752"/>
    <w:rsid w:val="00074890"/>
    <w:rsid w:val="000748D2"/>
    <w:rsid w:val="00074937"/>
    <w:rsid w:val="00074978"/>
    <w:rsid w:val="00074A1A"/>
    <w:rsid w:val="00074A30"/>
    <w:rsid w:val="00074BC1"/>
    <w:rsid w:val="00074C3A"/>
    <w:rsid w:val="00074EC0"/>
    <w:rsid w:val="000750D7"/>
    <w:rsid w:val="00075190"/>
    <w:rsid w:val="00075304"/>
    <w:rsid w:val="00075478"/>
    <w:rsid w:val="0007557F"/>
    <w:rsid w:val="000756BE"/>
    <w:rsid w:val="00075968"/>
    <w:rsid w:val="0007597C"/>
    <w:rsid w:val="000759C7"/>
    <w:rsid w:val="00075A51"/>
    <w:rsid w:val="00075A99"/>
    <w:rsid w:val="00075F77"/>
    <w:rsid w:val="000761B9"/>
    <w:rsid w:val="000761E6"/>
    <w:rsid w:val="000761EC"/>
    <w:rsid w:val="00076214"/>
    <w:rsid w:val="00076234"/>
    <w:rsid w:val="000762B1"/>
    <w:rsid w:val="000763EA"/>
    <w:rsid w:val="00076625"/>
    <w:rsid w:val="0007668C"/>
    <w:rsid w:val="000768D6"/>
    <w:rsid w:val="00076E48"/>
    <w:rsid w:val="00076E91"/>
    <w:rsid w:val="0007721D"/>
    <w:rsid w:val="000772C6"/>
    <w:rsid w:val="000773FF"/>
    <w:rsid w:val="0007742F"/>
    <w:rsid w:val="0007770C"/>
    <w:rsid w:val="000777BD"/>
    <w:rsid w:val="000778C6"/>
    <w:rsid w:val="00077A79"/>
    <w:rsid w:val="00077BFA"/>
    <w:rsid w:val="00077C1F"/>
    <w:rsid w:val="00077C7B"/>
    <w:rsid w:val="00077DA4"/>
    <w:rsid w:val="00077EC1"/>
    <w:rsid w:val="00077F29"/>
    <w:rsid w:val="000800FB"/>
    <w:rsid w:val="00080127"/>
    <w:rsid w:val="00080253"/>
    <w:rsid w:val="0008039B"/>
    <w:rsid w:val="000803DE"/>
    <w:rsid w:val="000804B9"/>
    <w:rsid w:val="0008063C"/>
    <w:rsid w:val="00080741"/>
    <w:rsid w:val="00080930"/>
    <w:rsid w:val="00080A56"/>
    <w:rsid w:val="00080B92"/>
    <w:rsid w:val="00080BBB"/>
    <w:rsid w:val="00080C26"/>
    <w:rsid w:val="00080C51"/>
    <w:rsid w:val="00080C5E"/>
    <w:rsid w:val="00080CB1"/>
    <w:rsid w:val="00080FD5"/>
    <w:rsid w:val="000810F1"/>
    <w:rsid w:val="000810F5"/>
    <w:rsid w:val="00081119"/>
    <w:rsid w:val="000812A6"/>
    <w:rsid w:val="000814A5"/>
    <w:rsid w:val="000814C2"/>
    <w:rsid w:val="000814DA"/>
    <w:rsid w:val="000814DC"/>
    <w:rsid w:val="0008162C"/>
    <w:rsid w:val="00081AEC"/>
    <w:rsid w:val="00081B69"/>
    <w:rsid w:val="00081E64"/>
    <w:rsid w:val="0008212B"/>
    <w:rsid w:val="000821D2"/>
    <w:rsid w:val="0008259A"/>
    <w:rsid w:val="000825B9"/>
    <w:rsid w:val="00082946"/>
    <w:rsid w:val="00082999"/>
    <w:rsid w:val="00082AB4"/>
    <w:rsid w:val="00082D0A"/>
    <w:rsid w:val="00082D83"/>
    <w:rsid w:val="00082E37"/>
    <w:rsid w:val="00083064"/>
    <w:rsid w:val="000830D0"/>
    <w:rsid w:val="00083427"/>
    <w:rsid w:val="00083515"/>
    <w:rsid w:val="000836D1"/>
    <w:rsid w:val="000837FE"/>
    <w:rsid w:val="000838EF"/>
    <w:rsid w:val="00083DA1"/>
    <w:rsid w:val="00083EC4"/>
    <w:rsid w:val="00083F25"/>
    <w:rsid w:val="00084008"/>
    <w:rsid w:val="00084154"/>
    <w:rsid w:val="0008421D"/>
    <w:rsid w:val="00084287"/>
    <w:rsid w:val="0008429C"/>
    <w:rsid w:val="000842F3"/>
    <w:rsid w:val="000844FD"/>
    <w:rsid w:val="000845B6"/>
    <w:rsid w:val="0008473B"/>
    <w:rsid w:val="00084757"/>
    <w:rsid w:val="000848D1"/>
    <w:rsid w:val="00084926"/>
    <w:rsid w:val="00084A71"/>
    <w:rsid w:val="00084A89"/>
    <w:rsid w:val="00084B4B"/>
    <w:rsid w:val="00084B9C"/>
    <w:rsid w:val="00084EF7"/>
    <w:rsid w:val="00084FAD"/>
    <w:rsid w:val="00085191"/>
    <w:rsid w:val="00085195"/>
    <w:rsid w:val="0008521F"/>
    <w:rsid w:val="000852DE"/>
    <w:rsid w:val="00085331"/>
    <w:rsid w:val="000853B9"/>
    <w:rsid w:val="00085524"/>
    <w:rsid w:val="00085563"/>
    <w:rsid w:val="00085601"/>
    <w:rsid w:val="00085695"/>
    <w:rsid w:val="000856D8"/>
    <w:rsid w:val="00085739"/>
    <w:rsid w:val="00085794"/>
    <w:rsid w:val="000857EC"/>
    <w:rsid w:val="00085876"/>
    <w:rsid w:val="0008589C"/>
    <w:rsid w:val="00085C6A"/>
    <w:rsid w:val="00085D02"/>
    <w:rsid w:val="00085D84"/>
    <w:rsid w:val="00085F64"/>
    <w:rsid w:val="0008611C"/>
    <w:rsid w:val="0008627D"/>
    <w:rsid w:val="000862C1"/>
    <w:rsid w:val="0008650A"/>
    <w:rsid w:val="000865A3"/>
    <w:rsid w:val="000867B1"/>
    <w:rsid w:val="00086BE4"/>
    <w:rsid w:val="00086CCB"/>
    <w:rsid w:val="00086D04"/>
    <w:rsid w:val="00086D0B"/>
    <w:rsid w:val="00086D63"/>
    <w:rsid w:val="00086D96"/>
    <w:rsid w:val="00086DBF"/>
    <w:rsid w:val="00086E50"/>
    <w:rsid w:val="00086E65"/>
    <w:rsid w:val="00086EC9"/>
    <w:rsid w:val="0008723B"/>
    <w:rsid w:val="000872CF"/>
    <w:rsid w:val="00087475"/>
    <w:rsid w:val="000874B6"/>
    <w:rsid w:val="000875B7"/>
    <w:rsid w:val="000875EB"/>
    <w:rsid w:val="00087705"/>
    <w:rsid w:val="00087921"/>
    <w:rsid w:val="000879FB"/>
    <w:rsid w:val="00087C79"/>
    <w:rsid w:val="00087E01"/>
    <w:rsid w:val="00087F45"/>
    <w:rsid w:val="0009014F"/>
    <w:rsid w:val="000901CF"/>
    <w:rsid w:val="0009025F"/>
    <w:rsid w:val="000902F7"/>
    <w:rsid w:val="0009037E"/>
    <w:rsid w:val="000903AE"/>
    <w:rsid w:val="00090434"/>
    <w:rsid w:val="0009068A"/>
    <w:rsid w:val="000906D5"/>
    <w:rsid w:val="000907E1"/>
    <w:rsid w:val="000909D7"/>
    <w:rsid w:val="00090A61"/>
    <w:rsid w:val="00090AE9"/>
    <w:rsid w:val="00090BFC"/>
    <w:rsid w:val="00090C73"/>
    <w:rsid w:val="00090E82"/>
    <w:rsid w:val="00090F3B"/>
    <w:rsid w:val="0009111D"/>
    <w:rsid w:val="000912A4"/>
    <w:rsid w:val="00091303"/>
    <w:rsid w:val="000913A5"/>
    <w:rsid w:val="000917D6"/>
    <w:rsid w:val="000917DF"/>
    <w:rsid w:val="000918CB"/>
    <w:rsid w:val="00091ABC"/>
    <w:rsid w:val="00091B90"/>
    <w:rsid w:val="00091BE7"/>
    <w:rsid w:val="00091CEF"/>
    <w:rsid w:val="00091F61"/>
    <w:rsid w:val="00091F6F"/>
    <w:rsid w:val="000920F4"/>
    <w:rsid w:val="0009213A"/>
    <w:rsid w:val="00092165"/>
    <w:rsid w:val="0009219F"/>
    <w:rsid w:val="000922A2"/>
    <w:rsid w:val="000923CD"/>
    <w:rsid w:val="0009246F"/>
    <w:rsid w:val="000924C0"/>
    <w:rsid w:val="0009274A"/>
    <w:rsid w:val="0009280D"/>
    <w:rsid w:val="00092818"/>
    <w:rsid w:val="0009282E"/>
    <w:rsid w:val="00092843"/>
    <w:rsid w:val="00092ADF"/>
    <w:rsid w:val="00092D83"/>
    <w:rsid w:val="00092F35"/>
    <w:rsid w:val="00092FE9"/>
    <w:rsid w:val="00093080"/>
    <w:rsid w:val="0009322D"/>
    <w:rsid w:val="000932D9"/>
    <w:rsid w:val="000933A2"/>
    <w:rsid w:val="00093477"/>
    <w:rsid w:val="000935F1"/>
    <w:rsid w:val="00093645"/>
    <w:rsid w:val="000936B5"/>
    <w:rsid w:val="000936FA"/>
    <w:rsid w:val="00093804"/>
    <w:rsid w:val="00093827"/>
    <w:rsid w:val="00093CB3"/>
    <w:rsid w:val="00093CD3"/>
    <w:rsid w:val="00093DD1"/>
    <w:rsid w:val="00093DD3"/>
    <w:rsid w:val="00093DF4"/>
    <w:rsid w:val="00093F2E"/>
    <w:rsid w:val="000942A4"/>
    <w:rsid w:val="00094379"/>
    <w:rsid w:val="0009439C"/>
    <w:rsid w:val="000943E1"/>
    <w:rsid w:val="0009446C"/>
    <w:rsid w:val="000948FB"/>
    <w:rsid w:val="00094992"/>
    <w:rsid w:val="00094A20"/>
    <w:rsid w:val="00094B7C"/>
    <w:rsid w:val="00094BE3"/>
    <w:rsid w:val="00094CE4"/>
    <w:rsid w:val="00094D36"/>
    <w:rsid w:val="00094E8E"/>
    <w:rsid w:val="0009501D"/>
    <w:rsid w:val="00095127"/>
    <w:rsid w:val="0009529D"/>
    <w:rsid w:val="000952D1"/>
    <w:rsid w:val="000954E1"/>
    <w:rsid w:val="000954E2"/>
    <w:rsid w:val="000954FC"/>
    <w:rsid w:val="0009562D"/>
    <w:rsid w:val="00095684"/>
    <w:rsid w:val="00095686"/>
    <w:rsid w:val="00095724"/>
    <w:rsid w:val="0009574D"/>
    <w:rsid w:val="00095894"/>
    <w:rsid w:val="000958E5"/>
    <w:rsid w:val="000958FC"/>
    <w:rsid w:val="000959E5"/>
    <w:rsid w:val="00095B7C"/>
    <w:rsid w:val="00095C13"/>
    <w:rsid w:val="00095DBC"/>
    <w:rsid w:val="00095E38"/>
    <w:rsid w:val="00095EFE"/>
    <w:rsid w:val="00095F46"/>
    <w:rsid w:val="000961B1"/>
    <w:rsid w:val="00096269"/>
    <w:rsid w:val="000963A7"/>
    <w:rsid w:val="0009686E"/>
    <w:rsid w:val="00096876"/>
    <w:rsid w:val="00096999"/>
    <w:rsid w:val="00096BD0"/>
    <w:rsid w:val="00096BF4"/>
    <w:rsid w:val="00096D0B"/>
    <w:rsid w:val="00096FC5"/>
    <w:rsid w:val="00097225"/>
    <w:rsid w:val="00097345"/>
    <w:rsid w:val="0009739C"/>
    <w:rsid w:val="000974FC"/>
    <w:rsid w:val="000976D4"/>
    <w:rsid w:val="0009772B"/>
    <w:rsid w:val="00097829"/>
    <w:rsid w:val="00097887"/>
    <w:rsid w:val="000978DC"/>
    <w:rsid w:val="000978EE"/>
    <w:rsid w:val="00097999"/>
    <w:rsid w:val="00097A1B"/>
    <w:rsid w:val="00097BBD"/>
    <w:rsid w:val="00097EFC"/>
    <w:rsid w:val="00097F94"/>
    <w:rsid w:val="000A001D"/>
    <w:rsid w:val="000A0063"/>
    <w:rsid w:val="000A01B1"/>
    <w:rsid w:val="000A01B7"/>
    <w:rsid w:val="000A01C4"/>
    <w:rsid w:val="000A0351"/>
    <w:rsid w:val="000A0363"/>
    <w:rsid w:val="000A0498"/>
    <w:rsid w:val="000A0797"/>
    <w:rsid w:val="000A08AF"/>
    <w:rsid w:val="000A08C2"/>
    <w:rsid w:val="000A0921"/>
    <w:rsid w:val="000A09AA"/>
    <w:rsid w:val="000A0A2B"/>
    <w:rsid w:val="000A0AB8"/>
    <w:rsid w:val="000A0D54"/>
    <w:rsid w:val="000A0DF6"/>
    <w:rsid w:val="000A0F6F"/>
    <w:rsid w:val="000A0F7F"/>
    <w:rsid w:val="000A0FC1"/>
    <w:rsid w:val="000A10F7"/>
    <w:rsid w:val="000A117C"/>
    <w:rsid w:val="000A14E7"/>
    <w:rsid w:val="000A1509"/>
    <w:rsid w:val="000A187C"/>
    <w:rsid w:val="000A1884"/>
    <w:rsid w:val="000A188F"/>
    <w:rsid w:val="000A1C5F"/>
    <w:rsid w:val="000A1D44"/>
    <w:rsid w:val="000A1E5A"/>
    <w:rsid w:val="000A1E76"/>
    <w:rsid w:val="000A20B7"/>
    <w:rsid w:val="000A24DD"/>
    <w:rsid w:val="000A259A"/>
    <w:rsid w:val="000A278D"/>
    <w:rsid w:val="000A284C"/>
    <w:rsid w:val="000A29C5"/>
    <w:rsid w:val="000A2B75"/>
    <w:rsid w:val="000A2C39"/>
    <w:rsid w:val="000A2CC7"/>
    <w:rsid w:val="000A2D37"/>
    <w:rsid w:val="000A2D9F"/>
    <w:rsid w:val="000A304E"/>
    <w:rsid w:val="000A305E"/>
    <w:rsid w:val="000A3085"/>
    <w:rsid w:val="000A320B"/>
    <w:rsid w:val="000A342B"/>
    <w:rsid w:val="000A34B7"/>
    <w:rsid w:val="000A3717"/>
    <w:rsid w:val="000A3905"/>
    <w:rsid w:val="000A39E9"/>
    <w:rsid w:val="000A3C98"/>
    <w:rsid w:val="000A3EB2"/>
    <w:rsid w:val="000A3F83"/>
    <w:rsid w:val="000A3F84"/>
    <w:rsid w:val="000A40C7"/>
    <w:rsid w:val="000A411E"/>
    <w:rsid w:val="000A4155"/>
    <w:rsid w:val="000A415F"/>
    <w:rsid w:val="000A41D7"/>
    <w:rsid w:val="000A4346"/>
    <w:rsid w:val="000A4356"/>
    <w:rsid w:val="000A437E"/>
    <w:rsid w:val="000A44B1"/>
    <w:rsid w:val="000A44D2"/>
    <w:rsid w:val="000A463E"/>
    <w:rsid w:val="000A46BA"/>
    <w:rsid w:val="000A49C9"/>
    <w:rsid w:val="000A4A61"/>
    <w:rsid w:val="000A4B44"/>
    <w:rsid w:val="000A4BA7"/>
    <w:rsid w:val="000A4C49"/>
    <w:rsid w:val="000A4D97"/>
    <w:rsid w:val="000A4E99"/>
    <w:rsid w:val="000A507D"/>
    <w:rsid w:val="000A527F"/>
    <w:rsid w:val="000A5341"/>
    <w:rsid w:val="000A534C"/>
    <w:rsid w:val="000A5590"/>
    <w:rsid w:val="000A55D3"/>
    <w:rsid w:val="000A5613"/>
    <w:rsid w:val="000A582C"/>
    <w:rsid w:val="000A5836"/>
    <w:rsid w:val="000A5994"/>
    <w:rsid w:val="000A59D7"/>
    <w:rsid w:val="000A5AB7"/>
    <w:rsid w:val="000A5BEC"/>
    <w:rsid w:val="000A5C3F"/>
    <w:rsid w:val="000A5D7C"/>
    <w:rsid w:val="000A5E7E"/>
    <w:rsid w:val="000A5F65"/>
    <w:rsid w:val="000A5FDA"/>
    <w:rsid w:val="000A60B1"/>
    <w:rsid w:val="000A6156"/>
    <w:rsid w:val="000A623F"/>
    <w:rsid w:val="000A62E7"/>
    <w:rsid w:val="000A6328"/>
    <w:rsid w:val="000A63AF"/>
    <w:rsid w:val="000A6583"/>
    <w:rsid w:val="000A668B"/>
    <w:rsid w:val="000A6865"/>
    <w:rsid w:val="000A69D4"/>
    <w:rsid w:val="000A6A98"/>
    <w:rsid w:val="000A6AEB"/>
    <w:rsid w:val="000A6C9A"/>
    <w:rsid w:val="000A6CEE"/>
    <w:rsid w:val="000A6D15"/>
    <w:rsid w:val="000A6DDE"/>
    <w:rsid w:val="000A6EE8"/>
    <w:rsid w:val="000A7364"/>
    <w:rsid w:val="000A7371"/>
    <w:rsid w:val="000A73A7"/>
    <w:rsid w:val="000A74AF"/>
    <w:rsid w:val="000A75AA"/>
    <w:rsid w:val="000A7762"/>
    <w:rsid w:val="000A784E"/>
    <w:rsid w:val="000A79E4"/>
    <w:rsid w:val="000B004D"/>
    <w:rsid w:val="000B0083"/>
    <w:rsid w:val="000B0300"/>
    <w:rsid w:val="000B0390"/>
    <w:rsid w:val="000B0663"/>
    <w:rsid w:val="000B0682"/>
    <w:rsid w:val="000B082A"/>
    <w:rsid w:val="000B0862"/>
    <w:rsid w:val="000B0A70"/>
    <w:rsid w:val="000B0B02"/>
    <w:rsid w:val="000B0D4F"/>
    <w:rsid w:val="000B10D9"/>
    <w:rsid w:val="000B1163"/>
    <w:rsid w:val="000B11FC"/>
    <w:rsid w:val="000B1214"/>
    <w:rsid w:val="000B13CE"/>
    <w:rsid w:val="000B1405"/>
    <w:rsid w:val="000B14BB"/>
    <w:rsid w:val="000B1609"/>
    <w:rsid w:val="000B16A7"/>
    <w:rsid w:val="000B17D1"/>
    <w:rsid w:val="000B17D3"/>
    <w:rsid w:val="000B1858"/>
    <w:rsid w:val="000B19F5"/>
    <w:rsid w:val="000B1A18"/>
    <w:rsid w:val="000B1AA7"/>
    <w:rsid w:val="000B1AE2"/>
    <w:rsid w:val="000B1B69"/>
    <w:rsid w:val="000B1BF9"/>
    <w:rsid w:val="000B1CF3"/>
    <w:rsid w:val="000B1D65"/>
    <w:rsid w:val="000B1E5E"/>
    <w:rsid w:val="000B1E8E"/>
    <w:rsid w:val="000B2084"/>
    <w:rsid w:val="000B20C9"/>
    <w:rsid w:val="000B2102"/>
    <w:rsid w:val="000B21A4"/>
    <w:rsid w:val="000B2201"/>
    <w:rsid w:val="000B2267"/>
    <w:rsid w:val="000B22D5"/>
    <w:rsid w:val="000B2330"/>
    <w:rsid w:val="000B240F"/>
    <w:rsid w:val="000B245C"/>
    <w:rsid w:val="000B26AF"/>
    <w:rsid w:val="000B26E2"/>
    <w:rsid w:val="000B274B"/>
    <w:rsid w:val="000B27A8"/>
    <w:rsid w:val="000B27D5"/>
    <w:rsid w:val="000B2872"/>
    <w:rsid w:val="000B298A"/>
    <w:rsid w:val="000B2B2F"/>
    <w:rsid w:val="000B2C8F"/>
    <w:rsid w:val="000B2CA4"/>
    <w:rsid w:val="000B30C1"/>
    <w:rsid w:val="000B31A9"/>
    <w:rsid w:val="000B3395"/>
    <w:rsid w:val="000B33C4"/>
    <w:rsid w:val="000B3482"/>
    <w:rsid w:val="000B3547"/>
    <w:rsid w:val="000B35E4"/>
    <w:rsid w:val="000B362E"/>
    <w:rsid w:val="000B38B4"/>
    <w:rsid w:val="000B38F6"/>
    <w:rsid w:val="000B3A04"/>
    <w:rsid w:val="000B3B46"/>
    <w:rsid w:val="000B3C3B"/>
    <w:rsid w:val="000B3D00"/>
    <w:rsid w:val="000B3E24"/>
    <w:rsid w:val="000B3EB1"/>
    <w:rsid w:val="000B428D"/>
    <w:rsid w:val="000B43CA"/>
    <w:rsid w:val="000B4414"/>
    <w:rsid w:val="000B48FB"/>
    <w:rsid w:val="000B4A41"/>
    <w:rsid w:val="000B4A81"/>
    <w:rsid w:val="000B4BC3"/>
    <w:rsid w:val="000B4CFB"/>
    <w:rsid w:val="000B509C"/>
    <w:rsid w:val="000B545D"/>
    <w:rsid w:val="000B55A9"/>
    <w:rsid w:val="000B5645"/>
    <w:rsid w:val="000B56F9"/>
    <w:rsid w:val="000B585D"/>
    <w:rsid w:val="000B5869"/>
    <w:rsid w:val="000B58C6"/>
    <w:rsid w:val="000B59F7"/>
    <w:rsid w:val="000B5D71"/>
    <w:rsid w:val="000B5EC5"/>
    <w:rsid w:val="000B5F17"/>
    <w:rsid w:val="000B5F68"/>
    <w:rsid w:val="000B6065"/>
    <w:rsid w:val="000B6069"/>
    <w:rsid w:val="000B60B3"/>
    <w:rsid w:val="000B6249"/>
    <w:rsid w:val="000B64CA"/>
    <w:rsid w:val="000B64D0"/>
    <w:rsid w:val="000B651C"/>
    <w:rsid w:val="000B66B4"/>
    <w:rsid w:val="000B673F"/>
    <w:rsid w:val="000B683B"/>
    <w:rsid w:val="000B684C"/>
    <w:rsid w:val="000B6890"/>
    <w:rsid w:val="000B6908"/>
    <w:rsid w:val="000B6B02"/>
    <w:rsid w:val="000B6B39"/>
    <w:rsid w:val="000B6B6C"/>
    <w:rsid w:val="000B6B96"/>
    <w:rsid w:val="000B6BE1"/>
    <w:rsid w:val="000B6D7C"/>
    <w:rsid w:val="000B6DA6"/>
    <w:rsid w:val="000B7007"/>
    <w:rsid w:val="000B7108"/>
    <w:rsid w:val="000B713C"/>
    <w:rsid w:val="000B71F3"/>
    <w:rsid w:val="000B7382"/>
    <w:rsid w:val="000B7444"/>
    <w:rsid w:val="000B74E0"/>
    <w:rsid w:val="000B7606"/>
    <w:rsid w:val="000B7710"/>
    <w:rsid w:val="000B7784"/>
    <w:rsid w:val="000B7948"/>
    <w:rsid w:val="000B79F7"/>
    <w:rsid w:val="000B7A16"/>
    <w:rsid w:val="000B7AAD"/>
    <w:rsid w:val="000B7ACD"/>
    <w:rsid w:val="000B7AF7"/>
    <w:rsid w:val="000B7B91"/>
    <w:rsid w:val="000B7C85"/>
    <w:rsid w:val="000C002D"/>
    <w:rsid w:val="000C0053"/>
    <w:rsid w:val="000C01E3"/>
    <w:rsid w:val="000C091F"/>
    <w:rsid w:val="000C0C81"/>
    <w:rsid w:val="000C0CDD"/>
    <w:rsid w:val="000C0CE4"/>
    <w:rsid w:val="000C0D60"/>
    <w:rsid w:val="000C0DA6"/>
    <w:rsid w:val="000C0DDA"/>
    <w:rsid w:val="000C0E3B"/>
    <w:rsid w:val="000C0F2B"/>
    <w:rsid w:val="000C0F49"/>
    <w:rsid w:val="000C10D7"/>
    <w:rsid w:val="000C1191"/>
    <w:rsid w:val="000C11E8"/>
    <w:rsid w:val="000C1391"/>
    <w:rsid w:val="000C149A"/>
    <w:rsid w:val="000C1766"/>
    <w:rsid w:val="000C17DF"/>
    <w:rsid w:val="000C18B3"/>
    <w:rsid w:val="000C1B8B"/>
    <w:rsid w:val="000C1BD2"/>
    <w:rsid w:val="000C1C95"/>
    <w:rsid w:val="000C1C97"/>
    <w:rsid w:val="000C1F5D"/>
    <w:rsid w:val="000C1F8A"/>
    <w:rsid w:val="000C2055"/>
    <w:rsid w:val="000C2135"/>
    <w:rsid w:val="000C21C7"/>
    <w:rsid w:val="000C220B"/>
    <w:rsid w:val="000C22F8"/>
    <w:rsid w:val="000C2370"/>
    <w:rsid w:val="000C248D"/>
    <w:rsid w:val="000C2553"/>
    <w:rsid w:val="000C257C"/>
    <w:rsid w:val="000C2645"/>
    <w:rsid w:val="000C2725"/>
    <w:rsid w:val="000C283D"/>
    <w:rsid w:val="000C2BC6"/>
    <w:rsid w:val="000C2BF5"/>
    <w:rsid w:val="000C2DE5"/>
    <w:rsid w:val="000C31AF"/>
    <w:rsid w:val="000C3292"/>
    <w:rsid w:val="000C351C"/>
    <w:rsid w:val="000C35C0"/>
    <w:rsid w:val="000C3666"/>
    <w:rsid w:val="000C3788"/>
    <w:rsid w:val="000C38CB"/>
    <w:rsid w:val="000C3A18"/>
    <w:rsid w:val="000C3A5B"/>
    <w:rsid w:val="000C3ACE"/>
    <w:rsid w:val="000C3B01"/>
    <w:rsid w:val="000C3B02"/>
    <w:rsid w:val="000C3B03"/>
    <w:rsid w:val="000C3BF1"/>
    <w:rsid w:val="000C3C4C"/>
    <w:rsid w:val="000C3C8A"/>
    <w:rsid w:val="000C3CB1"/>
    <w:rsid w:val="000C3D63"/>
    <w:rsid w:val="000C3E02"/>
    <w:rsid w:val="000C3F29"/>
    <w:rsid w:val="000C3FB5"/>
    <w:rsid w:val="000C4051"/>
    <w:rsid w:val="000C41C1"/>
    <w:rsid w:val="000C41F4"/>
    <w:rsid w:val="000C4229"/>
    <w:rsid w:val="000C449C"/>
    <w:rsid w:val="000C451C"/>
    <w:rsid w:val="000C4612"/>
    <w:rsid w:val="000C47AE"/>
    <w:rsid w:val="000C486E"/>
    <w:rsid w:val="000C4875"/>
    <w:rsid w:val="000C489C"/>
    <w:rsid w:val="000C496A"/>
    <w:rsid w:val="000C49DE"/>
    <w:rsid w:val="000C4BE8"/>
    <w:rsid w:val="000C4BFC"/>
    <w:rsid w:val="000C4CDF"/>
    <w:rsid w:val="000C4D57"/>
    <w:rsid w:val="000C4DA9"/>
    <w:rsid w:val="000C4E77"/>
    <w:rsid w:val="000C4E96"/>
    <w:rsid w:val="000C4F54"/>
    <w:rsid w:val="000C5329"/>
    <w:rsid w:val="000C5422"/>
    <w:rsid w:val="000C54E7"/>
    <w:rsid w:val="000C55BB"/>
    <w:rsid w:val="000C56D6"/>
    <w:rsid w:val="000C56E7"/>
    <w:rsid w:val="000C5879"/>
    <w:rsid w:val="000C5917"/>
    <w:rsid w:val="000C5992"/>
    <w:rsid w:val="000C5B13"/>
    <w:rsid w:val="000C5C1A"/>
    <w:rsid w:val="000C5CD9"/>
    <w:rsid w:val="000C5DDD"/>
    <w:rsid w:val="000C6015"/>
    <w:rsid w:val="000C6090"/>
    <w:rsid w:val="000C615A"/>
    <w:rsid w:val="000C6271"/>
    <w:rsid w:val="000C6455"/>
    <w:rsid w:val="000C66B7"/>
    <w:rsid w:val="000C66E4"/>
    <w:rsid w:val="000C6795"/>
    <w:rsid w:val="000C67F4"/>
    <w:rsid w:val="000C6887"/>
    <w:rsid w:val="000C688C"/>
    <w:rsid w:val="000C69F3"/>
    <w:rsid w:val="000C6C0E"/>
    <w:rsid w:val="000C6C11"/>
    <w:rsid w:val="000C6DF1"/>
    <w:rsid w:val="000C6E68"/>
    <w:rsid w:val="000C6F3E"/>
    <w:rsid w:val="000C7167"/>
    <w:rsid w:val="000C7391"/>
    <w:rsid w:val="000C73FB"/>
    <w:rsid w:val="000C74D3"/>
    <w:rsid w:val="000C7720"/>
    <w:rsid w:val="000C77D3"/>
    <w:rsid w:val="000C77E7"/>
    <w:rsid w:val="000C78B8"/>
    <w:rsid w:val="000C7A97"/>
    <w:rsid w:val="000C7BEF"/>
    <w:rsid w:val="000C7C1A"/>
    <w:rsid w:val="000C7D31"/>
    <w:rsid w:val="000C7F1D"/>
    <w:rsid w:val="000D0016"/>
    <w:rsid w:val="000D01B1"/>
    <w:rsid w:val="000D0281"/>
    <w:rsid w:val="000D02E1"/>
    <w:rsid w:val="000D03E7"/>
    <w:rsid w:val="000D0450"/>
    <w:rsid w:val="000D0482"/>
    <w:rsid w:val="000D0499"/>
    <w:rsid w:val="000D0517"/>
    <w:rsid w:val="000D05AA"/>
    <w:rsid w:val="000D0761"/>
    <w:rsid w:val="000D0836"/>
    <w:rsid w:val="000D09E2"/>
    <w:rsid w:val="000D0D6F"/>
    <w:rsid w:val="000D0E43"/>
    <w:rsid w:val="000D0ECD"/>
    <w:rsid w:val="000D10BD"/>
    <w:rsid w:val="000D1177"/>
    <w:rsid w:val="000D12EE"/>
    <w:rsid w:val="000D12FC"/>
    <w:rsid w:val="000D13E3"/>
    <w:rsid w:val="000D13E9"/>
    <w:rsid w:val="000D14EC"/>
    <w:rsid w:val="000D1797"/>
    <w:rsid w:val="000D18C3"/>
    <w:rsid w:val="000D1B2D"/>
    <w:rsid w:val="000D1D4D"/>
    <w:rsid w:val="000D2009"/>
    <w:rsid w:val="000D210F"/>
    <w:rsid w:val="000D2138"/>
    <w:rsid w:val="000D2159"/>
    <w:rsid w:val="000D221A"/>
    <w:rsid w:val="000D225C"/>
    <w:rsid w:val="000D22B5"/>
    <w:rsid w:val="000D22D4"/>
    <w:rsid w:val="000D256C"/>
    <w:rsid w:val="000D25B6"/>
    <w:rsid w:val="000D2602"/>
    <w:rsid w:val="000D26C9"/>
    <w:rsid w:val="000D275A"/>
    <w:rsid w:val="000D286A"/>
    <w:rsid w:val="000D29D0"/>
    <w:rsid w:val="000D29DB"/>
    <w:rsid w:val="000D2B7D"/>
    <w:rsid w:val="000D2BC8"/>
    <w:rsid w:val="000D2CE9"/>
    <w:rsid w:val="000D2ED2"/>
    <w:rsid w:val="000D2F37"/>
    <w:rsid w:val="000D2FFC"/>
    <w:rsid w:val="000D3139"/>
    <w:rsid w:val="000D3208"/>
    <w:rsid w:val="000D3226"/>
    <w:rsid w:val="000D32CF"/>
    <w:rsid w:val="000D3312"/>
    <w:rsid w:val="000D34A3"/>
    <w:rsid w:val="000D36DF"/>
    <w:rsid w:val="000D3783"/>
    <w:rsid w:val="000D379D"/>
    <w:rsid w:val="000D37F4"/>
    <w:rsid w:val="000D383D"/>
    <w:rsid w:val="000D38F1"/>
    <w:rsid w:val="000D398B"/>
    <w:rsid w:val="000D3AFE"/>
    <w:rsid w:val="000D3B22"/>
    <w:rsid w:val="000D3D83"/>
    <w:rsid w:val="000D3D9B"/>
    <w:rsid w:val="000D40D1"/>
    <w:rsid w:val="000D43E0"/>
    <w:rsid w:val="000D4441"/>
    <w:rsid w:val="000D4529"/>
    <w:rsid w:val="000D455D"/>
    <w:rsid w:val="000D45F7"/>
    <w:rsid w:val="000D46C8"/>
    <w:rsid w:val="000D474F"/>
    <w:rsid w:val="000D49B4"/>
    <w:rsid w:val="000D4AE3"/>
    <w:rsid w:val="000D4C3B"/>
    <w:rsid w:val="000D4F69"/>
    <w:rsid w:val="000D4FC1"/>
    <w:rsid w:val="000D5039"/>
    <w:rsid w:val="000D50AB"/>
    <w:rsid w:val="000D5140"/>
    <w:rsid w:val="000D52FB"/>
    <w:rsid w:val="000D5361"/>
    <w:rsid w:val="000D53E1"/>
    <w:rsid w:val="000D5693"/>
    <w:rsid w:val="000D5A49"/>
    <w:rsid w:val="000D5D14"/>
    <w:rsid w:val="000D60EF"/>
    <w:rsid w:val="000D621E"/>
    <w:rsid w:val="000D62BE"/>
    <w:rsid w:val="000D62FB"/>
    <w:rsid w:val="000D64E5"/>
    <w:rsid w:val="000D65A0"/>
    <w:rsid w:val="000D65E1"/>
    <w:rsid w:val="000D666D"/>
    <w:rsid w:val="000D6758"/>
    <w:rsid w:val="000D689B"/>
    <w:rsid w:val="000D6A10"/>
    <w:rsid w:val="000D6B25"/>
    <w:rsid w:val="000D6D29"/>
    <w:rsid w:val="000D6D49"/>
    <w:rsid w:val="000D6DC2"/>
    <w:rsid w:val="000D6EE5"/>
    <w:rsid w:val="000D6FAD"/>
    <w:rsid w:val="000D6FF1"/>
    <w:rsid w:val="000D7070"/>
    <w:rsid w:val="000D7184"/>
    <w:rsid w:val="000D720A"/>
    <w:rsid w:val="000D7461"/>
    <w:rsid w:val="000D77F0"/>
    <w:rsid w:val="000D7825"/>
    <w:rsid w:val="000D796F"/>
    <w:rsid w:val="000D7989"/>
    <w:rsid w:val="000D7A00"/>
    <w:rsid w:val="000D7B19"/>
    <w:rsid w:val="000D7B2A"/>
    <w:rsid w:val="000D7B8A"/>
    <w:rsid w:val="000D7CB2"/>
    <w:rsid w:val="000D7DAB"/>
    <w:rsid w:val="000D7DBB"/>
    <w:rsid w:val="000D7EA4"/>
    <w:rsid w:val="000D7F18"/>
    <w:rsid w:val="000D7F35"/>
    <w:rsid w:val="000E00DE"/>
    <w:rsid w:val="000E01AE"/>
    <w:rsid w:val="000E03B9"/>
    <w:rsid w:val="000E03EB"/>
    <w:rsid w:val="000E03F4"/>
    <w:rsid w:val="000E0420"/>
    <w:rsid w:val="000E047B"/>
    <w:rsid w:val="000E04A8"/>
    <w:rsid w:val="000E04D6"/>
    <w:rsid w:val="000E0538"/>
    <w:rsid w:val="000E05A3"/>
    <w:rsid w:val="000E064A"/>
    <w:rsid w:val="000E0762"/>
    <w:rsid w:val="000E0859"/>
    <w:rsid w:val="000E0A6B"/>
    <w:rsid w:val="000E0B0F"/>
    <w:rsid w:val="000E0B6B"/>
    <w:rsid w:val="000E0E1D"/>
    <w:rsid w:val="000E0E8F"/>
    <w:rsid w:val="000E0EBE"/>
    <w:rsid w:val="000E0ECA"/>
    <w:rsid w:val="000E0F3C"/>
    <w:rsid w:val="000E0F80"/>
    <w:rsid w:val="000E0FCF"/>
    <w:rsid w:val="000E1077"/>
    <w:rsid w:val="000E10F1"/>
    <w:rsid w:val="000E10F6"/>
    <w:rsid w:val="000E1291"/>
    <w:rsid w:val="000E1583"/>
    <w:rsid w:val="000E15C4"/>
    <w:rsid w:val="000E172F"/>
    <w:rsid w:val="000E1806"/>
    <w:rsid w:val="000E18D4"/>
    <w:rsid w:val="000E18D9"/>
    <w:rsid w:val="000E1939"/>
    <w:rsid w:val="000E19F9"/>
    <w:rsid w:val="000E1A72"/>
    <w:rsid w:val="000E1B2A"/>
    <w:rsid w:val="000E1D20"/>
    <w:rsid w:val="000E1E15"/>
    <w:rsid w:val="000E202F"/>
    <w:rsid w:val="000E2101"/>
    <w:rsid w:val="000E2106"/>
    <w:rsid w:val="000E2161"/>
    <w:rsid w:val="000E21C3"/>
    <w:rsid w:val="000E2345"/>
    <w:rsid w:val="000E2369"/>
    <w:rsid w:val="000E27FA"/>
    <w:rsid w:val="000E298A"/>
    <w:rsid w:val="000E2AC9"/>
    <w:rsid w:val="000E2B9A"/>
    <w:rsid w:val="000E2C47"/>
    <w:rsid w:val="000E2D4E"/>
    <w:rsid w:val="000E2E42"/>
    <w:rsid w:val="000E2E4A"/>
    <w:rsid w:val="000E2EE2"/>
    <w:rsid w:val="000E301E"/>
    <w:rsid w:val="000E3117"/>
    <w:rsid w:val="000E3188"/>
    <w:rsid w:val="000E31A1"/>
    <w:rsid w:val="000E3200"/>
    <w:rsid w:val="000E32A3"/>
    <w:rsid w:val="000E32F9"/>
    <w:rsid w:val="000E330D"/>
    <w:rsid w:val="000E337C"/>
    <w:rsid w:val="000E3440"/>
    <w:rsid w:val="000E387E"/>
    <w:rsid w:val="000E38BF"/>
    <w:rsid w:val="000E3C04"/>
    <w:rsid w:val="000E3C74"/>
    <w:rsid w:val="000E3EC9"/>
    <w:rsid w:val="000E3F7B"/>
    <w:rsid w:val="000E3FF1"/>
    <w:rsid w:val="000E40C3"/>
    <w:rsid w:val="000E40E0"/>
    <w:rsid w:val="000E4202"/>
    <w:rsid w:val="000E43BF"/>
    <w:rsid w:val="000E447C"/>
    <w:rsid w:val="000E4499"/>
    <w:rsid w:val="000E484B"/>
    <w:rsid w:val="000E4942"/>
    <w:rsid w:val="000E4A95"/>
    <w:rsid w:val="000E4B38"/>
    <w:rsid w:val="000E4F25"/>
    <w:rsid w:val="000E4F27"/>
    <w:rsid w:val="000E4F8B"/>
    <w:rsid w:val="000E5041"/>
    <w:rsid w:val="000E5054"/>
    <w:rsid w:val="000E50C9"/>
    <w:rsid w:val="000E5488"/>
    <w:rsid w:val="000E55A2"/>
    <w:rsid w:val="000E55A5"/>
    <w:rsid w:val="000E5818"/>
    <w:rsid w:val="000E5A33"/>
    <w:rsid w:val="000E5C75"/>
    <w:rsid w:val="000E5CDD"/>
    <w:rsid w:val="000E62C7"/>
    <w:rsid w:val="000E63FC"/>
    <w:rsid w:val="000E66DE"/>
    <w:rsid w:val="000E6758"/>
    <w:rsid w:val="000E699A"/>
    <w:rsid w:val="000E69DD"/>
    <w:rsid w:val="000E6BE8"/>
    <w:rsid w:val="000E6D40"/>
    <w:rsid w:val="000E6D76"/>
    <w:rsid w:val="000E6ED3"/>
    <w:rsid w:val="000E70EE"/>
    <w:rsid w:val="000E72E5"/>
    <w:rsid w:val="000E7400"/>
    <w:rsid w:val="000E7497"/>
    <w:rsid w:val="000E76A1"/>
    <w:rsid w:val="000E7837"/>
    <w:rsid w:val="000E78B1"/>
    <w:rsid w:val="000E7BA3"/>
    <w:rsid w:val="000E7BFA"/>
    <w:rsid w:val="000E7ECC"/>
    <w:rsid w:val="000E7F5A"/>
    <w:rsid w:val="000E7F93"/>
    <w:rsid w:val="000F004A"/>
    <w:rsid w:val="000F02BD"/>
    <w:rsid w:val="000F03A1"/>
    <w:rsid w:val="000F063D"/>
    <w:rsid w:val="000F0A0B"/>
    <w:rsid w:val="000F0D50"/>
    <w:rsid w:val="000F0D62"/>
    <w:rsid w:val="000F0EF4"/>
    <w:rsid w:val="000F0F52"/>
    <w:rsid w:val="000F0FE1"/>
    <w:rsid w:val="000F108A"/>
    <w:rsid w:val="000F10EC"/>
    <w:rsid w:val="000F1363"/>
    <w:rsid w:val="000F13A9"/>
    <w:rsid w:val="000F13B8"/>
    <w:rsid w:val="000F14C4"/>
    <w:rsid w:val="000F152D"/>
    <w:rsid w:val="000F1619"/>
    <w:rsid w:val="000F168F"/>
    <w:rsid w:val="000F16BB"/>
    <w:rsid w:val="000F170B"/>
    <w:rsid w:val="000F17D2"/>
    <w:rsid w:val="000F191F"/>
    <w:rsid w:val="000F197E"/>
    <w:rsid w:val="000F19E5"/>
    <w:rsid w:val="000F1A23"/>
    <w:rsid w:val="000F1C4E"/>
    <w:rsid w:val="000F1D20"/>
    <w:rsid w:val="000F1D54"/>
    <w:rsid w:val="000F1D73"/>
    <w:rsid w:val="000F1F30"/>
    <w:rsid w:val="000F2127"/>
    <w:rsid w:val="000F2171"/>
    <w:rsid w:val="000F217A"/>
    <w:rsid w:val="000F219E"/>
    <w:rsid w:val="000F2256"/>
    <w:rsid w:val="000F24FB"/>
    <w:rsid w:val="000F25A6"/>
    <w:rsid w:val="000F263E"/>
    <w:rsid w:val="000F270C"/>
    <w:rsid w:val="000F270E"/>
    <w:rsid w:val="000F2751"/>
    <w:rsid w:val="000F29C3"/>
    <w:rsid w:val="000F2BB2"/>
    <w:rsid w:val="000F2C54"/>
    <w:rsid w:val="000F2DEF"/>
    <w:rsid w:val="000F2FB8"/>
    <w:rsid w:val="000F301D"/>
    <w:rsid w:val="000F3089"/>
    <w:rsid w:val="000F30C1"/>
    <w:rsid w:val="000F3367"/>
    <w:rsid w:val="000F33A7"/>
    <w:rsid w:val="000F34BA"/>
    <w:rsid w:val="000F35B8"/>
    <w:rsid w:val="000F38A1"/>
    <w:rsid w:val="000F3C0A"/>
    <w:rsid w:val="000F3C4D"/>
    <w:rsid w:val="000F3C86"/>
    <w:rsid w:val="000F3EE6"/>
    <w:rsid w:val="000F3F0D"/>
    <w:rsid w:val="000F3F60"/>
    <w:rsid w:val="000F3FBA"/>
    <w:rsid w:val="000F3FD0"/>
    <w:rsid w:val="000F4030"/>
    <w:rsid w:val="000F40D6"/>
    <w:rsid w:val="000F4125"/>
    <w:rsid w:val="000F4172"/>
    <w:rsid w:val="000F4297"/>
    <w:rsid w:val="000F440E"/>
    <w:rsid w:val="000F444F"/>
    <w:rsid w:val="000F45DA"/>
    <w:rsid w:val="000F461E"/>
    <w:rsid w:val="000F473F"/>
    <w:rsid w:val="000F47F8"/>
    <w:rsid w:val="000F4877"/>
    <w:rsid w:val="000F4987"/>
    <w:rsid w:val="000F4ACD"/>
    <w:rsid w:val="000F4C18"/>
    <w:rsid w:val="000F4C30"/>
    <w:rsid w:val="000F4C74"/>
    <w:rsid w:val="000F4F0D"/>
    <w:rsid w:val="000F50CC"/>
    <w:rsid w:val="000F512B"/>
    <w:rsid w:val="000F514E"/>
    <w:rsid w:val="000F532F"/>
    <w:rsid w:val="000F53D3"/>
    <w:rsid w:val="000F53F4"/>
    <w:rsid w:val="000F5423"/>
    <w:rsid w:val="000F54CB"/>
    <w:rsid w:val="000F553D"/>
    <w:rsid w:val="000F559F"/>
    <w:rsid w:val="000F57DA"/>
    <w:rsid w:val="000F5892"/>
    <w:rsid w:val="000F590E"/>
    <w:rsid w:val="000F5A24"/>
    <w:rsid w:val="000F5CA3"/>
    <w:rsid w:val="000F5D37"/>
    <w:rsid w:val="000F5DF1"/>
    <w:rsid w:val="000F5DFB"/>
    <w:rsid w:val="000F60B8"/>
    <w:rsid w:val="000F60F3"/>
    <w:rsid w:val="000F61B9"/>
    <w:rsid w:val="000F61E7"/>
    <w:rsid w:val="000F63BA"/>
    <w:rsid w:val="000F643B"/>
    <w:rsid w:val="000F6481"/>
    <w:rsid w:val="000F6727"/>
    <w:rsid w:val="000F693D"/>
    <w:rsid w:val="000F69B4"/>
    <w:rsid w:val="000F6A0C"/>
    <w:rsid w:val="000F6AEB"/>
    <w:rsid w:val="000F6CEF"/>
    <w:rsid w:val="000F6D28"/>
    <w:rsid w:val="000F6D93"/>
    <w:rsid w:val="000F6E86"/>
    <w:rsid w:val="000F6FE9"/>
    <w:rsid w:val="000F707C"/>
    <w:rsid w:val="000F70E4"/>
    <w:rsid w:val="000F7128"/>
    <w:rsid w:val="000F713F"/>
    <w:rsid w:val="000F7141"/>
    <w:rsid w:val="000F71B8"/>
    <w:rsid w:val="000F72DD"/>
    <w:rsid w:val="000F72DE"/>
    <w:rsid w:val="000F738F"/>
    <w:rsid w:val="000F73AB"/>
    <w:rsid w:val="000F7457"/>
    <w:rsid w:val="000F74E2"/>
    <w:rsid w:val="000F74ED"/>
    <w:rsid w:val="000F7646"/>
    <w:rsid w:val="000F7666"/>
    <w:rsid w:val="000F79B4"/>
    <w:rsid w:val="000F7B4D"/>
    <w:rsid w:val="000F7B81"/>
    <w:rsid w:val="000F7B9D"/>
    <w:rsid w:val="000F7BA0"/>
    <w:rsid w:val="000F7C91"/>
    <w:rsid w:val="000F7CA0"/>
    <w:rsid w:val="000F7EE0"/>
    <w:rsid w:val="0010012F"/>
    <w:rsid w:val="001002DE"/>
    <w:rsid w:val="001003E6"/>
    <w:rsid w:val="001004A7"/>
    <w:rsid w:val="001004AC"/>
    <w:rsid w:val="001004C1"/>
    <w:rsid w:val="00100550"/>
    <w:rsid w:val="001005EA"/>
    <w:rsid w:val="0010060D"/>
    <w:rsid w:val="00100623"/>
    <w:rsid w:val="00100906"/>
    <w:rsid w:val="00100A1B"/>
    <w:rsid w:val="00100A45"/>
    <w:rsid w:val="00100C19"/>
    <w:rsid w:val="00100DD2"/>
    <w:rsid w:val="00100E8C"/>
    <w:rsid w:val="00100F51"/>
    <w:rsid w:val="00100F5B"/>
    <w:rsid w:val="00100F79"/>
    <w:rsid w:val="00101040"/>
    <w:rsid w:val="001010C6"/>
    <w:rsid w:val="001010CE"/>
    <w:rsid w:val="001011A4"/>
    <w:rsid w:val="001012A6"/>
    <w:rsid w:val="001012BE"/>
    <w:rsid w:val="001012F6"/>
    <w:rsid w:val="001014D0"/>
    <w:rsid w:val="0010162B"/>
    <w:rsid w:val="001016E7"/>
    <w:rsid w:val="0010184D"/>
    <w:rsid w:val="00101BD0"/>
    <w:rsid w:val="00101C94"/>
    <w:rsid w:val="00101C9E"/>
    <w:rsid w:val="00101D20"/>
    <w:rsid w:val="00101E3E"/>
    <w:rsid w:val="00101F24"/>
    <w:rsid w:val="00101FC4"/>
    <w:rsid w:val="00102025"/>
    <w:rsid w:val="00102057"/>
    <w:rsid w:val="00102286"/>
    <w:rsid w:val="001022D8"/>
    <w:rsid w:val="001022E4"/>
    <w:rsid w:val="00102436"/>
    <w:rsid w:val="001024AC"/>
    <w:rsid w:val="001024C8"/>
    <w:rsid w:val="001025A1"/>
    <w:rsid w:val="001025BF"/>
    <w:rsid w:val="00102619"/>
    <w:rsid w:val="00102702"/>
    <w:rsid w:val="00102721"/>
    <w:rsid w:val="001027C2"/>
    <w:rsid w:val="001028D2"/>
    <w:rsid w:val="00102906"/>
    <w:rsid w:val="00102A17"/>
    <w:rsid w:val="00102BEC"/>
    <w:rsid w:val="00102C78"/>
    <w:rsid w:val="00102CD5"/>
    <w:rsid w:val="00102CDA"/>
    <w:rsid w:val="00102DC6"/>
    <w:rsid w:val="00102E37"/>
    <w:rsid w:val="00102F68"/>
    <w:rsid w:val="00103042"/>
    <w:rsid w:val="00103053"/>
    <w:rsid w:val="00103091"/>
    <w:rsid w:val="00103095"/>
    <w:rsid w:val="00103490"/>
    <w:rsid w:val="0010362F"/>
    <w:rsid w:val="0010383F"/>
    <w:rsid w:val="0010398D"/>
    <w:rsid w:val="00103D82"/>
    <w:rsid w:val="00103E75"/>
    <w:rsid w:val="00103E88"/>
    <w:rsid w:val="00103E8B"/>
    <w:rsid w:val="00103F1B"/>
    <w:rsid w:val="00103FD1"/>
    <w:rsid w:val="00104101"/>
    <w:rsid w:val="0010416B"/>
    <w:rsid w:val="001041C6"/>
    <w:rsid w:val="0010448E"/>
    <w:rsid w:val="0010469C"/>
    <w:rsid w:val="001046AC"/>
    <w:rsid w:val="001046D9"/>
    <w:rsid w:val="001048A8"/>
    <w:rsid w:val="00104B59"/>
    <w:rsid w:val="00104C0A"/>
    <w:rsid w:val="00104DA4"/>
    <w:rsid w:val="00104DC5"/>
    <w:rsid w:val="00104E74"/>
    <w:rsid w:val="00104F10"/>
    <w:rsid w:val="00105056"/>
    <w:rsid w:val="001052A0"/>
    <w:rsid w:val="001052E4"/>
    <w:rsid w:val="001052F6"/>
    <w:rsid w:val="00105376"/>
    <w:rsid w:val="001053B9"/>
    <w:rsid w:val="001054FF"/>
    <w:rsid w:val="00105514"/>
    <w:rsid w:val="0010584C"/>
    <w:rsid w:val="00105851"/>
    <w:rsid w:val="00105A3D"/>
    <w:rsid w:val="00105A79"/>
    <w:rsid w:val="00105B42"/>
    <w:rsid w:val="00105C0F"/>
    <w:rsid w:val="00105CDB"/>
    <w:rsid w:val="00105D71"/>
    <w:rsid w:val="00105DF8"/>
    <w:rsid w:val="00105E58"/>
    <w:rsid w:val="00105EFF"/>
    <w:rsid w:val="00105FDE"/>
    <w:rsid w:val="00106133"/>
    <w:rsid w:val="00106392"/>
    <w:rsid w:val="001063F2"/>
    <w:rsid w:val="0010644E"/>
    <w:rsid w:val="0010659B"/>
    <w:rsid w:val="001065CB"/>
    <w:rsid w:val="001065F8"/>
    <w:rsid w:val="001065FA"/>
    <w:rsid w:val="00106607"/>
    <w:rsid w:val="001067A6"/>
    <w:rsid w:val="00106954"/>
    <w:rsid w:val="00106A87"/>
    <w:rsid w:val="00106BA4"/>
    <w:rsid w:val="00106C1B"/>
    <w:rsid w:val="00106CAA"/>
    <w:rsid w:val="00106D6C"/>
    <w:rsid w:val="00106E74"/>
    <w:rsid w:val="00106E90"/>
    <w:rsid w:val="00106EC3"/>
    <w:rsid w:val="00106F7C"/>
    <w:rsid w:val="001074A9"/>
    <w:rsid w:val="00107519"/>
    <w:rsid w:val="00107574"/>
    <w:rsid w:val="0010757A"/>
    <w:rsid w:val="001075BA"/>
    <w:rsid w:val="00107664"/>
    <w:rsid w:val="00107A10"/>
    <w:rsid w:val="00107A1D"/>
    <w:rsid w:val="00107A6F"/>
    <w:rsid w:val="00107AA4"/>
    <w:rsid w:val="00107B4C"/>
    <w:rsid w:val="00107D37"/>
    <w:rsid w:val="00107D7E"/>
    <w:rsid w:val="00110076"/>
    <w:rsid w:val="00110086"/>
    <w:rsid w:val="0011012D"/>
    <w:rsid w:val="001102CB"/>
    <w:rsid w:val="0011034D"/>
    <w:rsid w:val="0011036B"/>
    <w:rsid w:val="00110466"/>
    <w:rsid w:val="00110592"/>
    <w:rsid w:val="00110699"/>
    <w:rsid w:val="0011075E"/>
    <w:rsid w:val="00110815"/>
    <w:rsid w:val="00110947"/>
    <w:rsid w:val="0011096A"/>
    <w:rsid w:val="00110BEC"/>
    <w:rsid w:val="00110BF0"/>
    <w:rsid w:val="00110C80"/>
    <w:rsid w:val="00110D3B"/>
    <w:rsid w:val="00110D55"/>
    <w:rsid w:val="00111156"/>
    <w:rsid w:val="0011128B"/>
    <w:rsid w:val="00111318"/>
    <w:rsid w:val="001114A2"/>
    <w:rsid w:val="001115A3"/>
    <w:rsid w:val="001115C0"/>
    <w:rsid w:val="00111697"/>
    <w:rsid w:val="00111982"/>
    <w:rsid w:val="001119A6"/>
    <w:rsid w:val="001119DC"/>
    <w:rsid w:val="00111BBC"/>
    <w:rsid w:val="00111D52"/>
    <w:rsid w:val="00111EF2"/>
    <w:rsid w:val="00111F3C"/>
    <w:rsid w:val="001120EF"/>
    <w:rsid w:val="00112200"/>
    <w:rsid w:val="0011226E"/>
    <w:rsid w:val="0011227D"/>
    <w:rsid w:val="00112298"/>
    <w:rsid w:val="001122E2"/>
    <w:rsid w:val="0011245D"/>
    <w:rsid w:val="00112503"/>
    <w:rsid w:val="001126CD"/>
    <w:rsid w:val="001126F6"/>
    <w:rsid w:val="00112701"/>
    <w:rsid w:val="001128D1"/>
    <w:rsid w:val="00112A1B"/>
    <w:rsid w:val="00112B04"/>
    <w:rsid w:val="00112BA6"/>
    <w:rsid w:val="00112BF3"/>
    <w:rsid w:val="00112D57"/>
    <w:rsid w:val="00112DBD"/>
    <w:rsid w:val="00112F0C"/>
    <w:rsid w:val="001131A3"/>
    <w:rsid w:val="0011324D"/>
    <w:rsid w:val="001133C3"/>
    <w:rsid w:val="0011355D"/>
    <w:rsid w:val="001135BE"/>
    <w:rsid w:val="001138EF"/>
    <w:rsid w:val="00113BA0"/>
    <w:rsid w:val="00113D5E"/>
    <w:rsid w:val="00113FA3"/>
    <w:rsid w:val="00114046"/>
    <w:rsid w:val="0011404F"/>
    <w:rsid w:val="0011408E"/>
    <w:rsid w:val="00114223"/>
    <w:rsid w:val="0011460C"/>
    <w:rsid w:val="00114611"/>
    <w:rsid w:val="0011480F"/>
    <w:rsid w:val="001149A5"/>
    <w:rsid w:val="00114B13"/>
    <w:rsid w:val="00114B34"/>
    <w:rsid w:val="00114BAF"/>
    <w:rsid w:val="00114D4C"/>
    <w:rsid w:val="00114D6D"/>
    <w:rsid w:val="00114F96"/>
    <w:rsid w:val="00115065"/>
    <w:rsid w:val="001150B4"/>
    <w:rsid w:val="00115240"/>
    <w:rsid w:val="001154BF"/>
    <w:rsid w:val="00115509"/>
    <w:rsid w:val="00115517"/>
    <w:rsid w:val="0011579F"/>
    <w:rsid w:val="0011598F"/>
    <w:rsid w:val="001159C0"/>
    <w:rsid w:val="00115BB4"/>
    <w:rsid w:val="00115C72"/>
    <w:rsid w:val="00115CFA"/>
    <w:rsid w:val="00115DDB"/>
    <w:rsid w:val="0011601C"/>
    <w:rsid w:val="0011631B"/>
    <w:rsid w:val="00116354"/>
    <w:rsid w:val="001164CA"/>
    <w:rsid w:val="00116715"/>
    <w:rsid w:val="00116729"/>
    <w:rsid w:val="00116792"/>
    <w:rsid w:val="001168A0"/>
    <w:rsid w:val="001168C1"/>
    <w:rsid w:val="001168F6"/>
    <w:rsid w:val="0011694D"/>
    <w:rsid w:val="00116BD4"/>
    <w:rsid w:val="00116CF3"/>
    <w:rsid w:val="00116DB0"/>
    <w:rsid w:val="00116E9A"/>
    <w:rsid w:val="00116F7B"/>
    <w:rsid w:val="00117044"/>
    <w:rsid w:val="00117461"/>
    <w:rsid w:val="001176B2"/>
    <w:rsid w:val="001176EE"/>
    <w:rsid w:val="00117715"/>
    <w:rsid w:val="00117742"/>
    <w:rsid w:val="0011778E"/>
    <w:rsid w:val="001177AB"/>
    <w:rsid w:val="001178A3"/>
    <w:rsid w:val="0011792B"/>
    <w:rsid w:val="001179A3"/>
    <w:rsid w:val="00117A3D"/>
    <w:rsid w:val="00117A78"/>
    <w:rsid w:val="00117ABC"/>
    <w:rsid w:val="00117BA0"/>
    <w:rsid w:val="00117DD7"/>
    <w:rsid w:val="00117E3A"/>
    <w:rsid w:val="00117E3E"/>
    <w:rsid w:val="00117E7E"/>
    <w:rsid w:val="00117F57"/>
    <w:rsid w:val="00117FB2"/>
    <w:rsid w:val="00117FE0"/>
    <w:rsid w:val="0012021E"/>
    <w:rsid w:val="0012024F"/>
    <w:rsid w:val="0012028E"/>
    <w:rsid w:val="00120343"/>
    <w:rsid w:val="0012038A"/>
    <w:rsid w:val="0012055B"/>
    <w:rsid w:val="00120616"/>
    <w:rsid w:val="001209AF"/>
    <w:rsid w:val="001209DD"/>
    <w:rsid w:val="00120A1B"/>
    <w:rsid w:val="00120B01"/>
    <w:rsid w:val="00120BAC"/>
    <w:rsid w:val="00120C9E"/>
    <w:rsid w:val="00120CC6"/>
    <w:rsid w:val="00120F21"/>
    <w:rsid w:val="00120F3D"/>
    <w:rsid w:val="00121029"/>
    <w:rsid w:val="00121056"/>
    <w:rsid w:val="001210B6"/>
    <w:rsid w:val="001210F8"/>
    <w:rsid w:val="001210FA"/>
    <w:rsid w:val="0012112C"/>
    <w:rsid w:val="0012123D"/>
    <w:rsid w:val="001212B9"/>
    <w:rsid w:val="001215BC"/>
    <w:rsid w:val="001217A9"/>
    <w:rsid w:val="001218F0"/>
    <w:rsid w:val="0012197E"/>
    <w:rsid w:val="00121989"/>
    <w:rsid w:val="00121A5E"/>
    <w:rsid w:val="00121A96"/>
    <w:rsid w:val="00121D56"/>
    <w:rsid w:val="00121DD1"/>
    <w:rsid w:val="00121ECD"/>
    <w:rsid w:val="00121F73"/>
    <w:rsid w:val="00121F8E"/>
    <w:rsid w:val="00121FA0"/>
    <w:rsid w:val="00122347"/>
    <w:rsid w:val="0012259C"/>
    <w:rsid w:val="00122629"/>
    <w:rsid w:val="00122651"/>
    <w:rsid w:val="00122686"/>
    <w:rsid w:val="001226A1"/>
    <w:rsid w:val="001229AF"/>
    <w:rsid w:val="00122AC4"/>
    <w:rsid w:val="00122C91"/>
    <w:rsid w:val="00122CD2"/>
    <w:rsid w:val="00122D1A"/>
    <w:rsid w:val="00122DCC"/>
    <w:rsid w:val="00122F0D"/>
    <w:rsid w:val="001230B8"/>
    <w:rsid w:val="001230F6"/>
    <w:rsid w:val="001233C7"/>
    <w:rsid w:val="001234C5"/>
    <w:rsid w:val="00123562"/>
    <w:rsid w:val="00123662"/>
    <w:rsid w:val="00123702"/>
    <w:rsid w:val="00123994"/>
    <w:rsid w:val="001239CC"/>
    <w:rsid w:val="00123B87"/>
    <w:rsid w:val="00123D43"/>
    <w:rsid w:val="00123D86"/>
    <w:rsid w:val="00123DE2"/>
    <w:rsid w:val="00123E92"/>
    <w:rsid w:val="00124047"/>
    <w:rsid w:val="00124176"/>
    <w:rsid w:val="001244CE"/>
    <w:rsid w:val="001245CC"/>
    <w:rsid w:val="0012461E"/>
    <w:rsid w:val="0012469E"/>
    <w:rsid w:val="001248D3"/>
    <w:rsid w:val="00124929"/>
    <w:rsid w:val="00124993"/>
    <w:rsid w:val="00124ADA"/>
    <w:rsid w:val="00124C0A"/>
    <w:rsid w:val="00124C27"/>
    <w:rsid w:val="00124C4B"/>
    <w:rsid w:val="00124EA3"/>
    <w:rsid w:val="00124FE2"/>
    <w:rsid w:val="001250C8"/>
    <w:rsid w:val="001252E3"/>
    <w:rsid w:val="00125387"/>
    <w:rsid w:val="001253FA"/>
    <w:rsid w:val="001254C8"/>
    <w:rsid w:val="001254D0"/>
    <w:rsid w:val="00125685"/>
    <w:rsid w:val="00125828"/>
    <w:rsid w:val="00125A74"/>
    <w:rsid w:val="00125AC2"/>
    <w:rsid w:val="00125B31"/>
    <w:rsid w:val="00125B9D"/>
    <w:rsid w:val="00125C18"/>
    <w:rsid w:val="00125E0B"/>
    <w:rsid w:val="00125E10"/>
    <w:rsid w:val="00125E19"/>
    <w:rsid w:val="00125F56"/>
    <w:rsid w:val="00125F69"/>
    <w:rsid w:val="00126335"/>
    <w:rsid w:val="00126444"/>
    <w:rsid w:val="00126607"/>
    <w:rsid w:val="0012667C"/>
    <w:rsid w:val="001268BA"/>
    <w:rsid w:val="00126929"/>
    <w:rsid w:val="001269BF"/>
    <w:rsid w:val="00126C77"/>
    <w:rsid w:val="00126CEB"/>
    <w:rsid w:val="00126EB2"/>
    <w:rsid w:val="00126F3D"/>
    <w:rsid w:val="00126FB6"/>
    <w:rsid w:val="00127143"/>
    <w:rsid w:val="0012719F"/>
    <w:rsid w:val="001272A9"/>
    <w:rsid w:val="001272CB"/>
    <w:rsid w:val="001272DF"/>
    <w:rsid w:val="0012732B"/>
    <w:rsid w:val="0012745F"/>
    <w:rsid w:val="001274FB"/>
    <w:rsid w:val="0012751F"/>
    <w:rsid w:val="001276E3"/>
    <w:rsid w:val="00127752"/>
    <w:rsid w:val="001277CA"/>
    <w:rsid w:val="001277ED"/>
    <w:rsid w:val="00127893"/>
    <w:rsid w:val="001279B3"/>
    <w:rsid w:val="00127A18"/>
    <w:rsid w:val="00127BA4"/>
    <w:rsid w:val="00127CC2"/>
    <w:rsid w:val="00127D15"/>
    <w:rsid w:val="00127D26"/>
    <w:rsid w:val="00127DBF"/>
    <w:rsid w:val="00127E3E"/>
    <w:rsid w:val="00130084"/>
    <w:rsid w:val="00130184"/>
    <w:rsid w:val="00130211"/>
    <w:rsid w:val="001302D3"/>
    <w:rsid w:val="00130362"/>
    <w:rsid w:val="0013046A"/>
    <w:rsid w:val="0013051E"/>
    <w:rsid w:val="00130601"/>
    <w:rsid w:val="0013079B"/>
    <w:rsid w:val="00130919"/>
    <w:rsid w:val="00130AAF"/>
    <w:rsid w:val="00130C08"/>
    <w:rsid w:val="00130EA4"/>
    <w:rsid w:val="00130FEE"/>
    <w:rsid w:val="00131011"/>
    <w:rsid w:val="00131421"/>
    <w:rsid w:val="0013160C"/>
    <w:rsid w:val="00131626"/>
    <w:rsid w:val="0013175D"/>
    <w:rsid w:val="0013177F"/>
    <w:rsid w:val="001317E0"/>
    <w:rsid w:val="00131842"/>
    <w:rsid w:val="00131892"/>
    <w:rsid w:val="001318C8"/>
    <w:rsid w:val="00131916"/>
    <w:rsid w:val="001319FB"/>
    <w:rsid w:val="00131A9A"/>
    <w:rsid w:val="001323DF"/>
    <w:rsid w:val="001325AB"/>
    <w:rsid w:val="00132AE1"/>
    <w:rsid w:val="00132B87"/>
    <w:rsid w:val="00132CCA"/>
    <w:rsid w:val="00132E5A"/>
    <w:rsid w:val="00132F7B"/>
    <w:rsid w:val="00133072"/>
    <w:rsid w:val="00133104"/>
    <w:rsid w:val="00133128"/>
    <w:rsid w:val="00133392"/>
    <w:rsid w:val="00133408"/>
    <w:rsid w:val="0013350C"/>
    <w:rsid w:val="001336D3"/>
    <w:rsid w:val="001336E1"/>
    <w:rsid w:val="00133793"/>
    <w:rsid w:val="00133935"/>
    <w:rsid w:val="00133958"/>
    <w:rsid w:val="00133AB3"/>
    <w:rsid w:val="00133BB4"/>
    <w:rsid w:val="00133D75"/>
    <w:rsid w:val="00133E83"/>
    <w:rsid w:val="00133ED2"/>
    <w:rsid w:val="00133ED4"/>
    <w:rsid w:val="00133F6D"/>
    <w:rsid w:val="00133FDD"/>
    <w:rsid w:val="00134035"/>
    <w:rsid w:val="00134122"/>
    <w:rsid w:val="00134179"/>
    <w:rsid w:val="0013444E"/>
    <w:rsid w:val="00134569"/>
    <w:rsid w:val="001345F2"/>
    <w:rsid w:val="0013468E"/>
    <w:rsid w:val="0013482E"/>
    <w:rsid w:val="00134B56"/>
    <w:rsid w:val="00134D26"/>
    <w:rsid w:val="00134D77"/>
    <w:rsid w:val="001352DA"/>
    <w:rsid w:val="001352F1"/>
    <w:rsid w:val="001353C1"/>
    <w:rsid w:val="00135427"/>
    <w:rsid w:val="0013547E"/>
    <w:rsid w:val="00135569"/>
    <w:rsid w:val="0013561F"/>
    <w:rsid w:val="001358BA"/>
    <w:rsid w:val="001358D2"/>
    <w:rsid w:val="00135AF4"/>
    <w:rsid w:val="00135B2A"/>
    <w:rsid w:val="00135B76"/>
    <w:rsid w:val="00135BC4"/>
    <w:rsid w:val="00135D0B"/>
    <w:rsid w:val="00135DAD"/>
    <w:rsid w:val="00135FFE"/>
    <w:rsid w:val="00136017"/>
    <w:rsid w:val="001360E1"/>
    <w:rsid w:val="00136162"/>
    <w:rsid w:val="001364D7"/>
    <w:rsid w:val="001366E4"/>
    <w:rsid w:val="001367F1"/>
    <w:rsid w:val="001368CE"/>
    <w:rsid w:val="00136910"/>
    <w:rsid w:val="00136927"/>
    <w:rsid w:val="00136976"/>
    <w:rsid w:val="001369FB"/>
    <w:rsid w:val="00136FA2"/>
    <w:rsid w:val="00137134"/>
    <w:rsid w:val="0013714E"/>
    <w:rsid w:val="00137371"/>
    <w:rsid w:val="001374BB"/>
    <w:rsid w:val="0013750E"/>
    <w:rsid w:val="0013773C"/>
    <w:rsid w:val="0013774E"/>
    <w:rsid w:val="001378BF"/>
    <w:rsid w:val="0013791C"/>
    <w:rsid w:val="00137C09"/>
    <w:rsid w:val="00137D21"/>
    <w:rsid w:val="00137D6F"/>
    <w:rsid w:val="00137D99"/>
    <w:rsid w:val="00137DDD"/>
    <w:rsid w:val="00137E6F"/>
    <w:rsid w:val="00137EC9"/>
    <w:rsid w:val="00140010"/>
    <w:rsid w:val="0014005C"/>
    <w:rsid w:val="001402B1"/>
    <w:rsid w:val="0014035F"/>
    <w:rsid w:val="001403A6"/>
    <w:rsid w:val="00140471"/>
    <w:rsid w:val="00140822"/>
    <w:rsid w:val="00140898"/>
    <w:rsid w:val="001408F5"/>
    <w:rsid w:val="00140A5D"/>
    <w:rsid w:val="00140AB2"/>
    <w:rsid w:val="00140AF1"/>
    <w:rsid w:val="00140BDF"/>
    <w:rsid w:val="00140D03"/>
    <w:rsid w:val="00140F04"/>
    <w:rsid w:val="00140FC6"/>
    <w:rsid w:val="00140FC7"/>
    <w:rsid w:val="001411FE"/>
    <w:rsid w:val="0014124D"/>
    <w:rsid w:val="00141388"/>
    <w:rsid w:val="0014142D"/>
    <w:rsid w:val="00141445"/>
    <w:rsid w:val="0014148E"/>
    <w:rsid w:val="0014155E"/>
    <w:rsid w:val="0014162F"/>
    <w:rsid w:val="001417BB"/>
    <w:rsid w:val="00141843"/>
    <w:rsid w:val="001419AE"/>
    <w:rsid w:val="00141A76"/>
    <w:rsid w:val="00141BE8"/>
    <w:rsid w:val="00141DDE"/>
    <w:rsid w:val="0014240E"/>
    <w:rsid w:val="00142458"/>
    <w:rsid w:val="001426E6"/>
    <w:rsid w:val="0014274F"/>
    <w:rsid w:val="001427A1"/>
    <w:rsid w:val="00142901"/>
    <w:rsid w:val="00142905"/>
    <w:rsid w:val="00142AA0"/>
    <w:rsid w:val="00142B28"/>
    <w:rsid w:val="00142C5E"/>
    <w:rsid w:val="00142DC0"/>
    <w:rsid w:val="00142DCD"/>
    <w:rsid w:val="00142F09"/>
    <w:rsid w:val="00143105"/>
    <w:rsid w:val="001431F9"/>
    <w:rsid w:val="001433FE"/>
    <w:rsid w:val="00143489"/>
    <w:rsid w:val="001434AD"/>
    <w:rsid w:val="001434EA"/>
    <w:rsid w:val="00143515"/>
    <w:rsid w:val="00143662"/>
    <w:rsid w:val="0014376C"/>
    <w:rsid w:val="001439C0"/>
    <w:rsid w:val="00143AC5"/>
    <w:rsid w:val="00143B36"/>
    <w:rsid w:val="00143C1D"/>
    <w:rsid w:val="00143F36"/>
    <w:rsid w:val="0014423F"/>
    <w:rsid w:val="0014429A"/>
    <w:rsid w:val="00144340"/>
    <w:rsid w:val="00144497"/>
    <w:rsid w:val="001446C5"/>
    <w:rsid w:val="001448AD"/>
    <w:rsid w:val="001449BB"/>
    <w:rsid w:val="00144A7C"/>
    <w:rsid w:val="00144A86"/>
    <w:rsid w:val="00144B96"/>
    <w:rsid w:val="00144BBE"/>
    <w:rsid w:val="00144BCF"/>
    <w:rsid w:val="00144BF9"/>
    <w:rsid w:val="00144E61"/>
    <w:rsid w:val="00145305"/>
    <w:rsid w:val="0014539F"/>
    <w:rsid w:val="0014550E"/>
    <w:rsid w:val="00145531"/>
    <w:rsid w:val="00145573"/>
    <w:rsid w:val="001456AD"/>
    <w:rsid w:val="001456BC"/>
    <w:rsid w:val="001456CE"/>
    <w:rsid w:val="001456EE"/>
    <w:rsid w:val="001457F2"/>
    <w:rsid w:val="00145888"/>
    <w:rsid w:val="00145994"/>
    <w:rsid w:val="00145A39"/>
    <w:rsid w:val="00145BB1"/>
    <w:rsid w:val="00145D0D"/>
    <w:rsid w:val="00145D7F"/>
    <w:rsid w:val="00145FD1"/>
    <w:rsid w:val="00145FEC"/>
    <w:rsid w:val="00146111"/>
    <w:rsid w:val="001461B8"/>
    <w:rsid w:val="00146382"/>
    <w:rsid w:val="001463DD"/>
    <w:rsid w:val="001464EC"/>
    <w:rsid w:val="00146599"/>
    <w:rsid w:val="00146651"/>
    <w:rsid w:val="001466E3"/>
    <w:rsid w:val="00146854"/>
    <w:rsid w:val="00146CB3"/>
    <w:rsid w:val="00146D09"/>
    <w:rsid w:val="00146DB3"/>
    <w:rsid w:val="00146E0D"/>
    <w:rsid w:val="00146EAB"/>
    <w:rsid w:val="00146EE5"/>
    <w:rsid w:val="00146F46"/>
    <w:rsid w:val="001472EE"/>
    <w:rsid w:val="001473A4"/>
    <w:rsid w:val="00147474"/>
    <w:rsid w:val="001475A2"/>
    <w:rsid w:val="001477F2"/>
    <w:rsid w:val="0014782C"/>
    <w:rsid w:val="00147917"/>
    <w:rsid w:val="00147A6A"/>
    <w:rsid w:val="00147B5F"/>
    <w:rsid w:val="00147BD6"/>
    <w:rsid w:val="00147CC9"/>
    <w:rsid w:val="00147D11"/>
    <w:rsid w:val="00147DD3"/>
    <w:rsid w:val="00147F9B"/>
    <w:rsid w:val="0015000B"/>
    <w:rsid w:val="00150195"/>
    <w:rsid w:val="00150250"/>
    <w:rsid w:val="00150312"/>
    <w:rsid w:val="0015032E"/>
    <w:rsid w:val="00150339"/>
    <w:rsid w:val="0015036E"/>
    <w:rsid w:val="001504AB"/>
    <w:rsid w:val="001504B1"/>
    <w:rsid w:val="001504F4"/>
    <w:rsid w:val="001505A1"/>
    <w:rsid w:val="001506F2"/>
    <w:rsid w:val="00150728"/>
    <w:rsid w:val="00150931"/>
    <w:rsid w:val="00150AC5"/>
    <w:rsid w:val="00150B10"/>
    <w:rsid w:val="00150BB0"/>
    <w:rsid w:val="00150BB8"/>
    <w:rsid w:val="00150D2B"/>
    <w:rsid w:val="00150DFE"/>
    <w:rsid w:val="00150F64"/>
    <w:rsid w:val="0015143A"/>
    <w:rsid w:val="001514D7"/>
    <w:rsid w:val="00151543"/>
    <w:rsid w:val="001515D1"/>
    <w:rsid w:val="0015183D"/>
    <w:rsid w:val="001519F5"/>
    <w:rsid w:val="00151AE3"/>
    <w:rsid w:val="00151B28"/>
    <w:rsid w:val="00151B4E"/>
    <w:rsid w:val="00151D3F"/>
    <w:rsid w:val="00151D80"/>
    <w:rsid w:val="00151D87"/>
    <w:rsid w:val="00151DBC"/>
    <w:rsid w:val="00151E3A"/>
    <w:rsid w:val="00151F58"/>
    <w:rsid w:val="00152096"/>
    <w:rsid w:val="00152138"/>
    <w:rsid w:val="00152221"/>
    <w:rsid w:val="001523D1"/>
    <w:rsid w:val="0015240E"/>
    <w:rsid w:val="00152450"/>
    <w:rsid w:val="00152480"/>
    <w:rsid w:val="00152530"/>
    <w:rsid w:val="001525FA"/>
    <w:rsid w:val="001528A0"/>
    <w:rsid w:val="00152A5E"/>
    <w:rsid w:val="00152B0E"/>
    <w:rsid w:val="00152BB0"/>
    <w:rsid w:val="00152CC1"/>
    <w:rsid w:val="00152D13"/>
    <w:rsid w:val="00152E0C"/>
    <w:rsid w:val="00152E0F"/>
    <w:rsid w:val="00152E4F"/>
    <w:rsid w:val="00152F77"/>
    <w:rsid w:val="00153148"/>
    <w:rsid w:val="00153272"/>
    <w:rsid w:val="001533AC"/>
    <w:rsid w:val="00153456"/>
    <w:rsid w:val="00153519"/>
    <w:rsid w:val="0015385F"/>
    <w:rsid w:val="00153A3C"/>
    <w:rsid w:val="00153A7A"/>
    <w:rsid w:val="00153B09"/>
    <w:rsid w:val="00153B61"/>
    <w:rsid w:val="00153B64"/>
    <w:rsid w:val="00153D82"/>
    <w:rsid w:val="00153E7C"/>
    <w:rsid w:val="00153F64"/>
    <w:rsid w:val="00153FB3"/>
    <w:rsid w:val="001540DC"/>
    <w:rsid w:val="00154235"/>
    <w:rsid w:val="001542B6"/>
    <w:rsid w:val="001543CE"/>
    <w:rsid w:val="00154464"/>
    <w:rsid w:val="00154533"/>
    <w:rsid w:val="00154895"/>
    <w:rsid w:val="001548AB"/>
    <w:rsid w:val="00154950"/>
    <w:rsid w:val="00154A68"/>
    <w:rsid w:val="00154AA2"/>
    <w:rsid w:val="00154D94"/>
    <w:rsid w:val="00154EF7"/>
    <w:rsid w:val="00155048"/>
    <w:rsid w:val="001551A3"/>
    <w:rsid w:val="001551CE"/>
    <w:rsid w:val="001552AB"/>
    <w:rsid w:val="0015541F"/>
    <w:rsid w:val="001554E7"/>
    <w:rsid w:val="001555B9"/>
    <w:rsid w:val="001556A2"/>
    <w:rsid w:val="001556A8"/>
    <w:rsid w:val="001558B7"/>
    <w:rsid w:val="001559C7"/>
    <w:rsid w:val="00155A94"/>
    <w:rsid w:val="00155AEE"/>
    <w:rsid w:val="00155B0E"/>
    <w:rsid w:val="00155B74"/>
    <w:rsid w:val="00155D9F"/>
    <w:rsid w:val="00155E0B"/>
    <w:rsid w:val="00155E90"/>
    <w:rsid w:val="00156061"/>
    <w:rsid w:val="001563AB"/>
    <w:rsid w:val="00156475"/>
    <w:rsid w:val="0015662F"/>
    <w:rsid w:val="00156693"/>
    <w:rsid w:val="00156735"/>
    <w:rsid w:val="0015678D"/>
    <w:rsid w:val="00156990"/>
    <w:rsid w:val="001569B1"/>
    <w:rsid w:val="001569D8"/>
    <w:rsid w:val="00156B08"/>
    <w:rsid w:val="00156BD1"/>
    <w:rsid w:val="00156C25"/>
    <w:rsid w:val="00156FD9"/>
    <w:rsid w:val="00157007"/>
    <w:rsid w:val="00157099"/>
    <w:rsid w:val="001571B6"/>
    <w:rsid w:val="0015720A"/>
    <w:rsid w:val="0015723D"/>
    <w:rsid w:val="001573DF"/>
    <w:rsid w:val="0015740C"/>
    <w:rsid w:val="001575FA"/>
    <w:rsid w:val="00157803"/>
    <w:rsid w:val="001578DA"/>
    <w:rsid w:val="001579C6"/>
    <w:rsid w:val="001579DA"/>
    <w:rsid w:val="00157BFF"/>
    <w:rsid w:val="00157C5E"/>
    <w:rsid w:val="00157D47"/>
    <w:rsid w:val="00157E0C"/>
    <w:rsid w:val="00157E33"/>
    <w:rsid w:val="00157EF8"/>
    <w:rsid w:val="00157F8E"/>
    <w:rsid w:val="00157FAA"/>
    <w:rsid w:val="001600BE"/>
    <w:rsid w:val="00160206"/>
    <w:rsid w:val="001603CF"/>
    <w:rsid w:val="001608DD"/>
    <w:rsid w:val="00160B6C"/>
    <w:rsid w:val="00160BC4"/>
    <w:rsid w:val="00160C41"/>
    <w:rsid w:val="00160D3A"/>
    <w:rsid w:val="00160F6D"/>
    <w:rsid w:val="001610FF"/>
    <w:rsid w:val="001612C3"/>
    <w:rsid w:val="001612E1"/>
    <w:rsid w:val="0016137D"/>
    <w:rsid w:val="001613C7"/>
    <w:rsid w:val="001615AA"/>
    <w:rsid w:val="00161785"/>
    <w:rsid w:val="00161795"/>
    <w:rsid w:val="001617BF"/>
    <w:rsid w:val="00161890"/>
    <w:rsid w:val="0016193B"/>
    <w:rsid w:val="00161E46"/>
    <w:rsid w:val="00162170"/>
    <w:rsid w:val="001621FE"/>
    <w:rsid w:val="00162213"/>
    <w:rsid w:val="00162263"/>
    <w:rsid w:val="0016229E"/>
    <w:rsid w:val="0016264C"/>
    <w:rsid w:val="001627B7"/>
    <w:rsid w:val="001629CB"/>
    <w:rsid w:val="00162AF8"/>
    <w:rsid w:val="00162C59"/>
    <w:rsid w:val="0016324B"/>
    <w:rsid w:val="00163379"/>
    <w:rsid w:val="00163489"/>
    <w:rsid w:val="00163609"/>
    <w:rsid w:val="00163800"/>
    <w:rsid w:val="001639F4"/>
    <w:rsid w:val="00163AC8"/>
    <w:rsid w:val="00163B87"/>
    <w:rsid w:val="00163BF8"/>
    <w:rsid w:val="00163FD3"/>
    <w:rsid w:val="0016406B"/>
    <w:rsid w:val="00164230"/>
    <w:rsid w:val="00164309"/>
    <w:rsid w:val="001645F8"/>
    <w:rsid w:val="00164607"/>
    <w:rsid w:val="00164653"/>
    <w:rsid w:val="00164928"/>
    <w:rsid w:val="00164947"/>
    <w:rsid w:val="00164949"/>
    <w:rsid w:val="001649E4"/>
    <w:rsid w:val="001649E6"/>
    <w:rsid w:val="00164A0C"/>
    <w:rsid w:val="00164A0E"/>
    <w:rsid w:val="00164C41"/>
    <w:rsid w:val="00164CA8"/>
    <w:rsid w:val="00164E69"/>
    <w:rsid w:val="00164F69"/>
    <w:rsid w:val="00164F82"/>
    <w:rsid w:val="001650E0"/>
    <w:rsid w:val="00165147"/>
    <w:rsid w:val="00165199"/>
    <w:rsid w:val="00165219"/>
    <w:rsid w:val="00165293"/>
    <w:rsid w:val="001652BB"/>
    <w:rsid w:val="00165358"/>
    <w:rsid w:val="001653AE"/>
    <w:rsid w:val="001653E0"/>
    <w:rsid w:val="00165490"/>
    <w:rsid w:val="0016557C"/>
    <w:rsid w:val="0016566E"/>
    <w:rsid w:val="0016577E"/>
    <w:rsid w:val="00165800"/>
    <w:rsid w:val="001659D6"/>
    <w:rsid w:val="001659DB"/>
    <w:rsid w:val="00165ACD"/>
    <w:rsid w:val="00165CD2"/>
    <w:rsid w:val="00165E1A"/>
    <w:rsid w:val="00165E8E"/>
    <w:rsid w:val="00165EDB"/>
    <w:rsid w:val="00165F87"/>
    <w:rsid w:val="00165FFA"/>
    <w:rsid w:val="00166061"/>
    <w:rsid w:val="00166079"/>
    <w:rsid w:val="00166284"/>
    <w:rsid w:val="001663D5"/>
    <w:rsid w:val="0016649F"/>
    <w:rsid w:val="00166670"/>
    <w:rsid w:val="00166A11"/>
    <w:rsid w:val="00166A8B"/>
    <w:rsid w:val="00166C3D"/>
    <w:rsid w:val="00166D20"/>
    <w:rsid w:val="00166EAA"/>
    <w:rsid w:val="00166EFC"/>
    <w:rsid w:val="00166FC7"/>
    <w:rsid w:val="00167212"/>
    <w:rsid w:val="001672C2"/>
    <w:rsid w:val="00167443"/>
    <w:rsid w:val="00167581"/>
    <w:rsid w:val="00167751"/>
    <w:rsid w:val="00167862"/>
    <w:rsid w:val="00167A0E"/>
    <w:rsid w:val="00167A2B"/>
    <w:rsid w:val="00167A3D"/>
    <w:rsid w:val="00167A46"/>
    <w:rsid w:val="00167AC5"/>
    <w:rsid w:val="00167AD1"/>
    <w:rsid w:val="00167B7D"/>
    <w:rsid w:val="00167C8F"/>
    <w:rsid w:val="00167D0E"/>
    <w:rsid w:val="00167E6C"/>
    <w:rsid w:val="00167EE6"/>
    <w:rsid w:val="00170018"/>
    <w:rsid w:val="00170233"/>
    <w:rsid w:val="001703D8"/>
    <w:rsid w:val="00170424"/>
    <w:rsid w:val="0017046A"/>
    <w:rsid w:val="001705FE"/>
    <w:rsid w:val="00170641"/>
    <w:rsid w:val="001709A2"/>
    <w:rsid w:val="00170BB2"/>
    <w:rsid w:val="00170C0E"/>
    <w:rsid w:val="00170C90"/>
    <w:rsid w:val="00170CB3"/>
    <w:rsid w:val="00170CBB"/>
    <w:rsid w:val="00170D85"/>
    <w:rsid w:val="00170ECC"/>
    <w:rsid w:val="00170FF3"/>
    <w:rsid w:val="00171077"/>
    <w:rsid w:val="001710E9"/>
    <w:rsid w:val="001711C6"/>
    <w:rsid w:val="001714CC"/>
    <w:rsid w:val="00171637"/>
    <w:rsid w:val="001716B2"/>
    <w:rsid w:val="0017178E"/>
    <w:rsid w:val="00171976"/>
    <w:rsid w:val="00171A41"/>
    <w:rsid w:val="00171B60"/>
    <w:rsid w:val="00171C11"/>
    <w:rsid w:val="00171C3B"/>
    <w:rsid w:val="00171D49"/>
    <w:rsid w:val="00172016"/>
    <w:rsid w:val="00172231"/>
    <w:rsid w:val="0017236E"/>
    <w:rsid w:val="001723BF"/>
    <w:rsid w:val="001725B4"/>
    <w:rsid w:val="00172735"/>
    <w:rsid w:val="00172974"/>
    <w:rsid w:val="001729BE"/>
    <w:rsid w:val="00172A27"/>
    <w:rsid w:val="00172B49"/>
    <w:rsid w:val="00172B5F"/>
    <w:rsid w:val="00172D44"/>
    <w:rsid w:val="00172EB5"/>
    <w:rsid w:val="00172FCF"/>
    <w:rsid w:val="0017303D"/>
    <w:rsid w:val="001730FA"/>
    <w:rsid w:val="0017331F"/>
    <w:rsid w:val="00173436"/>
    <w:rsid w:val="00173482"/>
    <w:rsid w:val="001735A8"/>
    <w:rsid w:val="0017364A"/>
    <w:rsid w:val="00173670"/>
    <w:rsid w:val="0017379A"/>
    <w:rsid w:val="001737D2"/>
    <w:rsid w:val="0017384E"/>
    <w:rsid w:val="00173AD0"/>
    <w:rsid w:val="00173B64"/>
    <w:rsid w:val="00173BD3"/>
    <w:rsid w:val="00173BDE"/>
    <w:rsid w:val="00173D20"/>
    <w:rsid w:val="00173EA7"/>
    <w:rsid w:val="00173F58"/>
    <w:rsid w:val="0017409B"/>
    <w:rsid w:val="001742F1"/>
    <w:rsid w:val="001744D7"/>
    <w:rsid w:val="0017455A"/>
    <w:rsid w:val="001746A8"/>
    <w:rsid w:val="00174785"/>
    <w:rsid w:val="00174827"/>
    <w:rsid w:val="0017487C"/>
    <w:rsid w:val="001748D5"/>
    <w:rsid w:val="0017498D"/>
    <w:rsid w:val="001749AA"/>
    <w:rsid w:val="001749E5"/>
    <w:rsid w:val="00174A55"/>
    <w:rsid w:val="00174AC5"/>
    <w:rsid w:val="00174AD9"/>
    <w:rsid w:val="00174E88"/>
    <w:rsid w:val="00175036"/>
    <w:rsid w:val="0017503C"/>
    <w:rsid w:val="0017527B"/>
    <w:rsid w:val="001752C6"/>
    <w:rsid w:val="00175550"/>
    <w:rsid w:val="00175564"/>
    <w:rsid w:val="0017563E"/>
    <w:rsid w:val="0017579B"/>
    <w:rsid w:val="0017592F"/>
    <w:rsid w:val="00175B78"/>
    <w:rsid w:val="00175D61"/>
    <w:rsid w:val="00175EA9"/>
    <w:rsid w:val="00175F9B"/>
    <w:rsid w:val="001760E6"/>
    <w:rsid w:val="001763DB"/>
    <w:rsid w:val="001764AD"/>
    <w:rsid w:val="0017650E"/>
    <w:rsid w:val="0017653B"/>
    <w:rsid w:val="001768AB"/>
    <w:rsid w:val="00176985"/>
    <w:rsid w:val="001769CE"/>
    <w:rsid w:val="00176C98"/>
    <w:rsid w:val="00176F54"/>
    <w:rsid w:val="00177072"/>
    <w:rsid w:val="00177090"/>
    <w:rsid w:val="001770BB"/>
    <w:rsid w:val="0017720B"/>
    <w:rsid w:val="00177303"/>
    <w:rsid w:val="00177386"/>
    <w:rsid w:val="00177591"/>
    <w:rsid w:val="00177748"/>
    <w:rsid w:val="0017776C"/>
    <w:rsid w:val="0017785C"/>
    <w:rsid w:val="001778A4"/>
    <w:rsid w:val="001778B3"/>
    <w:rsid w:val="00177935"/>
    <w:rsid w:val="00177A4E"/>
    <w:rsid w:val="00177BEF"/>
    <w:rsid w:val="00177C01"/>
    <w:rsid w:val="00177D7D"/>
    <w:rsid w:val="00177DD2"/>
    <w:rsid w:val="00177E29"/>
    <w:rsid w:val="00177E92"/>
    <w:rsid w:val="00180062"/>
    <w:rsid w:val="00180083"/>
    <w:rsid w:val="00180102"/>
    <w:rsid w:val="00180271"/>
    <w:rsid w:val="00180459"/>
    <w:rsid w:val="00180520"/>
    <w:rsid w:val="00180549"/>
    <w:rsid w:val="00180731"/>
    <w:rsid w:val="001807B7"/>
    <w:rsid w:val="00180842"/>
    <w:rsid w:val="00180859"/>
    <w:rsid w:val="001808FB"/>
    <w:rsid w:val="00180955"/>
    <w:rsid w:val="00180B22"/>
    <w:rsid w:val="00180D59"/>
    <w:rsid w:val="00180DAD"/>
    <w:rsid w:val="00180F64"/>
    <w:rsid w:val="00180FD6"/>
    <w:rsid w:val="001810DD"/>
    <w:rsid w:val="0018139B"/>
    <w:rsid w:val="001813D2"/>
    <w:rsid w:val="00181473"/>
    <w:rsid w:val="00181605"/>
    <w:rsid w:val="00181779"/>
    <w:rsid w:val="00181830"/>
    <w:rsid w:val="001818A6"/>
    <w:rsid w:val="00181C9A"/>
    <w:rsid w:val="00181CF8"/>
    <w:rsid w:val="00181F2B"/>
    <w:rsid w:val="001821D1"/>
    <w:rsid w:val="0018256E"/>
    <w:rsid w:val="001825B0"/>
    <w:rsid w:val="001825DC"/>
    <w:rsid w:val="00182643"/>
    <w:rsid w:val="00182913"/>
    <w:rsid w:val="0018292F"/>
    <w:rsid w:val="001829A8"/>
    <w:rsid w:val="00182A66"/>
    <w:rsid w:val="00182B26"/>
    <w:rsid w:val="00182B8A"/>
    <w:rsid w:val="00182BC6"/>
    <w:rsid w:val="00182CEF"/>
    <w:rsid w:val="00182D10"/>
    <w:rsid w:val="00182D12"/>
    <w:rsid w:val="00182E7D"/>
    <w:rsid w:val="00183059"/>
    <w:rsid w:val="00183104"/>
    <w:rsid w:val="0018316B"/>
    <w:rsid w:val="001831A7"/>
    <w:rsid w:val="00183275"/>
    <w:rsid w:val="00183304"/>
    <w:rsid w:val="0018346F"/>
    <w:rsid w:val="0018347F"/>
    <w:rsid w:val="0018375C"/>
    <w:rsid w:val="00183862"/>
    <w:rsid w:val="001838F2"/>
    <w:rsid w:val="001838F8"/>
    <w:rsid w:val="0018393D"/>
    <w:rsid w:val="00183B35"/>
    <w:rsid w:val="00183B49"/>
    <w:rsid w:val="00183CE1"/>
    <w:rsid w:val="00183CE2"/>
    <w:rsid w:val="00183D08"/>
    <w:rsid w:val="00183DD2"/>
    <w:rsid w:val="00183EA7"/>
    <w:rsid w:val="00183F30"/>
    <w:rsid w:val="00183FC6"/>
    <w:rsid w:val="0018401F"/>
    <w:rsid w:val="00184185"/>
    <w:rsid w:val="00184315"/>
    <w:rsid w:val="0018459B"/>
    <w:rsid w:val="00184658"/>
    <w:rsid w:val="001846B7"/>
    <w:rsid w:val="0018473F"/>
    <w:rsid w:val="00184AB2"/>
    <w:rsid w:val="00184B4D"/>
    <w:rsid w:val="00184B4F"/>
    <w:rsid w:val="00184C9A"/>
    <w:rsid w:val="00184D3C"/>
    <w:rsid w:val="00184E63"/>
    <w:rsid w:val="00184FF7"/>
    <w:rsid w:val="0018516F"/>
    <w:rsid w:val="00185293"/>
    <w:rsid w:val="00185537"/>
    <w:rsid w:val="00185763"/>
    <w:rsid w:val="0018576B"/>
    <w:rsid w:val="0018579C"/>
    <w:rsid w:val="001858A4"/>
    <w:rsid w:val="00185990"/>
    <w:rsid w:val="00185BE3"/>
    <w:rsid w:val="00185C3B"/>
    <w:rsid w:val="00185D54"/>
    <w:rsid w:val="00185DA1"/>
    <w:rsid w:val="00185E08"/>
    <w:rsid w:val="00185E20"/>
    <w:rsid w:val="00186055"/>
    <w:rsid w:val="001862AA"/>
    <w:rsid w:val="001862F2"/>
    <w:rsid w:val="00186486"/>
    <w:rsid w:val="00186561"/>
    <w:rsid w:val="00186878"/>
    <w:rsid w:val="0018688A"/>
    <w:rsid w:val="00186A09"/>
    <w:rsid w:val="00186AF2"/>
    <w:rsid w:val="00186B5F"/>
    <w:rsid w:val="00186F95"/>
    <w:rsid w:val="001870D6"/>
    <w:rsid w:val="001870ED"/>
    <w:rsid w:val="00187333"/>
    <w:rsid w:val="00187371"/>
    <w:rsid w:val="0018753E"/>
    <w:rsid w:val="001875DD"/>
    <w:rsid w:val="001876FC"/>
    <w:rsid w:val="001878A8"/>
    <w:rsid w:val="001878CA"/>
    <w:rsid w:val="001878D3"/>
    <w:rsid w:val="001879CD"/>
    <w:rsid w:val="00187A21"/>
    <w:rsid w:val="00187B8B"/>
    <w:rsid w:val="00187BE9"/>
    <w:rsid w:val="00187C1D"/>
    <w:rsid w:val="00187ED1"/>
    <w:rsid w:val="001903CB"/>
    <w:rsid w:val="001903CF"/>
    <w:rsid w:val="001903D5"/>
    <w:rsid w:val="0019052B"/>
    <w:rsid w:val="00190549"/>
    <w:rsid w:val="0019056A"/>
    <w:rsid w:val="00190594"/>
    <w:rsid w:val="001906A7"/>
    <w:rsid w:val="001908EC"/>
    <w:rsid w:val="00190961"/>
    <w:rsid w:val="00190AA4"/>
    <w:rsid w:val="00190B46"/>
    <w:rsid w:val="00190BD2"/>
    <w:rsid w:val="00190C78"/>
    <w:rsid w:val="00190C9E"/>
    <w:rsid w:val="00190CDC"/>
    <w:rsid w:val="00190D71"/>
    <w:rsid w:val="00190E82"/>
    <w:rsid w:val="001910A5"/>
    <w:rsid w:val="001916B9"/>
    <w:rsid w:val="001916EB"/>
    <w:rsid w:val="0019171F"/>
    <w:rsid w:val="00191730"/>
    <w:rsid w:val="001918C7"/>
    <w:rsid w:val="0019197E"/>
    <w:rsid w:val="00191990"/>
    <w:rsid w:val="00191A88"/>
    <w:rsid w:val="00191D1E"/>
    <w:rsid w:val="00191D71"/>
    <w:rsid w:val="00191E15"/>
    <w:rsid w:val="00191E1F"/>
    <w:rsid w:val="00191E67"/>
    <w:rsid w:val="00191ECF"/>
    <w:rsid w:val="00192235"/>
    <w:rsid w:val="001923AD"/>
    <w:rsid w:val="001923F9"/>
    <w:rsid w:val="001924F9"/>
    <w:rsid w:val="00192501"/>
    <w:rsid w:val="00192580"/>
    <w:rsid w:val="00192581"/>
    <w:rsid w:val="00192686"/>
    <w:rsid w:val="00192694"/>
    <w:rsid w:val="00192847"/>
    <w:rsid w:val="00192909"/>
    <w:rsid w:val="00192AB9"/>
    <w:rsid w:val="00192D27"/>
    <w:rsid w:val="001930AA"/>
    <w:rsid w:val="001930D3"/>
    <w:rsid w:val="001930DB"/>
    <w:rsid w:val="001932F4"/>
    <w:rsid w:val="0019338C"/>
    <w:rsid w:val="001933A5"/>
    <w:rsid w:val="0019364E"/>
    <w:rsid w:val="0019382B"/>
    <w:rsid w:val="00193890"/>
    <w:rsid w:val="00193A36"/>
    <w:rsid w:val="00193B72"/>
    <w:rsid w:val="00193C6A"/>
    <w:rsid w:val="00193E04"/>
    <w:rsid w:val="0019409E"/>
    <w:rsid w:val="001942CD"/>
    <w:rsid w:val="001943AF"/>
    <w:rsid w:val="0019467E"/>
    <w:rsid w:val="001946C5"/>
    <w:rsid w:val="0019471C"/>
    <w:rsid w:val="00194793"/>
    <w:rsid w:val="00194884"/>
    <w:rsid w:val="00194AE6"/>
    <w:rsid w:val="00194B95"/>
    <w:rsid w:val="00194EF3"/>
    <w:rsid w:val="00194F60"/>
    <w:rsid w:val="00194F62"/>
    <w:rsid w:val="00194FCE"/>
    <w:rsid w:val="001950A9"/>
    <w:rsid w:val="001950BB"/>
    <w:rsid w:val="001951F6"/>
    <w:rsid w:val="001953EF"/>
    <w:rsid w:val="0019545E"/>
    <w:rsid w:val="00195510"/>
    <w:rsid w:val="0019570E"/>
    <w:rsid w:val="00195741"/>
    <w:rsid w:val="00195752"/>
    <w:rsid w:val="00195801"/>
    <w:rsid w:val="0019587F"/>
    <w:rsid w:val="00195883"/>
    <w:rsid w:val="00195BC6"/>
    <w:rsid w:val="00195C1D"/>
    <w:rsid w:val="00195CAD"/>
    <w:rsid w:val="00195E14"/>
    <w:rsid w:val="00195E5C"/>
    <w:rsid w:val="00195E93"/>
    <w:rsid w:val="00195FCF"/>
    <w:rsid w:val="00195FFE"/>
    <w:rsid w:val="001960E5"/>
    <w:rsid w:val="001961B7"/>
    <w:rsid w:val="0019627E"/>
    <w:rsid w:val="001962B5"/>
    <w:rsid w:val="00196329"/>
    <w:rsid w:val="00196498"/>
    <w:rsid w:val="00196503"/>
    <w:rsid w:val="00196535"/>
    <w:rsid w:val="00196604"/>
    <w:rsid w:val="00196731"/>
    <w:rsid w:val="00196977"/>
    <w:rsid w:val="0019697D"/>
    <w:rsid w:val="00196983"/>
    <w:rsid w:val="00196A37"/>
    <w:rsid w:val="00196AA7"/>
    <w:rsid w:val="00196BA6"/>
    <w:rsid w:val="00196BC6"/>
    <w:rsid w:val="00196BEB"/>
    <w:rsid w:val="00196DC2"/>
    <w:rsid w:val="00196E73"/>
    <w:rsid w:val="00196F8A"/>
    <w:rsid w:val="0019708A"/>
    <w:rsid w:val="0019712E"/>
    <w:rsid w:val="00197288"/>
    <w:rsid w:val="00197499"/>
    <w:rsid w:val="00197594"/>
    <w:rsid w:val="001975A1"/>
    <w:rsid w:val="001975D5"/>
    <w:rsid w:val="001976F8"/>
    <w:rsid w:val="00197702"/>
    <w:rsid w:val="0019771F"/>
    <w:rsid w:val="00197BBE"/>
    <w:rsid w:val="00197C0B"/>
    <w:rsid w:val="00197E87"/>
    <w:rsid w:val="00197F5F"/>
    <w:rsid w:val="00197FE6"/>
    <w:rsid w:val="001A00F1"/>
    <w:rsid w:val="001A0185"/>
    <w:rsid w:val="001A020E"/>
    <w:rsid w:val="001A02FD"/>
    <w:rsid w:val="001A0347"/>
    <w:rsid w:val="001A06E2"/>
    <w:rsid w:val="001A07F5"/>
    <w:rsid w:val="001A07FC"/>
    <w:rsid w:val="001A0919"/>
    <w:rsid w:val="001A097D"/>
    <w:rsid w:val="001A0AEB"/>
    <w:rsid w:val="001A0B71"/>
    <w:rsid w:val="001A0BA8"/>
    <w:rsid w:val="001A0DB2"/>
    <w:rsid w:val="001A0E31"/>
    <w:rsid w:val="001A0E96"/>
    <w:rsid w:val="001A0F01"/>
    <w:rsid w:val="001A1144"/>
    <w:rsid w:val="001A125E"/>
    <w:rsid w:val="001A133B"/>
    <w:rsid w:val="001A13BF"/>
    <w:rsid w:val="001A13E4"/>
    <w:rsid w:val="001A13EA"/>
    <w:rsid w:val="001A1430"/>
    <w:rsid w:val="001A146D"/>
    <w:rsid w:val="001A159E"/>
    <w:rsid w:val="001A160B"/>
    <w:rsid w:val="001A1663"/>
    <w:rsid w:val="001A16CB"/>
    <w:rsid w:val="001A19EF"/>
    <w:rsid w:val="001A1AAC"/>
    <w:rsid w:val="001A1D66"/>
    <w:rsid w:val="001A1D94"/>
    <w:rsid w:val="001A1E34"/>
    <w:rsid w:val="001A22B5"/>
    <w:rsid w:val="001A238B"/>
    <w:rsid w:val="001A2445"/>
    <w:rsid w:val="001A2572"/>
    <w:rsid w:val="001A263F"/>
    <w:rsid w:val="001A2668"/>
    <w:rsid w:val="001A2765"/>
    <w:rsid w:val="001A2767"/>
    <w:rsid w:val="001A27D5"/>
    <w:rsid w:val="001A2929"/>
    <w:rsid w:val="001A2B5B"/>
    <w:rsid w:val="001A2B69"/>
    <w:rsid w:val="001A2C8D"/>
    <w:rsid w:val="001A2CD0"/>
    <w:rsid w:val="001A2DE1"/>
    <w:rsid w:val="001A2F4C"/>
    <w:rsid w:val="001A30D9"/>
    <w:rsid w:val="001A30F2"/>
    <w:rsid w:val="001A30FF"/>
    <w:rsid w:val="001A314E"/>
    <w:rsid w:val="001A32B3"/>
    <w:rsid w:val="001A3382"/>
    <w:rsid w:val="001A3718"/>
    <w:rsid w:val="001A372C"/>
    <w:rsid w:val="001A3C36"/>
    <w:rsid w:val="001A3C75"/>
    <w:rsid w:val="001A3E6C"/>
    <w:rsid w:val="001A3F2A"/>
    <w:rsid w:val="001A3FE6"/>
    <w:rsid w:val="001A407F"/>
    <w:rsid w:val="001A4345"/>
    <w:rsid w:val="001A43C7"/>
    <w:rsid w:val="001A4449"/>
    <w:rsid w:val="001A44BE"/>
    <w:rsid w:val="001A468D"/>
    <w:rsid w:val="001A4A26"/>
    <w:rsid w:val="001A4A77"/>
    <w:rsid w:val="001A4B0A"/>
    <w:rsid w:val="001A4CC1"/>
    <w:rsid w:val="001A4D6A"/>
    <w:rsid w:val="001A4F0F"/>
    <w:rsid w:val="001A4FF2"/>
    <w:rsid w:val="001A5098"/>
    <w:rsid w:val="001A50AC"/>
    <w:rsid w:val="001A510B"/>
    <w:rsid w:val="001A5248"/>
    <w:rsid w:val="001A5494"/>
    <w:rsid w:val="001A5541"/>
    <w:rsid w:val="001A554B"/>
    <w:rsid w:val="001A55F7"/>
    <w:rsid w:val="001A5747"/>
    <w:rsid w:val="001A5760"/>
    <w:rsid w:val="001A57BF"/>
    <w:rsid w:val="001A581A"/>
    <w:rsid w:val="001A59B8"/>
    <w:rsid w:val="001A5A05"/>
    <w:rsid w:val="001A5AA9"/>
    <w:rsid w:val="001A5C91"/>
    <w:rsid w:val="001A5F59"/>
    <w:rsid w:val="001A5FD0"/>
    <w:rsid w:val="001A6105"/>
    <w:rsid w:val="001A6236"/>
    <w:rsid w:val="001A641C"/>
    <w:rsid w:val="001A648B"/>
    <w:rsid w:val="001A64BA"/>
    <w:rsid w:val="001A64D8"/>
    <w:rsid w:val="001A6759"/>
    <w:rsid w:val="001A67AC"/>
    <w:rsid w:val="001A67DD"/>
    <w:rsid w:val="001A6819"/>
    <w:rsid w:val="001A6A07"/>
    <w:rsid w:val="001A6AFA"/>
    <w:rsid w:val="001A6AFE"/>
    <w:rsid w:val="001A6F25"/>
    <w:rsid w:val="001A7013"/>
    <w:rsid w:val="001A7021"/>
    <w:rsid w:val="001A7054"/>
    <w:rsid w:val="001A7076"/>
    <w:rsid w:val="001A7108"/>
    <w:rsid w:val="001A729C"/>
    <w:rsid w:val="001A752C"/>
    <w:rsid w:val="001A7735"/>
    <w:rsid w:val="001A795F"/>
    <w:rsid w:val="001A79BA"/>
    <w:rsid w:val="001A7C7E"/>
    <w:rsid w:val="001A7CB5"/>
    <w:rsid w:val="001A7CC2"/>
    <w:rsid w:val="001A7D9A"/>
    <w:rsid w:val="001A7E41"/>
    <w:rsid w:val="001A7ED2"/>
    <w:rsid w:val="001B003E"/>
    <w:rsid w:val="001B0086"/>
    <w:rsid w:val="001B0168"/>
    <w:rsid w:val="001B04E1"/>
    <w:rsid w:val="001B0526"/>
    <w:rsid w:val="001B0549"/>
    <w:rsid w:val="001B0576"/>
    <w:rsid w:val="001B05AF"/>
    <w:rsid w:val="001B071D"/>
    <w:rsid w:val="001B07E6"/>
    <w:rsid w:val="001B08E0"/>
    <w:rsid w:val="001B0A07"/>
    <w:rsid w:val="001B0BC9"/>
    <w:rsid w:val="001B0C63"/>
    <w:rsid w:val="001B0C7D"/>
    <w:rsid w:val="001B0CA7"/>
    <w:rsid w:val="001B0FE7"/>
    <w:rsid w:val="001B117D"/>
    <w:rsid w:val="001B1225"/>
    <w:rsid w:val="001B1367"/>
    <w:rsid w:val="001B145A"/>
    <w:rsid w:val="001B1535"/>
    <w:rsid w:val="001B1684"/>
    <w:rsid w:val="001B168C"/>
    <w:rsid w:val="001B168D"/>
    <w:rsid w:val="001B1746"/>
    <w:rsid w:val="001B1749"/>
    <w:rsid w:val="001B1808"/>
    <w:rsid w:val="001B1825"/>
    <w:rsid w:val="001B1830"/>
    <w:rsid w:val="001B1D67"/>
    <w:rsid w:val="001B1E6D"/>
    <w:rsid w:val="001B20BF"/>
    <w:rsid w:val="001B227E"/>
    <w:rsid w:val="001B2287"/>
    <w:rsid w:val="001B2620"/>
    <w:rsid w:val="001B273A"/>
    <w:rsid w:val="001B279C"/>
    <w:rsid w:val="001B2AB7"/>
    <w:rsid w:val="001B2CC5"/>
    <w:rsid w:val="001B2F76"/>
    <w:rsid w:val="001B3094"/>
    <w:rsid w:val="001B329A"/>
    <w:rsid w:val="001B3317"/>
    <w:rsid w:val="001B33E8"/>
    <w:rsid w:val="001B34AD"/>
    <w:rsid w:val="001B3590"/>
    <w:rsid w:val="001B35E7"/>
    <w:rsid w:val="001B360B"/>
    <w:rsid w:val="001B360D"/>
    <w:rsid w:val="001B367D"/>
    <w:rsid w:val="001B36F2"/>
    <w:rsid w:val="001B3777"/>
    <w:rsid w:val="001B3A01"/>
    <w:rsid w:val="001B3B4A"/>
    <w:rsid w:val="001B3CB9"/>
    <w:rsid w:val="001B3D0C"/>
    <w:rsid w:val="001B3D5F"/>
    <w:rsid w:val="001B416E"/>
    <w:rsid w:val="001B41D1"/>
    <w:rsid w:val="001B4280"/>
    <w:rsid w:val="001B4420"/>
    <w:rsid w:val="001B4433"/>
    <w:rsid w:val="001B4548"/>
    <w:rsid w:val="001B457C"/>
    <w:rsid w:val="001B4617"/>
    <w:rsid w:val="001B46A1"/>
    <w:rsid w:val="001B48D0"/>
    <w:rsid w:val="001B495E"/>
    <w:rsid w:val="001B4B66"/>
    <w:rsid w:val="001B4BBD"/>
    <w:rsid w:val="001B4BC3"/>
    <w:rsid w:val="001B4CBA"/>
    <w:rsid w:val="001B5161"/>
    <w:rsid w:val="001B529E"/>
    <w:rsid w:val="001B530E"/>
    <w:rsid w:val="001B532F"/>
    <w:rsid w:val="001B5468"/>
    <w:rsid w:val="001B553E"/>
    <w:rsid w:val="001B55B7"/>
    <w:rsid w:val="001B57AF"/>
    <w:rsid w:val="001B588B"/>
    <w:rsid w:val="001B58EE"/>
    <w:rsid w:val="001B5940"/>
    <w:rsid w:val="001B5BF1"/>
    <w:rsid w:val="001B5D72"/>
    <w:rsid w:val="001B5DCB"/>
    <w:rsid w:val="001B5E94"/>
    <w:rsid w:val="001B6234"/>
    <w:rsid w:val="001B624E"/>
    <w:rsid w:val="001B6288"/>
    <w:rsid w:val="001B6289"/>
    <w:rsid w:val="001B630D"/>
    <w:rsid w:val="001B6467"/>
    <w:rsid w:val="001B64F2"/>
    <w:rsid w:val="001B653F"/>
    <w:rsid w:val="001B666A"/>
    <w:rsid w:val="001B6731"/>
    <w:rsid w:val="001B6754"/>
    <w:rsid w:val="001B678B"/>
    <w:rsid w:val="001B67A0"/>
    <w:rsid w:val="001B6838"/>
    <w:rsid w:val="001B6901"/>
    <w:rsid w:val="001B69B8"/>
    <w:rsid w:val="001B6E19"/>
    <w:rsid w:val="001B6E92"/>
    <w:rsid w:val="001B6EAD"/>
    <w:rsid w:val="001B712E"/>
    <w:rsid w:val="001B725C"/>
    <w:rsid w:val="001B7376"/>
    <w:rsid w:val="001B76AA"/>
    <w:rsid w:val="001B7716"/>
    <w:rsid w:val="001B7727"/>
    <w:rsid w:val="001B7901"/>
    <w:rsid w:val="001B7A07"/>
    <w:rsid w:val="001B7A2C"/>
    <w:rsid w:val="001B7BD1"/>
    <w:rsid w:val="001B7C81"/>
    <w:rsid w:val="001B7CF6"/>
    <w:rsid w:val="001B7D31"/>
    <w:rsid w:val="001C0085"/>
    <w:rsid w:val="001C0147"/>
    <w:rsid w:val="001C0237"/>
    <w:rsid w:val="001C025A"/>
    <w:rsid w:val="001C02A6"/>
    <w:rsid w:val="001C05C6"/>
    <w:rsid w:val="001C0A55"/>
    <w:rsid w:val="001C0A74"/>
    <w:rsid w:val="001C0C93"/>
    <w:rsid w:val="001C0DD0"/>
    <w:rsid w:val="001C0F30"/>
    <w:rsid w:val="001C0F88"/>
    <w:rsid w:val="001C109C"/>
    <w:rsid w:val="001C1229"/>
    <w:rsid w:val="001C13A0"/>
    <w:rsid w:val="001C13FA"/>
    <w:rsid w:val="001C1656"/>
    <w:rsid w:val="001C16A4"/>
    <w:rsid w:val="001C1739"/>
    <w:rsid w:val="001C1862"/>
    <w:rsid w:val="001C18A6"/>
    <w:rsid w:val="001C1943"/>
    <w:rsid w:val="001C1AB2"/>
    <w:rsid w:val="001C1B10"/>
    <w:rsid w:val="001C1B55"/>
    <w:rsid w:val="001C1C55"/>
    <w:rsid w:val="001C1D2F"/>
    <w:rsid w:val="001C1DD5"/>
    <w:rsid w:val="001C21D6"/>
    <w:rsid w:val="001C21FE"/>
    <w:rsid w:val="001C22C6"/>
    <w:rsid w:val="001C22F3"/>
    <w:rsid w:val="001C230F"/>
    <w:rsid w:val="001C2397"/>
    <w:rsid w:val="001C246F"/>
    <w:rsid w:val="001C2534"/>
    <w:rsid w:val="001C25C7"/>
    <w:rsid w:val="001C26F6"/>
    <w:rsid w:val="001C2762"/>
    <w:rsid w:val="001C27B9"/>
    <w:rsid w:val="001C27F6"/>
    <w:rsid w:val="001C28EB"/>
    <w:rsid w:val="001C29B2"/>
    <w:rsid w:val="001C29D2"/>
    <w:rsid w:val="001C2A3E"/>
    <w:rsid w:val="001C2A84"/>
    <w:rsid w:val="001C2B59"/>
    <w:rsid w:val="001C2BCB"/>
    <w:rsid w:val="001C2CB1"/>
    <w:rsid w:val="001C2D1D"/>
    <w:rsid w:val="001C2D54"/>
    <w:rsid w:val="001C2EB4"/>
    <w:rsid w:val="001C2F44"/>
    <w:rsid w:val="001C3097"/>
    <w:rsid w:val="001C3267"/>
    <w:rsid w:val="001C33C7"/>
    <w:rsid w:val="001C3437"/>
    <w:rsid w:val="001C354A"/>
    <w:rsid w:val="001C3575"/>
    <w:rsid w:val="001C35BA"/>
    <w:rsid w:val="001C3652"/>
    <w:rsid w:val="001C389D"/>
    <w:rsid w:val="001C38F9"/>
    <w:rsid w:val="001C396E"/>
    <w:rsid w:val="001C3C08"/>
    <w:rsid w:val="001C3D74"/>
    <w:rsid w:val="001C4314"/>
    <w:rsid w:val="001C4346"/>
    <w:rsid w:val="001C43D4"/>
    <w:rsid w:val="001C4412"/>
    <w:rsid w:val="001C44A1"/>
    <w:rsid w:val="001C44B3"/>
    <w:rsid w:val="001C4769"/>
    <w:rsid w:val="001C4858"/>
    <w:rsid w:val="001C4915"/>
    <w:rsid w:val="001C499E"/>
    <w:rsid w:val="001C49F9"/>
    <w:rsid w:val="001C4A2B"/>
    <w:rsid w:val="001C4BB3"/>
    <w:rsid w:val="001C4BEA"/>
    <w:rsid w:val="001C4BF2"/>
    <w:rsid w:val="001C4D5F"/>
    <w:rsid w:val="001C4DA7"/>
    <w:rsid w:val="001C515A"/>
    <w:rsid w:val="001C5200"/>
    <w:rsid w:val="001C527F"/>
    <w:rsid w:val="001C5368"/>
    <w:rsid w:val="001C564B"/>
    <w:rsid w:val="001C5858"/>
    <w:rsid w:val="001C585E"/>
    <w:rsid w:val="001C59F1"/>
    <w:rsid w:val="001C5A69"/>
    <w:rsid w:val="001C5AFC"/>
    <w:rsid w:val="001C5BDD"/>
    <w:rsid w:val="001C5D21"/>
    <w:rsid w:val="001C5D58"/>
    <w:rsid w:val="001C5DFE"/>
    <w:rsid w:val="001C5E16"/>
    <w:rsid w:val="001C5EEB"/>
    <w:rsid w:val="001C5FBB"/>
    <w:rsid w:val="001C6201"/>
    <w:rsid w:val="001C623E"/>
    <w:rsid w:val="001C63C9"/>
    <w:rsid w:val="001C6447"/>
    <w:rsid w:val="001C6467"/>
    <w:rsid w:val="001C64E4"/>
    <w:rsid w:val="001C64EA"/>
    <w:rsid w:val="001C6549"/>
    <w:rsid w:val="001C695F"/>
    <w:rsid w:val="001C6D33"/>
    <w:rsid w:val="001C71B8"/>
    <w:rsid w:val="001C71E5"/>
    <w:rsid w:val="001C721E"/>
    <w:rsid w:val="001C7462"/>
    <w:rsid w:val="001C74E2"/>
    <w:rsid w:val="001C75F1"/>
    <w:rsid w:val="001C772F"/>
    <w:rsid w:val="001C79A8"/>
    <w:rsid w:val="001C79F9"/>
    <w:rsid w:val="001C7C3E"/>
    <w:rsid w:val="001C7D60"/>
    <w:rsid w:val="001C7DB3"/>
    <w:rsid w:val="001C7DF7"/>
    <w:rsid w:val="001C7EBC"/>
    <w:rsid w:val="001C7F06"/>
    <w:rsid w:val="001D0094"/>
    <w:rsid w:val="001D01C4"/>
    <w:rsid w:val="001D0357"/>
    <w:rsid w:val="001D03CE"/>
    <w:rsid w:val="001D0560"/>
    <w:rsid w:val="001D0613"/>
    <w:rsid w:val="001D068C"/>
    <w:rsid w:val="001D0831"/>
    <w:rsid w:val="001D0962"/>
    <w:rsid w:val="001D0973"/>
    <w:rsid w:val="001D0A4B"/>
    <w:rsid w:val="001D0A91"/>
    <w:rsid w:val="001D0B0D"/>
    <w:rsid w:val="001D0B53"/>
    <w:rsid w:val="001D0B71"/>
    <w:rsid w:val="001D0D26"/>
    <w:rsid w:val="001D0D4C"/>
    <w:rsid w:val="001D0FB5"/>
    <w:rsid w:val="001D1054"/>
    <w:rsid w:val="001D10CA"/>
    <w:rsid w:val="001D12B3"/>
    <w:rsid w:val="001D1399"/>
    <w:rsid w:val="001D155E"/>
    <w:rsid w:val="001D1727"/>
    <w:rsid w:val="001D189F"/>
    <w:rsid w:val="001D19A7"/>
    <w:rsid w:val="001D1A43"/>
    <w:rsid w:val="001D1A8C"/>
    <w:rsid w:val="001D1B1C"/>
    <w:rsid w:val="001D1BB7"/>
    <w:rsid w:val="001D1C0C"/>
    <w:rsid w:val="001D1C3A"/>
    <w:rsid w:val="001D1D2C"/>
    <w:rsid w:val="001D1DC9"/>
    <w:rsid w:val="001D1E8A"/>
    <w:rsid w:val="001D1E9B"/>
    <w:rsid w:val="001D1F96"/>
    <w:rsid w:val="001D1FDF"/>
    <w:rsid w:val="001D2114"/>
    <w:rsid w:val="001D2273"/>
    <w:rsid w:val="001D27BA"/>
    <w:rsid w:val="001D27EC"/>
    <w:rsid w:val="001D29B3"/>
    <w:rsid w:val="001D2A3C"/>
    <w:rsid w:val="001D2A69"/>
    <w:rsid w:val="001D2B89"/>
    <w:rsid w:val="001D2BD7"/>
    <w:rsid w:val="001D2C8A"/>
    <w:rsid w:val="001D2E59"/>
    <w:rsid w:val="001D31D8"/>
    <w:rsid w:val="001D31F6"/>
    <w:rsid w:val="001D32B7"/>
    <w:rsid w:val="001D33E1"/>
    <w:rsid w:val="001D3625"/>
    <w:rsid w:val="001D36BE"/>
    <w:rsid w:val="001D36DF"/>
    <w:rsid w:val="001D3A87"/>
    <w:rsid w:val="001D3BA7"/>
    <w:rsid w:val="001D3DE1"/>
    <w:rsid w:val="001D3EFE"/>
    <w:rsid w:val="001D4035"/>
    <w:rsid w:val="001D4123"/>
    <w:rsid w:val="001D421F"/>
    <w:rsid w:val="001D4246"/>
    <w:rsid w:val="001D4252"/>
    <w:rsid w:val="001D44AB"/>
    <w:rsid w:val="001D44E8"/>
    <w:rsid w:val="001D4554"/>
    <w:rsid w:val="001D4623"/>
    <w:rsid w:val="001D46C9"/>
    <w:rsid w:val="001D472C"/>
    <w:rsid w:val="001D4757"/>
    <w:rsid w:val="001D480C"/>
    <w:rsid w:val="001D481E"/>
    <w:rsid w:val="001D4867"/>
    <w:rsid w:val="001D4929"/>
    <w:rsid w:val="001D4955"/>
    <w:rsid w:val="001D4A20"/>
    <w:rsid w:val="001D4A7C"/>
    <w:rsid w:val="001D4B10"/>
    <w:rsid w:val="001D4CCC"/>
    <w:rsid w:val="001D4D7D"/>
    <w:rsid w:val="001D4FD3"/>
    <w:rsid w:val="001D4FE0"/>
    <w:rsid w:val="001D50D1"/>
    <w:rsid w:val="001D5311"/>
    <w:rsid w:val="001D53D3"/>
    <w:rsid w:val="001D571A"/>
    <w:rsid w:val="001D578F"/>
    <w:rsid w:val="001D579D"/>
    <w:rsid w:val="001D59EC"/>
    <w:rsid w:val="001D5A59"/>
    <w:rsid w:val="001D5D2A"/>
    <w:rsid w:val="001D5E8B"/>
    <w:rsid w:val="001D5F32"/>
    <w:rsid w:val="001D5FBC"/>
    <w:rsid w:val="001D6039"/>
    <w:rsid w:val="001D606E"/>
    <w:rsid w:val="001D6119"/>
    <w:rsid w:val="001D6275"/>
    <w:rsid w:val="001D628B"/>
    <w:rsid w:val="001D64DA"/>
    <w:rsid w:val="001D6570"/>
    <w:rsid w:val="001D65C5"/>
    <w:rsid w:val="001D67BB"/>
    <w:rsid w:val="001D69E2"/>
    <w:rsid w:val="001D6A16"/>
    <w:rsid w:val="001D6A43"/>
    <w:rsid w:val="001D6C77"/>
    <w:rsid w:val="001D6C9A"/>
    <w:rsid w:val="001D6E61"/>
    <w:rsid w:val="001D6F14"/>
    <w:rsid w:val="001D6F2F"/>
    <w:rsid w:val="001D73E7"/>
    <w:rsid w:val="001D7624"/>
    <w:rsid w:val="001D764F"/>
    <w:rsid w:val="001D772D"/>
    <w:rsid w:val="001D7851"/>
    <w:rsid w:val="001D7917"/>
    <w:rsid w:val="001D7A6C"/>
    <w:rsid w:val="001D7B15"/>
    <w:rsid w:val="001D7B38"/>
    <w:rsid w:val="001D7B3C"/>
    <w:rsid w:val="001D7BDE"/>
    <w:rsid w:val="001D7C0F"/>
    <w:rsid w:val="001D7D02"/>
    <w:rsid w:val="001D7FEF"/>
    <w:rsid w:val="001E0404"/>
    <w:rsid w:val="001E049C"/>
    <w:rsid w:val="001E0693"/>
    <w:rsid w:val="001E06A8"/>
    <w:rsid w:val="001E070C"/>
    <w:rsid w:val="001E0762"/>
    <w:rsid w:val="001E07B0"/>
    <w:rsid w:val="001E08C7"/>
    <w:rsid w:val="001E08D2"/>
    <w:rsid w:val="001E08D8"/>
    <w:rsid w:val="001E0AB5"/>
    <w:rsid w:val="001E0BE5"/>
    <w:rsid w:val="001E0C9C"/>
    <w:rsid w:val="001E0E25"/>
    <w:rsid w:val="001E0E3C"/>
    <w:rsid w:val="001E1049"/>
    <w:rsid w:val="001E1085"/>
    <w:rsid w:val="001E1257"/>
    <w:rsid w:val="001E16D4"/>
    <w:rsid w:val="001E17F8"/>
    <w:rsid w:val="001E18A0"/>
    <w:rsid w:val="001E197A"/>
    <w:rsid w:val="001E19DC"/>
    <w:rsid w:val="001E1A07"/>
    <w:rsid w:val="001E1C39"/>
    <w:rsid w:val="001E1FC8"/>
    <w:rsid w:val="001E2049"/>
    <w:rsid w:val="001E223A"/>
    <w:rsid w:val="001E230F"/>
    <w:rsid w:val="001E2379"/>
    <w:rsid w:val="001E2444"/>
    <w:rsid w:val="001E25C4"/>
    <w:rsid w:val="001E2899"/>
    <w:rsid w:val="001E28C5"/>
    <w:rsid w:val="001E291B"/>
    <w:rsid w:val="001E293E"/>
    <w:rsid w:val="001E2A0A"/>
    <w:rsid w:val="001E2A94"/>
    <w:rsid w:val="001E2ABC"/>
    <w:rsid w:val="001E2B95"/>
    <w:rsid w:val="001E2CC8"/>
    <w:rsid w:val="001E2E55"/>
    <w:rsid w:val="001E2EA3"/>
    <w:rsid w:val="001E2FA8"/>
    <w:rsid w:val="001E3148"/>
    <w:rsid w:val="001E31DE"/>
    <w:rsid w:val="001E325C"/>
    <w:rsid w:val="001E32CB"/>
    <w:rsid w:val="001E3390"/>
    <w:rsid w:val="001E34F2"/>
    <w:rsid w:val="001E35C4"/>
    <w:rsid w:val="001E35D4"/>
    <w:rsid w:val="001E37BA"/>
    <w:rsid w:val="001E3973"/>
    <w:rsid w:val="001E3A75"/>
    <w:rsid w:val="001E3AFE"/>
    <w:rsid w:val="001E3B0A"/>
    <w:rsid w:val="001E3B2C"/>
    <w:rsid w:val="001E3B2D"/>
    <w:rsid w:val="001E3B5F"/>
    <w:rsid w:val="001E3B8D"/>
    <w:rsid w:val="001E3BA6"/>
    <w:rsid w:val="001E3CAE"/>
    <w:rsid w:val="001E3D16"/>
    <w:rsid w:val="001E3DA3"/>
    <w:rsid w:val="001E3E82"/>
    <w:rsid w:val="001E4084"/>
    <w:rsid w:val="001E426C"/>
    <w:rsid w:val="001E431A"/>
    <w:rsid w:val="001E46FF"/>
    <w:rsid w:val="001E49B9"/>
    <w:rsid w:val="001E4A67"/>
    <w:rsid w:val="001E4D18"/>
    <w:rsid w:val="001E5079"/>
    <w:rsid w:val="001E50A2"/>
    <w:rsid w:val="001E5439"/>
    <w:rsid w:val="001E54AE"/>
    <w:rsid w:val="001E5899"/>
    <w:rsid w:val="001E5980"/>
    <w:rsid w:val="001E5B62"/>
    <w:rsid w:val="001E5C3F"/>
    <w:rsid w:val="001E5D6F"/>
    <w:rsid w:val="001E609D"/>
    <w:rsid w:val="001E6274"/>
    <w:rsid w:val="001E652D"/>
    <w:rsid w:val="001E6533"/>
    <w:rsid w:val="001E6677"/>
    <w:rsid w:val="001E6705"/>
    <w:rsid w:val="001E6821"/>
    <w:rsid w:val="001E6968"/>
    <w:rsid w:val="001E6B50"/>
    <w:rsid w:val="001E6C2A"/>
    <w:rsid w:val="001E6C4C"/>
    <w:rsid w:val="001E6EBC"/>
    <w:rsid w:val="001E70DA"/>
    <w:rsid w:val="001E7159"/>
    <w:rsid w:val="001E721D"/>
    <w:rsid w:val="001E72A6"/>
    <w:rsid w:val="001E73EC"/>
    <w:rsid w:val="001E7482"/>
    <w:rsid w:val="001E74D2"/>
    <w:rsid w:val="001E76A8"/>
    <w:rsid w:val="001E778D"/>
    <w:rsid w:val="001E77FD"/>
    <w:rsid w:val="001E781A"/>
    <w:rsid w:val="001E78A0"/>
    <w:rsid w:val="001E7EF3"/>
    <w:rsid w:val="001E7FAB"/>
    <w:rsid w:val="001F002F"/>
    <w:rsid w:val="001F01F2"/>
    <w:rsid w:val="001F03E0"/>
    <w:rsid w:val="001F064B"/>
    <w:rsid w:val="001F096D"/>
    <w:rsid w:val="001F0A13"/>
    <w:rsid w:val="001F0C23"/>
    <w:rsid w:val="001F0C67"/>
    <w:rsid w:val="001F0C9C"/>
    <w:rsid w:val="001F0CB4"/>
    <w:rsid w:val="001F0D63"/>
    <w:rsid w:val="001F0D73"/>
    <w:rsid w:val="001F0D83"/>
    <w:rsid w:val="001F1014"/>
    <w:rsid w:val="001F10F7"/>
    <w:rsid w:val="001F135E"/>
    <w:rsid w:val="001F136B"/>
    <w:rsid w:val="001F13B7"/>
    <w:rsid w:val="001F1514"/>
    <w:rsid w:val="001F18F1"/>
    <w:rsid w:val="001F1B04"/>
    <w:rsid w:val="001F1CB3"/>
    <w:rsid w:val="001F1E86"/>
    <w:rsid w:val="001F1F53"/>
    <w:rsid w:val="001F1F71"/>
    <w:rsid w:val="001F1FCB"/>
    <w:rsid w:val="001F2186"/>
    <w:rsid w:val="001F2255"/>
    <w:rsid w:val="001F24F0"/>
    <w:rsid w:val="001F27F7"/>
    <w:rsid w:val="001F28B7"/>
    <w:rsid w:val="001F2921"/>
    <w:rsid w:val="001F295D"/>
    <w:rsid w:val="001F29F1"/>
    <w:rsid w:val="001F2A9A"/>
    <w:rsid w:val="001F2B2E"/>
    <w:rsid w:val="001F2B4B"/>
    <w:rsid w:val="001F2BB5"/>
    <w:rsid w:val="001F2CB0"/>
    <w:rsid w:val="001F2D15"/>
    <w:rsid w:val="001F2D43"/>
    <w:rsid w:val="001F300A"/>
    <w:rsid w:val="001F30A0"/>
    <w:rsid w:val="001F30A5"/>
    <w:rsid w:val="001F30B1"/>
    <w:rsid w:val="001F31FB"/>
    <w:rsid w:val="001F3349"/>
    <w:rsid w:val="001F33E1"/>
    <w:rsid w:val="001F3407"/>
    <w:rsid w:val="001F3509"/>
    <w:rsid w:val="001F3520"/>
    <w:rsid w:val="001F3556"/>
    <w:rsid w:val="001F3564"/>
    <w:rsid w:val="001F3757"/>
    <w:rsid w:val="001F3B09"/>
    <w:rsid w:val="001F3CB9"/>
    <w:rsid w:val="001F3D3F"/>
    <w:rsid w:val="001F3D4C"/>
    <w:rsid w:val="001F3DC9"/>
    <w:rsid w:val="001F416F"/>
    <w:rsid w:val="001F4383"/>
    <w:rsid w:val="001F4499"/>
    <w:rsid w:val="001F4687"/>
    <w:rsid w:val="001F47AE"/>
    <w:rsid w:val="001F4924"/>
    <w:rsid w:val="001F4B4D"/>
    <w:rsid w:val="001F4B87"/>
    <w:rsid w:val="001F4CE4"/>
    <w:rsid w:val="001F4D01"/>
    <w:rsid w:val="001F4DE4"/>
    <w:rsid w:val="001F4F79"/>
    <w:rsid w:val="001F4FAB"/>
    <w:rsid w:val="001F5007"/>
    <w:rsid w:val="001F52B0"/>
    <w:rsid w:val="001F533E"/>
    <w:rsid w:val="001F53CB"/>
    <w:rsid w:val="001F54E4"/>
    <w:rsid w:val="001F56F8"/>
    <w:rsid w:val="001F58FD"/>
    <w:rsid w:val="001F590B"/>
    <w:rsid w:val="001F5B8C"/>
    <w:rsid w:val="001F5B9F"/>
    <w:rsid w:val="001F5C6E"/>
    <w:rsid w:val="001F5DB1"/>
    <w:rsid w:val="001F5FDC"/>
    <w:rsid w:val="001F60A4"/>
    <w:rsid w:val="001F625B"/>
    <w:rsid w:val="001F62D8"/>
    <w:rsid w:val="001F638B"/>
    <w:rsid w:val="001F6499"/>
    <w:rsid w:val="001F65D1"/>
    <w:rsid w:val="001F661A"/>
    <w:rsid w:val="001F664E"/>
    <w:rsid w:val="001F6665"/>
    <w:rsid w:val="001F6728"/>
    <w:rsid w:val="001F682D"/>
    <w:rsid w:val="001F6860"/>
    <w:rsid w:val="001F686E"/>
    <w:rsid w:val="001F687A"/>
    <w:rsid w:val="001F6BC1"/>
    <w:rsid w:val="001F6CCD"/>
    <w:rsid w:val="001F6E6E"/>
    <w:rsid w:val="001F6E88"/>
    <w:rsid w:val="001F6EA1"/>
    <w:rsid w:val="001F6FF1"/>
    <w:rsid w:val="001F7044"/>
    <w:rsid w:val="001F7236"/>
    <w:rsid w:val="001F72EB"/>
    <w:rsid w:val="001F752C"/>
    <w:rsid w:val="001F75CC"/>
    <w:rsid w:val="001F773C"/>
    <w:rsid w:val="001F782C"/>
    <w:rsid w:val="001F7959"/>
    <w:rsid w:val="001F7989"/>
    <w:rsid w:val="001F7CB0"/>
    <w:rsid w:val="001F7D3C"/>
    <w:rsid w:val="001F7E43"/>
    <w:rsid w:val="002001AA"/>
    <w:rsid w:val="0020022B"/>
    <w:rsid w:val="00200688"/>
    <w:rsid w:val="002008CA"/>
    <w:rsid w:val="0020094A"/>
    <w:rsid w:val="00200A50"/>
    <w:rsid w:val="00200C7A"/>
    <w:rsid w:val="00200EE9"/>
    <w:rsid w:val="0020114B"/>
    <w:rsid w:val="002011F1"/>
    <w:rsid w:val="0020120D"/>
    <w:rsid w:val="00201285"/>
    <w:rsid w:val="00201377"/>
    <w:rsid w:val="0020140C"/>
    <w:rsid w:val="00201491"/>
    <w:rsid w:val="002014B9"/>
    <w:rsid w:val="00201555"/>
    <w:rsid w:val="00201640"/>
    <w:rsid w:val="002017C4"/>
    <w:rsid w:val="002017EB"/>
    <w:rsid w:val="002019F4"/>
    <w:rsid w:val="00201A37"/>
    <w:rsid w:val="00201B22"/>
    <w:rsid w:val="00201E7A"/>
    <w:rsid w:val="00201F25"/>
    <w:rsid w:val="0020204C"/>
    <w:rsid w:val="002021FA"/>
    <w:rsid w:val="00202232"/>
    <w:rsid w:val="0020238C"/>
    <w:rsid w:val="002023BE"/>
    <w:rsid w:val="0020275C"/>
    <w:rsid w:val="002027C1"/>
    <w:rsid w:val="002028A6"/>
    <w:rsid w:val="00202BD5"/>
    <w:rsid w:val="00202C0C"/>
    <w:rsid w:val="00202CEA"/>
    <w:rsid w:val="00202D0C"/>
    <w:rsid w:val="00202E0B"/>
    <w:rsid w:val="00202EE9"/>
    <w:rsid w:val="00202EFF"/>
    <w:rsid w:val="00202F21"/>
    <w:rsid w:val="002030EC"/>
    <w:rsid w:val="0020328C"/>
    <w:rsid w:val="002032E2"/>
    <w:rsid w:val="002033D8"/>
    <w:rsid w:val="00203586"/>
    <w:rsid w:val="002035B7"/>
    <w:rsid w:val="00203653"/>
    <w:rsid w:val="00203669"/>
    <w:rsid w:val="00203885"/>
    <w:rsid w:val="002039B8"/>
    <w:rsid w:val="00203A0D"/>
    <w:rsid w:val="00203ABB"/>
    <w:rsid w:val="00203C89"/>
    <w:rsid w:val="00203CC8"/>
    <w:rsid w:val="00203D4C"/>
    <w:rsid w:val="00203EB2"/>
    <w:rsid w:val="002040CB"/>
    <w:rsid w:val="002040FE"/>
    <w:rsid w:val="00204236"/>
    <w:rsid w:val="00204302"/>
    <w:rsid w:val="0020441A"/>
    <w:rsid w:val="002044B9"/>
    <w:rsid w:val="002044D0"/>
    <w:rsid w:val="002044FA"/>
    <w:rsid w:val="002046B4"/>
    <w:rsid w:val="00204711"/>
    <w:rsid w:val="00204972"/>
    <w:rsid w:val="00204A93"/>
    <w:rsid w:val="00204AD9"/>
    <w:rsid w:val="00204CAF"/>
    <w:rsid w:val="00204DC2"/>
    <w:rsid w:val="00204DE1"/>
    <w:rsid w:val="00204E18"/>
    <w:rsid w:val="00204FA1"/>
    <w:rsid w:val="0020517F"/>
    <w:rsid w:val="002051C7"/>
    <w:rsid w:val="00205219"/>
    <w:rsid w:val="002052AC"/>
    <w:rsid w:val="002052B6"/>
    <w:rsid w:val="00205321"/>
    <w:rsid w:val="002054AC"/>
    <w:rsid w:val="002054AF"/>
    <w:rsid w:val="002057BA"/>
    <w:rsid w:val="0020591E"/>
    <w:rsid w:val="0020594C"/>
    <w:rsid w:val="002059A2"/>
    <w:rsid w:val="00205B67"/>
    <w:rsid w:val="00205E6E"/>
    <w:rsid w:val="00206238"/>
    <w:rsid w:val="00206256"/>
    <w:rsid w:val="00206334"/>
    <w:rsid w:val="00206409"/>
    <w:rsid w:val="00206499"/>
    <w:rsid w:val="002064EC"/>
    <w:rsid w:val="002066BA"/>
    <w:rsid w:val="00206755"/>
    <w:rsid w:val="002068F8"/>
    <w:rsid w:val="00206A46"/>
    <w:rsid w:val="00206A8D"/>
    <w:rsid w:val="00206C07"/>
    <w:rsid w:val="00206C7D"/>
    <w:rsid w:val="00206E4B"/>
    <w:rsid w:val="00206E8C"/>
    <w:rsid w:val="0020703D"/>
    <w:rsid w:val="002070C0"/>
    <w:rsid w:val="002070FC"/>
    <w:rsid w:val="002073F6"/>
    <w:rsid w:val="002074F2"/>
    <w:rsid w:val="002076EE"/>
    <w:rsid w:val="00207867"/>
    <w:rsid w:val="00207A3D"/>
    <w:rsid w:val="00207A4F"/>
    <w:rsid w:val="00207A5C"/>
    <w:rsid w:val="00207AA2"/>
    <w:rsid w:val="00207BDA"/>
    <w:rsid w:val="00207D59"/>
    <w:rsid w:val="00210085"/>
    <w:rsid w:val="0021009D"/>
    <w:rsid w:val="002100B8"/>
    <w:rsid w:val="00210188"/>
    <w:rsid w:val="002104EB"/>
    <w:rsid w:val="00210542"/>
    <w:rsid w:val="00210598"/>
    <w:rsid w:val="002105C2"/>
    <w:rsid w:val="002107CE"/>
    <w:rsid w:val="00210D1E"/>
    <w:rsid w:val="00210D68"/>
    <w:rsid w:val="00210DE8"/>
    <w:rsid w:val="00210FCB"/>
    <w:rsid w:val="0021109F"/>
    <w:rsid w:val="002110E0"/>
    <w:rsid w:val="00211136"/>
    <w:rsid w:val="002111AD"/>
    <w:rsid w:val="002111D4"/>
    <w:rsid w:val="0021139F"/>
    <w:rsid w:val="002114B6"/>
    <w:rsid w:val="00211773"/>
    <w:rsid w:val="00211890"/>
    <w:rsid w:val="00211A45"/>
    <w:rsid w:val="00211B2B"/>
    <w:rsid w:val="00211D60"/>
    <w:rsid w:val="00211D89"/>
    <w:rsid w:val="00211DF5"/>
    <w:rsid w:val="00211E96"/>
    <w:rsid w:val="00211EC9"/>
    <w:rsid w:val="00211F28"/>
    <w:rsid w:val="00211FE8"/>
    <w:rsid w:val="0021218F"/>
    <w:rsid w:val="0021219D"/>
    <w:rsid w:val="002122FE"/>
    <w:rsid w:val="0021241B"/>
    <w:rsid w:val="00212432"/>
    <w:rsid w:val="00212445"/>
    <w:rsid w:val="002125C4"/>
    <w:rsid w:val="002127B4"/>
    <w:rsid w:val="002129D5"/>
    <w:rsid w:val="00212A02"/>
    <w:rsid w:val="00212A4A"/>
    <w:rsid w:val="00212C2D"/>
    <w:rsid w:val="00212C9E"/>
    <w:rsid w:val="00212D30"/>
    <w:rsid w:val="00212D6B"/>
    <w:rsid w:val="00212D8A"/>
    <w:rsid w:val="00212F5F"/>
    <w:rsid w:val="00212FA3"/>
    <w:rsid w:val="002130F8"/>
    <w:rsid w:val="00213157"/>
    <w:rsid w:val="00213171"/>
    <w:rsid w:val="00213265"/>
    <w:rsid w:val="00213367"/>
    <w:rsid w:val="00213432"/>
    <w:rsid w:val="00213472"/>
    <w:rsid w:val="002134C3"/>
    <w:rsid w:val="0021369F"/>
    <w:rsid w:val="002137B2"/>
    <w:rsid w:val="00213AA3"/>
    <w:rsid w:val="00213BA7"/>
    <w:rsid w:val="00213D9D"/>
    <w:rsid w:val="00213EB3"/>
    <w:rsid w:val="00213F08"/>
    <w:rsid w:val="0021407E"/>
    <w:rsid w:val="002141CC"/>
    <w:rsid w:val="002142B1"/>
    <w:rsid w:val="00214331"/>
    <w:rsid w:val="002144EA"/>
    <w:rsid w:val="0021464D"/>
    <w:rsid w:val="0021468D"/>
    <w:rsid w:val="00214874"/>
    <w:rsid w:val="002149AE"/>
    <w:rsid w:val="002149EA"/>
    <w:rsid w:val="00214B61"/>
    <w:rsid w:val="00214B6D"/>
    <w:rsid w:val="00214BD4"/>
    <w:rsid w:val="00214C87"/>
    <w:rsid w:val="00214DAA"/>
    <w:rsid w:val="00214F4D"/>
    <w:rsid w:val="00215117"/>
    <w:rsid w:val="00215311"/>
    <w:rsid w:val="00215362"/>
    <w:rsid w:val="0021542A"/>
    <w:rsid w:val="00215449"/>
    <w:rsid w:val="00215553"/>
    <w:rsid w:val="002155C9"/>
    <w:rsid w:val="002158CD"/>
    <w:rsid w:val="00215DA5"/>
    <w:rsid w:val="00215ED5"/>
    <w:rsid w:val="00215F70"/>
    <w:rsid w:val="00215F7C"/>
    <w:rsid w:val="00216131"/>
    <w:rsid w:val="00216137"/>
    <w:rsid w:val="00216251"/>
    <w:rsid w:val="00216260"/>
    <w:rsid w:val="002164E7"/>
    <w:rsid w:val="00216527"/>
    <w:rsid w:val="00216618"/>
    <w:rsid w:val="00216750"/>
    <w:rsid w:val="002167B8"/>
    <w:rsid w:val="002168DB"/>
    <w:rsid w:val="002168E9"/>
    <w:rsid w:val="00216990"/>
    <w:rsid w:val="00216A14"/>
    <w:rsid w:val="00216B39"/>
    <w:rsid w:val="00216C56"/>
    <w:rsid w:val="00216D7C"/>
    <w:rsid w:val="00216E43"/>
    <w:rsid w:val="00216EED"/>
    <w:rsid w:val="00217008"/>
    <w:rsid w:val="00217028"/>
    <w:rsid w:val="002170B0"/>
    <w:rsid w:val="002171EC"/>
    <w:rsid w:val="0021730A"/>
    <w:rsid w:val="002173DA"/>
    <w:rsid w:val="002173DC"/>
    <w:rsid w:val="002176DA"/>
    <w:rsid w:val="00217741"/>
    <w:rsid w:val="002177F9"/>
    <w:rsid w:val="00217940"/>
    <w:rsid w:val="00217953"/>
    <w:rsid w:val="00217969"/>
    <w:rsid w:val="00217AAB"/>
    <w:rsid w:val="00217ED5"/>
    <w:rsid w:val="002201B1"/>
    <w:rsid w:val="002201D8"/>
    <w:rsid w:val="00220331"/>
    <w:rsid w:val="002204E6"/>
    <w:rsid w:val="00220654"/>
    <w:rsid w:val="002206BA"/>
    <w:rsid w:val="002207D4"/>
    <w:rsid w:val="0022080A"/>
    <w:rsid w:val="00220836"/>
    <w:rsid w:val="00220937"/>
    <w:rsid w:val="00220960"/>
    <w:rsid w:val="002209C4"/>
    <w:rsid w:val="002209E9"/>
    <w:rsid w:val="00220A61"/>
    <w:rsid w:val="00220E70"/>
    <w:rsid w:val="00220FF2"/>
    <w:rsid w:val="00221014"/>
    <w:rsid w:val="002210AD"/>
    <w:rsid w:val="00221131"/>
    <w:rsid w:val="00221380"/>
    <w:rsid w:val="002213BF"/>
    <w:rsid w:val="002214C5"/>
    <w:rsid w:val="002216AE"/>
    <w:rsid w:val="002216C2"/>
    <w:rsid w:val="002217E3"/>
    <w:rsid w:val="002218B6"/>
    <w:rsid w:val="00221ACF"/>
    <w:rsid w:val="00221CC8"/>
    <w:rsid w:val="00221CD4"/>
    <w:rsid w:val="00221E99"/>
    <w:rsid w:val="0022218C"/>
    <w:rsid w:val="002221EA"/>
    <w:rsid w:val="0022220B"/>
    <w:rsid w:val="0022222B"/>
    <w:rsid w:val="00222361"/>
    <w:rsid w:val="002223F5"/>
    <w:rsid w:val="00222596"/>
    <w:rsid w:val="00222625"/>
    <w:rsid w:val="00222768"/>
    <w:rsid w:val="00222A12"/>
    <w:rsid w:val="00222BB5"/>
    <w:rsid w:val="00222D20"/>
    <w:rsid w:val="00222DAD"/>
    <w:rsid w:val="00222DBD"/>
    <w:rsid w:val="00222E08"/>
    <w:rsid w:val="0022317F"/>
    <w:rsid w:val="002233C4"/>
    <w:rsid w:val="002234A7"/>
    <w:rsid w:val="002234D5"/>
    <w:rsid w:val="00223501"/>
    <w:rsid w:val="00223636"/>
    <w:rsid w:val="002237A0"/>
    <w:rsid w:val="002237B4"/>
    <w:rsid w:val="002237C7"/>
    <w:rsid w:val="0022388D"/>
    <w:rsid w:val="002238DC"/>
    <w:rsid w:val="002239C7"/>
    <w:rsid w:val="00223AAD"/>
    <w:rsid w:val="00223AB3"/>
    <w:rsid w:val="00223B61"/>
    <w:rsid w:val="00223C4E"/>
    <w:rsid w:val="00223D3A"/>
    <w:rsid w:val="00223F25"/>
    <w:rsid w:val="00224069"/>
    <w:rsid w:val="002241E7"/>
    <w:rsid w:val="00224271"/>
    <w:rsid w:val="002242B4"/>
    <w:rsid w:val="002242D4"/>
    <w:rsid w:val="0022439A"/>
    <w:rsid w:val="002248C9"/>
    <w:rsid w:val="002249DC"/>
    <w:rsid w:val="00224AA5"/>
    <w:rsid w:val="00224BA7"/>
    <w:rsid w:val="00224E20"/>
    <w:rsid w:val="00224F02"/>
    <w:rsid w:val="00224FE5"/>
    <w:rsid w:val="002250BB"/>
    <w:rsid w:val="0022515D"/>
    <w:rsid w:val="0022569C"/>
    <w:rsid w:val="002256EB"/>
    <w:rsid w:val="0022576C"/>
    <w:rsid w:val="002257A1"/>
    <w:rsid w:val="002258A9"/>
    <w:rsid w:val="002258F9"/>
    <w:rsid w:val="00225945"/>
    <w:rsid w:val="00225A34"/>
    <w:rsid w:val="00225D6C"/>
    <w:rsid w:val="00225DC1"/>
    <w:rsid w:val="00225FBA"/>
    <w:rsid w:val="0022602B"/>
    <w:rsid w:val="00226041"/>
    <w:rsid w:val="0022618E"/>
    <w:rsid w:val="00226390"/>
    <w:rsid w:val="002263E0"/>
    <w:rsid w:val="00226409"/>
    <w:rsid w:val="002264A8"/>
    <w:rsid w:val="002265E7"/>
    <w:rsid w:val="002265FE"/>
    <w:rsid w:val="0022682F"/>
    <w:rsid w:val="00226980"/>
    <w:rsid w:val="00226B35"/>
    <w:rsid w:val="00226B7A"/>
    <w:rsid w:val="00226FDD"/>
    <w:rsid w:val="00227253"/>
    <w:rsid w:val="002273DA"/>
    <w:rsid w:val="0022742E"/>
    <w:rsid w:val="002275F1"/>
    <w:rsid w:val="00227649"/>
    <w:rsid w:val="002276CC"/>
    <w:rsid w:val="002276CD"/>
    <w:rsid w:val="0022773A"/>
    <w:rsid w:val="0022773E"/>
    <w:rsid w:val="002279D2"/>
    <w:rsid w:val="00227A97"/>
    <w:rsid w:val="00227AE9"/>
    <w:rsid w:val="00227D7D"/>
    <w:rsid w:val="00227F8B"/>
    <w:rsid w:val="002300B0"/>
    <w:rsid w:val="00230192"/>
    <w:rsid w:val="0023023F"/>
    <w:rsid w:val="002302A7"/>
    <w:rsid w:val="002307DA"/>
    <w:rsid w:val="00230B09"/>
    <w:rsid w:val="00230B41"/>
    <w:rsid w:val="00230B62"/>
    <w:rsid w:val="00230BDE"/>
    <w:rsid w:val="00230CF5"/>
    <w:rsid w:val="00230D7B"/>
    <w:rsid w:val="00230D9E"/>
    <w:rsid w:val="00230E01"/>
    <w:rsid w:val="00230E43"/>
    <w:rsid w:val="00230FD0"/>
    <w:rsid w:val="00230FD9"/>
    <w:rsid w:val="00230FFE"/>
    <w:rsid w:val="00231125"/>
    <w:rsid w:val="002315E5"/>
    <w:rsid w:val="00231857"/>
    <w:rsid w:val="0023186F"/>
    <w:rsid w:val="0023189D"/>
    <w:rsid w:val="0023196C"/>
    <w:rsid w:val="00231B3A"/>
    <w:rsid w:val="00231D41"/>
    <w:rsid w:val="00231DB1"/>
    <w:rsid w:val="00232104"/>
    <w:rsid w:val="00232168"/>
    <w:rsid w:val="00232235"/>
    <w:rsid w:val="00232251"/>
    <w:rsid w:val="00232294"/>
    <w:rsid w:val="002324B6"/>
    <w:rsid w:val="0023253E"/>
    <w:rsid w:val="002325C4"/>
    <w:rsid w:val="002326AB"/>
    <w:rsid w:val="00232777"/>
    <w:rsid w:val="00232875"/>
    <w:rsid w:val="0023291F"/>
    <w:rsid w:val="00232951"/>
    <w:rsid w:val="00232975"/>
    <w:rsid w:val="002329EF"/>
    <w:rsid w:val="00232A90"/>
    <w:rsid w:val="00232BF9"/>
    <w:rsid w:val="00232F3E"/>
    <w:rsid w:val="00232FCF"/>
    <w:rsid w:val="00232FD9"/>
    <w:rsid w:val="00233160"/>
    <w:rsid w:val="002331D6"/>
    <w:rsid w:val="002331EB"/>
    <w:rsid w:val="002334FF"/>
    <w:rsid w:val="00233500"/>
    <w:rsid w:val="0023367A"/>
    <w:rsid w:val="002337C5"/>
    <w:rsid w:val="00233839"/>
    <w:rsid w:val="00233881"/>
    <w:rsid w:val="00233997"/>
    <w:rsid w:val="00233A1F"/>
    <w:rsid w:val="00233AAD"/>
    <w:rsid w:val="00233B01"/>
    <w:rsid w:val="00233DF9"/>
    <w:rsid w:val="00233FA6"/>
    <w:rsid w:val="00233FB8"/>
    <w:rsid w:val="0023412F"/>
    <w:rsid w:val="00234173"/>
    <w:rsid w:val="0023419E"/>
    <w:rsid w:val="0023425D"/>
    <w:rsid w:val="00234468"/>
    <w:rsid w:val="002345FA"/>
    <w:rsid w:val="0023478C"/>
    <w:rsid w:val="00234811"/>
    <w:rsid w:val="002348FD"/>
    <w:rsid w:val="00234B55"/>
    <w:rsid w:val="00234B5C"/>
    <w:rsid w:val="00234B82"/>
    <w:rsid w:val="00234E13"/>
    <w:rsid w:val="00234EBB"/>
    <w:rsid w:val="00234FD8"/>
    <w:rsid w:val="0023502E"/>
    <w:rsid w:val="00235089"/>
    <w:rsid w:val="00235095"/>
    <w:rsid w:val="00235217"/>
    <w:rsid w:val="00235261"/>
    <w:rsid w:val="0023526C"/>
    <w:rsid w:val="00235290"/>
    <w:rsid w:val="00235642"/>
    <w:rsid w:val="00235733"/>
    <w:rsid w:val="00235785"/>
    <w:rsid w:val="0023584F"/>
    <w:rsid w:val="00235A1E"/>
    <w:rsid w:val="00235A5F"/>
    <w:rsid w:val="00235ABA"/>
    <w:rsid w:val="00235ABD"/>
    <w:rsid w:val="00235AD4"/>
    <w:rsid w:val="00235B44"/>
    <w:rsid w:val="00235C93"/>
    <w:rsid w:val="00235C95"/>
    <w:rsid w:val="00235D4F"/>
    <w:rsid w:val="00236102"/>
    <w:rsid w:val="002361B8"/>
    <w:rsid w:val="0023622C"/>
    <w:rsid w:val="0023647B"/>
    <w:rsid w:val="002364CC"/>
    <w:rsid w:val="0023683A"/>
    <w:rsid w:val="00236ABE"/>
    <w:rsid w:val="00236B04"/>
    <w:rsid w:val="00236C85"/>
    <w:rsid w:val="00236CBD"/>
    <w:rsid w:val="00236D8F"/>
    <w:rsid w:val="00236DC1"/>
    <w:rsid w:val="00236DFC"/>
    <w:rsid w:val="00236E80"/>
    <w:rsid w:val="00236ED1"/>
    <w:rsid w:val="00236FEB"/>
    <w:rsid w:val="0023702C"/>
    <w:rsid w:val="002372EA"/>
    <w:rsid w:val="0023745A"/>
    <w:rsid w:val="002374C5"/>
    <w:rsid w:val="002374E4"/>
    <w:rsid w:val="002374F4"/>
    <w:rsid w:val="00237537"/>
    <w:rsid w:val="00237594"/>
    <w:rsid w:val="0023778C"/>
    <w:rsid w:val="002377BF"/>
    <w:rsid w:val="0023784A"/>
    <w:rsid w:val="0023785A"/>
    <w:rsid w:val="002378F6"/>
    <w:rsid w:val="00237933"/>
    <w:rsid w:val="00237B00"/>
    <w:rsid w:val="00237B47"/>
    <w:rsid w:val="00237BC3"/>
    <w:rsid w:val="00237ED5"/>
    <w:rsid w:val="00237EF5"/>
    <w:rsid w:val="00237F44"/>
    <w:rsid w:val="00240085"/>
    <w:rsid w:val="002401F0"/>
    <w:rsid w:val="002402B8"/>
    <w:rsid w:val="0024032B"/>
    <w:rsid w:val="0024053C"/>
    <w:rsid w:val="002405DD"/>
    <w:rsid w:val="00240623"/>
    <w:rsid w:val="00240651"/>
    <w:rsid w:val="00240790"/>
    <w:rsid w:val="002407DF"/>
    <w:rsid w:val="0024081B"/>
    <w:rsid w:val="002408E8"/>
    <w:rsid w:val="00240A65"/>
    <w:rsid w:val="00240AB6"/>
    <w:rsid w:val="00240B50"/>
    <w:rsid w:val="00240D24"/>
    <w:rsid w:val="00240FE8"/>
    <w:rsid w:val="00241042"/>
    <w:rsid w:val="00241103"/>
    <w:rsid w:val="0024128B"/>
    <w:rsid w:val="00241383"/>
    <w:rsid w:val="00241406"/>
    <w:rsid w:val="002414D2"/>
    <w:rsid w:val="0024155D"/>
    <w:rsid w:val="0024159E"/>
    <w:rsid w:val="002415FF"/>
    <w:rsid w:val="00241685"/>
    <w:rsid w:val="00241763"/>
    <w:rsid w:val="00241A9E"/>
    <w:rsid w:val="00241AD7"/>
    <w:rsid w:val="00241B55"/>
    <w:rsid w:val="00241BF8"/>
    <w:rsid w:val="00241C4A"/>
    <w:rsid w:val="00241DC9"/>
    <w:rsid w:val="00241DEB"/>
    <w:rsid w:val="00241FA6"/>
    <w:rsid w:val="002420EA"/>
    <w:rsid w:val="00242248"/>
    <w:rsid w:val="00242344"/>
    <w:rsid w:val="002424A9"/>
    <w:rsid w:val="0024252A"/>
    <w:rsid w:val="00242705"/>
    <w:rsid w:val="0024293B"/>
    <w:rsid w:val="0024296A"/>
    <w:rsid w:val="002429A6"/>
    <w:rsid w:val="002429C9"/>
    <w:rsid w:val="00242A71"/>
    <w:rsid w:val="002430B1"/>
    <w:rsid w:val="0024312F"/>
    <w:rsid w:val="00243201"/>
    <w:rsid w:val="002433A5"/>
    <w:rsid w:val="00243545"/>
    <w:rsid w:val="0024361C"/>
    <w:rsid w:val="00243753"/>
    <w:rsid w:val="00243807"/>
    <w:rsid w:val="0024386F"/>
    <w:rsid w:val="00243A77"/>
    <w:rsid w:val="00243B37"/>
    <w:rsid w:val="00243BE9"/>
    <w:rsid w:val="00243C54"/>
    <w:rsid w:val="00243E62"/>
    <w:rsid w:val="00243ED0"/>
    <w:rsid w:val="00243EDA"/>
    <w:rsid w:val="00243EEE"/>
    <w:rsid w:val="00243FB0"/>
    <w:rsid w:val="00244270"/>
    <w:rsid w:val="00244372"/>
    <w:rsid w:val="002443E6"/>
    <w:rsid w:val="00244551"/>
    <w:rsid w:val="0024458F"/>
    <w:rsid w:val="00244631"/>
    <w:rsid w:val="002447AA"/>
    <w:rsid w:val="00244837"/>
    <w:rsid w:val="00244858"/>
    <w:rsid w:val="0024486D"/>
    <w:rsid w:val="002448B1"/>
    <w:rsid w:val="00244A8B"/>
    <w:rsid w:val="00244A9A"/>
    <w:rsid w:val="00244AF4"/>
    <w:rsid w:val="00244AFA"/>
    <w:rsid w:val="00244BE8"/>
    <w:rsid w:val="00244CBA"/>
    <w:rsid w:val="00244DFB"/>
    <w:rsid w:val="00244E98"/>
    <w:rsid w:val="00244FFA"/>
    <w:rsid w:val="002450B7"/>
    <w:rsid w:val="0024517C"/>
    <w:rsid w:val="00245528"/>
    <w:rsid w:val="002455DB"/>
    <w:rsid w:val="002456D9"/>
    <w:rsid w:val="0024596F"/>
    <w:rsid w:val="00245A5D"/>
    <w:rsid w:val="00245A60"/>
    <w:rsid w:val="00245AA8"/>
    <w:rsid w:val="00245B61"/>
    <w:rsid w:val="00245C9F"/>
    <w:rsid w:val="00245D0A"/>
    <w:rsid w:val="002462C0"/>
    <w:rsid w:val="002462FB"/>
    <w:rsid w:val="002464E7"/>
    <w:rsid w:val="00246607"/>
    <w:rsid w:val="0024677F"/>
    <w:rsid w:val="002467C0"/>
    <w:rsid w:val="0024684D"/>
    <w:rsid w:val="002468F6"/>
    <w:rsid w:val="00246967"/>
    <w:rsid w:val="00246BBD"/>
    <w:rsid w:val="00246BD7"/>
    <w:rsid w:val="00246C91"/>
    <w:rsid w:val="00246CC3"/>
    <w:rsid w:val="00246E0C"/>
    <w:rsid w:val="00246F5F"/>
    <w:rsid w:val="0024704F"/>
    <w:rsid w:val="002472ED"/>
    <w:rsid w:val="00247324"/>
    <w:rsid w:val="00247349"/>
    <w:rsid w:val="002473CA"/>
    <w:rsid w:val="00247686"/>
    <w:rsid w:val="002477F6"/>
    <w:rsid w:val="00247A6B"/>
    <w:rsid w:val="00247B3B"/>
    <w:rsid w:val="00247D40"/>
    <w:rsid w:val="00250040"/>
    <w:rsid w:val="002502C5"/>
    <w:rsid w:val="0025051F"/>
    <w:rsid w:val="00250612"/>
    <w:rsid w:val="002506BA"/>
    <w:rsid w:val="002506DF"/>
    <w:rsid w:val="002507AA"/>
    <w:rsid w:val="002508E9"/>
    <w:rsid w:val="00250936"/>
    <w:rsid w:val="002509A0"/>
    <w:rsid w:val="002509DA"/>
    <w:rsid w:val="00250A37"/>
    <w:rsid w:val="00250A58"/>
    <w:rsid w:val="00250B25"/>
    <w:rsid w:val="00250B6C"/>
    <w:rsid w:val="00250DDA"/>
    <w:rsid w:val="00250E5A"/>
    <w:rsid w:val="00250F73"/>
    <w:rsid w:val="00251114"/>
    <w:rsid w:val="002511D5"/>
    <w:rsid w:val="00251281"/>
    <w:rsid w:val="0025131E"/>
    <w:rsid w:val="002513D3"/>
    <w:rsid w:val="00251469"/>
    <w:rsid w:val="002514A5"/>
    <w:rsid w:val="002514E3"/>
    <w:rsid w:val="0025160D"/>
    <w:rsid w:val="002516CE"/>
    <w:rsid w:val="002517AD"/>
    <w:rsid w:val="002518F1"/>
    <w:rsid w:val="00251A80"/>
    <w:rsid w:val="00251A87"/>
    <w:rsid w:val="00251B3D"/>
    <w:rsid w:val="00251BC8"/>
    <w:rsid w:val="00251BF1"/>
    <w:rsid w:val="00251D41"/>
    <w:rsid w:val="00251E2D"/>
    <w:rsid w:val="0025210C"/>
    <w:rsid w:val="002521C9"/>
    <w:rsid w:val="00252220"/>
    <w:rsid w:val="002522C4"/>
    <w:rsid w:val="002522CF"/>
    <w:rsid w:val="002523D3"/>
    <w:rsid w:val="002523DD"/>
    <w:rsid w:val="00252522"/>
    <w:rsid w:val="00252594"/>
    <w:rsid w:val="00252640"/>
    <w:rsid w:val="00252733"/>
    <w:rsid w:val="00252828"/>
    <w:rsid w:val="002528B1"/>
    <w:rsid w:val="002529D7"/>
    <w:rsid w:val="00252A84"/>
    <w:rsid w:val="00252AB8"/>
    <w:rsid w:val="00252DAD"/>
    <w:rsid w:val="00252DCC"/>
    <w:rsid w:val="00252E1D"/>
    <w:rsid w:val="00252E1F"/>
    <w:rsid w:val="00252FEA"/>
    <w:rsid w:val="00253022"/>
    <w:rsid w:val="00253042"/>
    <w:rsid w:val="002530B8"/>
    <w:rsid w:val="002530C2"/>
    <w:rsid w:val="002533BE"/>
    <w:rsid w:val="002533CD"/>
    <w:rsid w:val="00253487"/>
    <w:rsid w:val="00253589"/>
    <w:rsid w:val="002535EA"/>
    <w:rsid w:val="002537E7"/>
    <w:rsid w:val="0025384B"/>
    <w:rsid w:val="00253978"/>
    <w:rsid w:val="00253A9B"/>
    <w:rsid w:val="00253BB7"/>
    <w:rsid w:val="00253C0B"/>
    <w:rsid w:val="00253C4E"/>
    <w:rsid w:val="00253C9A"/>
    <w:rsid w:val="00253D31"/>
    <w:rsid w:val="00253EA2"/>
    <w:rsid w:val="00253EC3"/>
    <w:rsid w:val="00253FB7"/>
    <w:rsid w:val="00253FB9"/>
    <w:rsid w:val="002540C9"/>
    <w:rsid w:val="002545BC"/>
    <w:rsid w:val="002545F1"/>
    <w:rsid w:val="00254629"/>
    <w:rsid w:val="00254724"/>
    <w:rsid w:val="00254A0C"/>
    <w:rsid w:val="00254A10"/>
    <w:rsid w:val="00254C1C"/>
    <w:rsid w:val="00254E98"/>
    <w:rsid w:val="00254FE3"/>
    <w:rsid w:val="002550DE"/>
    <w:rsid w:val="00255136"/>
    <w:rsid w:val="00255173"/>
    <w:rsid w:val="002551EF"/>
    <w:rsid w:val="00255269"/>
    <w:rsid w:val="002553B1"/>
    <w:rsid w:val="00255407"/>
    <w:rsid w:val="00255609"/>
    <w:rsid w:val="00255778"/>
    <w:rsid w:val="002557FB"/>
    <w:rsid w:val="00255855"/>
    <w:rsid w:val="0025585D"/>
    <w:rsid w:val="002558A4"/>
    <w:rsid w:val="0025596D"/>
    <w:rsid w:val="0025597D"/>
    <w:rsid w:val="00255A56"/>
    <w:rsid w:val="00255C2F"/>
    <w:rsid w:val="00255DEB"/>
    <w:rsid w:val="00256083"/>
    <w:rsid w:val="00256188"/>
    <w:rsid w:val="00256313"/>
    <w:rsid w:val="00256380"/>
    <w:rsid w:val="002564CF"/>
    <w:rsid w:val="00256506"/>
    <w:rsid w:val="0025650C"/>
    <w:rsid w:val="0025651D"/>
    <w:rsid w:val="002565A1"/>
    <w:rsid w:val="002566C2"/>
    <w:rsid w:val="002567BB"/>
    <w:rsid w:val="00256843"/>
    <w:rsid w:val="002568DD"/>
    <w:rsid w:val="00256D04"/>
    <w:rsid w:val="00256EC2"/>
    <w:rsid w:val="0025704E"/>
    <w:rsid w:val="002570B7"/>
    <w:rsid w:val="00257197"/>
    <w:rsid w:val="0025727E"/>
    <w:rsid w:val="00257416"/>
    <w:rsid w:val="002574EC"/>
    <w:rsid w:val="00257576"/>
    <w:rsid w:val="00257710"/>
    <w:rsid w:val="00257780"/>
    <w:rsid w:val="00257810"/>
    <w:rsid w:val="002579EE"/>
    <w:rsid w:val="00257AD1"/>
    <w:rsid w:val="00257B6C"/>
    <w:rsid w:val="0026001E"/>
    <w:rsid w:val="002600FA"/>
    <w:rsid w:val="0026016C"/>
    <w:rsid w:val="00260488"/>
    <w:rsid w:val="002605B7"/>
    <w:rsid w:val="00260639"/>
    <w:rsid w:val="00260785"/>
    <w:rsid w:val="00260D2D"/>
    <w:rsid w:val="00261009"/>
    <w:rsid w:val="0026107A"/>
    <w:rsid w:val="00261281"/>
    <w:rsid w:val="002612DA"/>
    <w:rsid w:val="00261610"/>
    <w:rsid w:val="00261644"/>
    <w:rsid w:val="0026169F"/>
    <w:rsid w:val="00261720"/>
    <w:rsid w:val="002617E8"/>
    <w:rsid w:val="00261A05"/>
    <w:rsid w:val="00261B99"/>
    <w:rsid w:val="00261E6B"/>
    <w:rsid w:val="00261F56"/>
    <w:rsid w:val="00261F69"/>
    <w:rsid w:val="00261F95"/>
    <w:rsid w:val="0026200B"/>
    <w:rsid w:val="00262179"/>
    <w:rsid w:val="002621EE"/>
    <w:rsid w:val="00262286"/>
    <w:rsid w:val="002622DE"/>
    <w:rsid w:val="00262464"/>
    <w:rsid w:val="002625E6"/>
    <w:rsid w:val="00262731"/>
    <w:rsid w:val="0026275A"/>
    <w:rsid w:val="0026279B"/>
    <w:rsid w:val="0026286A"/>
    <w:rsid w:val="0026290B"/>
    <w:rsid w:val="00262982"/>
    <w:rsid w:val="00262A0C"/>
    <w:rsid w:val="00262A34"/>
    <w:rsid w:val="00262B42"/>
    <w:rsid w:val="00262BA0"/>
    <w:rsid w:val="00262BDE"/>
    <w:rsid w:val="00262DCA"/>
    <w:rsid w:val="0026300B"/>
    <w:rsid w:val="00263577"/>
    <w:rsid w:val="0026360C"/>
    <w:rsid w:val="00263825"/>
    <w:rsid w:val="00263903"/>
    <w:rsid w:val="00263A33"/>
    <w:rsid w:val="00263B48"/>
    <w:rsid w:val="00263CB5"/>
    <w:rsid w:val="00263D5D"/>
    <w:rsid w:val="002641EC"/>
    <w:rsid w:val="00264242"/>
    <w:rsid w:val="0026426A"/>
    <w:rsid w:val="00264561"/>
    <w:rsid w:val="002645C3"/>
    <w:rsid w:val="0026460F"/>
    <w:rsid w:val="002647A3"/>
    <w:rsid w:val="00264857"/>
    <w:rsid w:val="00264B65"/>
    <w:rsid w:val="00264C86"/>
    <w:rsid w:val="00264D52"/>
    <w:rsid w:val="00264ED8"/>
    <w:rsid w:val="00264F92"/>
    <w:rsid w:val="002650CF"/>
    <w:rsid w:val="00265155"/>
    <w:rsid w:val="002651D4"/>
    <w:rsid w:val="002653D5"/>
    <w:rsid w:val="00265426"/>
    <w:rsid w:val="00265607"/>
    <w:rsid w:val="0026570A"/>
    <w:rsid w:val="002658B6"/>
    <w:rsid w:val="002658FC"/>
    <w:rsid w:val="00265976"/>
    <w:rsid w:val="002659F1"/>
    <w:rsid w:val="00265A1D"/>
    <w:rsid w:val="00265B16"/>
    <w:rsid w:val="00265B2F"/>
    <w:rsid w:val="00265C24"/>
    <w:rsid w:val="00265ECB"/>
    <w:rsid w:val="00265F50"/>
    <w:rsid w:val="00265FDA"/>
    <w:rsid w:val="0026608B"/>
    <w:rsid w:val="00266096"/>
    <w:rsid w:val="002660DA"/>
    <w:rsid w:val="002660DB"/>
    <w:rsid w:val="0026614C"/>
    <w:rsid w:val="0026616A"/>
    <w:rsid w:val="002661CF"/>
    <w:rsid w:val="0026633F"/>
    <w:rsid w:val="002665A9"/>
    <w:rsid w:val="00266822"/>
    <w:rsid w:val="002668B5"/>
    <w:rsid w:val="002668D7"/>
    <w:rsid w:val="002669C4"/>
    <w:rsid w:val="00266CC6"/>
    <w:rsid w:val="00266D9B"/>
    <w:rsid w:val="00266DEB"/>
    <w:rsid w:val="00266FF5"/>
    <w:rsid w:val="00267049"/>
    <w:rsid w:val="0026720F"/>
    <w:rsid w:val="0026723A"/>
    <w:rsid w:val="00267299"/>
    <w:rsid w:val="002672B1"/>
    <w:rsid w:val="002672D5"/>
    <w:rsid w:val="002673A0"/>
    <w:rsid w:val="0026752C"/>
    <w:rsid w:val="0026764F"/>
    <w:rsid w:val="002677AF"/>
    <w:rsid w:val="002677E1"/>
    <w:rsid w:val="00267880"/>
    <w:rsid w:val="002679A4"/>
    <w:rsid w:val="002679EA"/>
    <w:rsid w:val="00267CCD"/>
    <w:rsid w:val="00267D08"/>
    <w:rsid w:val="00267DD2"/>
    <w:rsid w:val="00267FB5"/>
    <w:rsid w:val="002701AE"/>
    <w:rsid w:val="002701C7"/>
    <w:rsid w:val="00270276"/>
    <w:rsid w:val="0027039B"/>
    <w:rsid w:val="002704B9"/>
    <w:rsid w:val="002704FD"/>
    <w:rsid w:val="00270525"/>
    <w:rsid w:val="00270543"/>
    <w:rsid w:val="002705AC"/>
    <w:rsid w:val="00270B03"/>
    <w:rsid w:val="00270C40"/>
    <w:rsid w:val="00270CA6"/>
    <w:rsid w:val="00270D85"/>
    <w:rsid w:val="00270FB6"/>
    <w:rsid w:val="00270FD6"/>
    <w:rsid w:val="00271369"/>
    <w:rsid w:val="0027137D"/>
    <w:rsid w:val="00271395"/>
    <w:rsid w:val="002713D9"/>
    <w:rsid w:val="002713E7"/>
    <w:rsid w:val="0027153B"/>
    <w:rsid w:val="00271605"/>
    <w:rsid w:val="00271634"/>
    <w:rsid w:val="002716EC"/>
    <w:rsid w:val="00271987"/>
    <w:rsid w:val="00271B3B"/>
    <w:rsid w:val="00271CBC"/>
    <w:rsid w:val="00271D2A"/>
    <w:rsid w:val="00271D6A"/>
    <w:rsid w:val="00271E24"/>
    <w:rsid w:val="00271F1A"/>
    <w:rsid w:val="00271F6A"/>
    <w:rsid w:val="00271FF3"/>
    <w:rsid w:val="00272063"/>
    <w:rsid w:val="002721D3"/>
    <w:rsid w:val="002724D7"/>
    <w:rsid w:val="00272559"/>
    <w:rsid w:val="002725A2"/>
    <w:rsid w:val="00272970"/>
    <w:rsid w:val="00272AD4"/>
    <w:rsid w:val="00272BA5"/>
    <w:rsid w:val="00272BE5"/>
    <w:rsid w:val="00272C36"/>
    <w:rsid w:val="00272D1C"/>
    <w:rsid w:val="00272F50"/>
    <w:rsid w:val="00272FC2"/>
    <w:rsid w:val="00273160"/>
    <w:rsid w:val="0027317A"/>
    <w:rsid w:val="0027359B"/>
    <w:rsid w:val="00273661"/>
    <w:rsid w:val="002736DF"/>
    <w:rsid w:val="00273732"/>
    <w:rsid w:val="002737B4"/>
    <w:rsid w:val="002737F9"/>
    <w:rsid w:val="00273806"/>
    <w:rsid w:val="00273986"/>
    <w:rsid w:val="00273B42"/>
    <w:rsid w:val="00273B7E"/>
    <w:rsid w:val="00273CA3"/>
    <w:rsid w:val="00273D4D"/>
    <w:rsid w:val="00273E30"/>
    <w:rsid w:val="00273F05"/>
    <w:rsid w:val="002740FA"/>
    <w:rsid w:val="002740FB"/>
    <w:rsid w:val="0027420A"/>
    <w:rsid w:val="002742B2"/>
    <w:rsid w:val="0027435D"/>
    <w:rsid w:val="0027472E"/>
    <w:rsid w:val="00274875"/>
    <w:rsid w:val="00274945"/>
    <w:rsid w:val="00274A36"/>
    <w:rsid w:val="00274C29"/>
    <w:rsid w:val="00274EBD"/>
    <w:rsid w:val="00274FAC"/>
    <w:rsid w:val="00275124"/>
    <w:rsid w:val="002752C6"/>
    <w:rsid w:val="00275510"/>
    <w:rsid w:val="00275571"/>
    <w:rsid w:val="002756F2"/>
    <w:rsid w:val="00275821"/>
    <w:rsid w:val="002759B2"/>
    <w:rsid w:val="002759E5"/>
    <w:rsid w:val="00275A3D"/>
    <w:rsid w:val="00275A57"/>
    <w:rsid w:val="00275AC3"/>
    <w:rsid w:val="00275B2B"/>
    <w:rsid w:val="00275C6B"/>
    <w:rsid w:val="00275E1A"/>
    <w:rsid w:val="00275E4D"/>
    <w:rsid w:val="00275FB7"/>
    <w:rsid w:val="002760AC"/>
    <w:rsid w:val="0027641A"/>
    <w:rsid w:val="002766B5"/>
    <w:rsid w:val="00276799"/>
    <w:rsid w:val="002767B7"/>
    <w:rsid w:val="00276818"/>
    <w:rsid w:val="00276841"/>
    <w:rsid w:val="00276892"/>
    <w:rsid w:val="00276A37"/>
    <w:rsid w:val="00276B04"/>
    <w:rsid w:val="00276C2E"/>
    <w:rsid w:val="00276D51"/>
    <w:rsid w:val="00276F73"/>
    <w:rsid w:val="00277042"/>
    <w:rsid w:val="0027708A"/>
    <w:rsid w:val="0027722A"/>
    <w:rsid w:val="0027731E"/>
    <w:rsid w:val="00277374"/>
    <w:rsid w:val="002773A6"/>
    <w:rsid w:val="002773AC"/>
    <w:rsid w:val="002774DE"/>
    <w:rsid w:val="002775ED"/>
    <w:rsid w:val="002776AF"/>
    <w:rsid w:val="00277766"/>
    <w:rsid w:val="00277A19"/>
    <w:rsid w:val="00277BDF"/>
    <w:rsid w:val="00277CFC"/>
    <w:rsid w:val="00277E68"/>
    <w:rsid w:val="00280009"/>
    <w:rsid w:val="002802BD"/>
    <w:rsid w:val="00280336"/>
    <w:rsid w:val="002803EF"/>
    <w:rsid w:val="0028048B"/>
    <w:rsid w:val="0028064F"/>
    <w:rsid w:val="00280681"/>
    <w:rsid w:val="0028070A"/>
    <w:rsid w:val="002808FB"/>
    <w:rsid w:val="00280A83"/>
    <w:rsid w:val="00280AE6"/>
    <w:rsid w:val="00280CF7"/>
    <w:rsid w:val="002810D0"/>
    <w:rsid w:val="00281149"/>
    <w:rsid w:val="002812DF"/>
    <w:rsid w:val="00281302"/>
    <w:rsid w:val="002815A3"/>
    <w:rsid w:val="00281662"/>
    <w:rsid w:val="002818D3"/>
    <w:rsid w:val="00281DA1"/>
    <w:rsid w:val="00281E33"/>
    <w:rsid w:val="00281F93"/>
    <w:rsid w:val="0028202A"/>
    <w:rsid w:val="00282063"/>
    <w:rsid w:val="0028209F"/>
    <w:rsid w:val="00282248"/>
    <w:rsid w:val="00282279"/>
    <w:rsid w:val="00282350"/>
    <w:rsid w:val="002823C3"/>
    <w:rsid w:val="0028265E"/>
    <w:rsid w:val="002826BA"/>
    <w:rsid w:val="002826BD"/>
    <w:rsid w:val="002828B0"/>
    <w:rsid w:val="002828B8"/>
    <w:rsid w:val="002828F0"/>
    <w:rsid w:val="00282945"/>
    <w:rsid w:val="0028295A"/>
    <w:rsid w:val="00282A65"/>
    <w:rsid w:val="00282A80"/>
    <w:rsid w:val="00282DEE"/>
    <w:rsid w:val="00282E36"/>
    <w:rsid w:val="00282F76"/>
    <w:rsid w:val="00282F80"/>
    <w:rsid w:val="00282FB6"/>
    <w:rsid w:val="002830B9"/>
    <w:rsid w:val="002830E9"/>
    <w:rsid w:val="002831A1"/>
    <w:rsid w:val="0028320A"/>
    <w:rsid w:val="002835AF"/>
    <w:rsid w:val="002835B5"/>
    <w:rsid w:val="00283788"/>
    <w:rsid w:val="002837DB"/>
    <w:rsid w:val="00283876"/>
    <w:rsid w:val="002838BB"/>
    <w:rsid w:val="00283C5A"/>
    <w:rsid w:val="00283CFF"/>
    <w:rsid w:val="002842D5"/>
    <w:rsid w:val="002842D9"/>
    <w:rsid w:val="002842ED"/>
    <w:rsid w:val="0028448E"/>
    <w:rsid w:val="00284524"/>
    <w:rsid w:val="002845D6"/>
    <w:rsid w:val="002846C5"/>
    <w:rsid w:val="00284892"/>
    <w:rsid w:val="0028497E"/>
    <w:rsid w:val="00284993"/>
    <w:rsid w:val="00284BC5"/>
    <w:rsid w:val="00284BFE"/>
    <w:rsid w:val="00284C0B"/>
    <w:rsid w:val="00284C0F"/>
    <w:rsid w:val="00284C77"/>
    <w:rsid w:val="00284CC9"/>
    <w:rsid w:val="00284CD8"/>
    <w:rsid w:val="00284EBD"/>
    <w:rsid w:val="00285117"/>
    <w:rsid w:val="00285155"/>
    <w:rsid w:val="002851EF"/>
    <w:rsid w:val="00285898"/>
    <w:rsid w:val="00285A12"/>
    <w:rsid w:val="00285ABB"/>
    <w:rsid w:val="00285AD9"/>
    <w:rsid w:val="00285BB3"/>
    <w:rsid w:val="00285CF5"/>
    <w:rsid w:val="00285FB5"/>
    <w:rsid w:val="00286123"/>
    <w:rsid w:val="00286571"/>
    <w:rsid w:val="0028658B"/>
    <w:rsid w:val="0028663C"/>
    <w:rsid w:val="00286640"/>
    <w:rsid w:val="00286924"/>
    <w:rsid w:val="00286A88"/>
    <w:rsid w:val="00286BB2"/>
    <w:rsid w:val="00286C46"/>
    <w:rsid w:val="00286ED5"/>
    <w:rsid w:val="00286F6F"/>
    <w:rsid w:val="0028717D"/>
    <w:rsid w:val="002871BC"/>
    <w:rsid w:val="002871EC"/>
    <w:rsid w:val="00287206"/>
    <w:rsid w:val="0028756F"/>
    <w:rsid w:val="002875AA"/>
    <w:rsid w:val="002877C2"/>
    <w:rsid w:val="00287849"/>
    <w:rsid w:val="0028784F"/>
    <w:rsid w:val="0028791E"/>
    <w:rsid w:val="0028797A"/>
    <w:rsid w:val="002879C2"/>
    <w:rsid w:val="00287A00"/>
    <w:rsid w:val="00287AB9"/>
    <w:rsid w:val="00287AF9"/>
    <w:rsid w:val="00287B25"/>
    <w:rsid w:val="00287B48"/>
    <w:rsid w:val="00287CCE"/>
    <w:rsid w:val="00287D29"/>
    <w:rsid w:val="00287D77"/>
    <w:rsid w:val="00287D84"/>
    <w:rsid w:val="00287F18"/>
    <w:rsid w:val="00287FE0"/>
    <w:rsid w:val="0029000E"/>
    <w:rsid w:val="0029005E"/>
    <w:rsid w:val="00290169"/>
    <w:rsid w:val="002901EC"/>
    <w:rsid w:val="00290319"/>
    <w:rsid w:val="00290334"/>
    <w:rsid w:val="002904D0"/>
    <w:rsid w:val="0029061B"/>
    <w:rsid w:val="00290668"/>
    <w:rsid w:val="0029077C"/>
    <w:rsid w:val="002907B2"/>
    <w:rsid w:val="00290BD5"/>
    <w:rsid w:val="00290C17"/>
    <w:rsid w:val="00290CD2"/>
    <w:rsid w:val="00290D79"/>
    <w:rsid w:val="00290E68"/>
    <w:rsid w:val="00290EC8"/>
    <w:rsid w:val="002910A1"/>
    <w:rsid w:val="00291337"/>
    <w:rsid w:val="002913C7"/>
    <w:rsid w:val="002914CE"/>
    <w:rsid w:val="00291506"/>
    <w:rsid w:val="002915AF"/>
    <w:rsid w:val="00291702"/>
    <w:rsid w:val="00291842"/>
    <w:rsid w:val="00291AB9"/>
    <w:rsid w:val="00291C9F"/>
    <w:rsid w:val="00291EA0"/>
    <w:rsid w:val="00292025"/>
    <w:rsid w:val="00292141"/>
    <w:rsid w:val="0029217C"/>
    <w:rsid w:val="00292463"/>
    <w:rsid w:val="002924B8"/>
    <w:rsid w:val="00292514"/>
    <w:rsid w:val="0029255D"/>
    <w:rsid w:val="00292859"/>
    <w:rsid w:val="00292A3B"/>
    <w:rsid w:val="00292A77"/>
    <w:rsid w:val="00292B5C"/>
    <w:rsid w:val="00292C7B"/>
    <w:rsid w:val="00292CE2"/>
    <w:rsid w:val="00292D1C"/>
    <w:rsid w:val="00292E10"/>
    <w:rsid w:val="00292E69"/>
    <w:rsid w:val="00292EBF"/>
    <w:rsid w:val="00292F21"/>
    <w:rsid w:val="00292FA6"/>
    <w:rsid w:val="002930D6"/>
    <w:rsid w:val="002930E3"/>
    <w:rsid w:val="002930F2"/>
    <w:rsid w:val="00293118"/>
    <w:rsid w:val="00293243"/>
    <w:rsid w:val="00293291"/>
    <w:rsid w:val="00293343"/>
    <w:rsid w:val="00293543"/>
    <w:rsid w:val="00293601"/>
    <w:rsid w:val="002936BA"/>
    <w:rsid w:val="00293727"/>
    <w:rsid w:val="00293974"/>
    <w:rsid w:val="00293B05"/>
    <w:rsid w:val="00293B32"/>
    <w:rsid w:val="00293BF5"/>
    <w:rsid w:val="00293D66"/>
    <w:rsid w:val="00293F73"/>
    <w:rsid w:val="00294151"/>
    <w:rsid w:val="00294397"/>
    <w:rsid w:val="00294409"/>
    <w:rsid w:val="00294417"/>
    <w:rsid w:val="0029445D"/>
    <w:rsid w:val="00294600"/>
    <w:rsid w:val="00294658"/>
    <w:rsid w:val="0029469A"/>
    <w:rsid w:val="002947D7"/>
    <w:rsid w:val="00294830"/>
    <w:rsid w:val="002948E2"/>
    <w:rsid w:val="002949E8"/>
    <w:rsid w:val="00294B7F"/>
    <w:rsid w:val="00294D29"/>
    <w:rsid w:val="00294E04"/>
    <w:rsid w:val="00294E2C"/>
    <w:rsid w:val="00294F83"/>
    <w:rsid w:val="00295033"/>
    <w:rsid w:val="0029519F"/>
    <w:rsid w:val="002951F4"/>
    <w:rsid w:val="0029543A"/>
    <w:rsid w:val="0029547D"/>
    <w:rsid w:val="0029559D"/>
    <w:rsid w:val="002956EF"/>
    <w:rsid w:val="002957EB"/>
    <w:rsid w:val="002958F7"/>
    <w:rsid w:val="00295CA6"/>
    <w:rsid w:val="00295CEE"/>
    <w:rsid w:val="00295D02"/>
    <w:rsid w:val="00295E0D"/>
    <w:rsid w:val="00296022"/>
    <w:rsid w:val="002963B9"/>
    <w:rsid w:val="0029649C"/>
    <w:rsid w:val="00296A7A"/>
    <w:rsid w:val="00296AD4"/>
    <w:rsid w:val="00296B93"/>
    <w:rsid w:val="00296C7B"/>
    <w:rsid w:val="00296C84"/>
    <w:rsid w:val="00296D2A"/>
    <w:rsid w:val="00296EAD"/>
    <w:rsid w:val="00296ED0"/>
    <w:rsid w:val="00297078"/>
    <w:rsid w:val="0029718E"/>
    <w:rsid w:val="00297280"/>
    <w:rsid w:val="002972E5"/>
    <w:rsid w:val="00297331"/>
    <w:rsid w:val="0029739D"/>
    <w:rsid w:val="002973A4"/>
    <w:rsid w:val="002974E0"/>
    <w:rsid w:val="00297576"/>
    <w:rsid w:val="00297797"/>
    <w:rsid w:val="00297A9B"/>
    <w:rsid w:val="00297B1E"/>
    <w:rsid w:val="00297B86"/>
    <w:rsid w:val="00297C0A"/>
    <w:rsid w:val="00297E01"/>
    <w:rsid w:val="00297EBC"/>
    <w:rsid w:val="00297FD7"/>
    <w:rsid w:val="002A004C"/>
    <w:rsid w:val="002A0072"/>
    <w:rsid w:val="002A00A1"/>
    <w:rsid w:val="002A02DC"/>
    <w:rsid w:val="002A0315"/>
    <w:rsid w:val="002A0323"/>
    <w:rsid w:val="002A0330"/>
    <w:rsid w:val="002A035C"/>
    <w:rsid w:val="002A03F0"/>
    <w:rsid w:val="002A0494"/>
    <w:rsid w:val="002A05B5"/>
    <w:rsid w:val="002A083E"/>
    <w:rsid w:val="002A0C99"/>
    <w:rsid w:val="002A0CBE"/>
    <w:rsid w:val="002A0CDD"/>
    <w:rsid w:val="002A0E4B"/>
    <w:rsid w:val="002A0EC2"/>
    <w:rsid w:val="002A0FD1"/>
    <w:rsid w:val="002A1045"/>
    <w:rsid w:val="002A104C"/>
    <w:rsid w:val="002A11AE"/>
    <w:rsid w:val="002A1223"/>
    <w:rsid w:val="002A14C5"/>
    <w:rsid w:val="002A188A"/>
    <w:rsid w:val="002A18E8"/>
    <w:rsid w:val="002A19AF"/>
    <w:rsid w:val="002A1B10"/>
    <w:rsid w:val="002A1BD4"/>
    <w:rsid w:val="002A1C0E"/>
    <w:rsid w:val="002A1DD5"/>
    <w:rsid w:val="002A1DF1"/>
    <w:rsid w:val="002A1E2E"/>
    <w:rsid w:val="002A1E90"/>
    <w:rsid w:val="002A1EE9"/>
    <w:rsid w:val="002A1EF6"/>
    <w:rsid w:val="002A1F7C"/>
    <w:rsid w:val="002A1FCF"/>
    <w:rsid w:val="002A204C"/>
    <w:rsid w:val="002A20A1"/>
    <w:rsid w:val="002A20BA"/>
    <w:rsid w:val="002A21DA"/>
    <w:rsid w:val="002A23D8"/>
    <w:rsid w:val="002A24F6"/>
    <w:rsid w:val="002A261B"/>
    <w:rsid w:val="002A2689"/>
    <w:rsid w:val="002A2A76"/>
    <w:rsid w:val="002A2B5A"/>
    <w:rsid w:val="002A2B69"/>
    <w:rsid w:val="002A2B90"/>
    <w:rsid w:val="002A2E1A"/>
    <w:rsid w:val="002A2F74"/>
    <w:rsid w:val="002A3177"/>
    <w:rsid w:val="002A32D5"/>
    <w:rsid w:val="002A336C"/>
    <w:rsid w:val="002A340B"/>
    <w:rsid w:val="002A35C9"/>
    <w:rsid w:val="002A377E"/>
    <w:rsid w:val="002A3875"/>
    <w:rsid w:val="002A3980"/>
    <w:rsid w:val="002A39B7"/>
    <w:rsid w:val="002A39FD"/>
    <w:rsid w:val="002A3ACC"/>
    <w:rsid w:val="002A3CE1"/>
    <w:rsid w:val="002A3E4A"/>
    <w:rsid w:val="002A3ED1"/>
    <w:rsid w:val="002A3F38"/>
    <w:rsid w:val="002A3FE8"/>
    <w:rsid w:val="002A4103"/>
    <w:rsid w:val="002A42A3"/>
    <w:rsid w:val="002A43D5"/>
    <w:rsid w:val="002A453E"/>
    <w:rsid w:val="002A4563"/>
    <w:rsid w:val="002A4613"/>
    <w:rsid w:val="002A47C7"/>
    <w:rsid w:val="002A4971"/>
    <w:rsid w:val="002A4AB1"/>
    <w:rsid w:val="002A4B59"/>
    <w:rsid w:val="002A4D05"/>
    <w:rsid w:val="002A4D9B"/>
    <w:rsid w:val="002A4F28"/>
    <w:rsid w:val="002A4F93"/>
    <w:rsid w:val="002A5163"/>
    <w:rsid w:val="002A523A"/>
    <w:rsid w:val="002A5270"/>
    <w:rsid w:val="002A528A"/>
    <w:rsid w:val="002A540E"/>
    <w:rsid w:val="002A548A"/>
    <w:rsid w:val="002A55E2"/>
    <w:rsid w:val="002A5632"/>
    <w:rsid w:val="002A5633"/>
    <w:rsid w:val="002A577E"/>
    <w:rsid w:val="002A57B0"/>
    <w:rsid w:val="002A5819"/>
    <w:rsid w:val="002A5869"/>
    <w:rsid w:val="002A59CC"/>
    <w:rsid w:val="002A5A78"/>
    <w:rsid w:val="002A5AE6"/>
    <w:rsid w:val="002A5B84"/>
    <w:rsid w:val="002A5DF6"/>
    <w:rsid w:val="002A6090"/>
    <w:rsid w:val="002A61EB"/>
    <w:rsid w:val="002A65D5"/>
    <w:rsid w:val="002A665B"/>
    <w:rsid w:val="002A665C"/>
    <w:rsid w:val="002A66EC"/>
    <w:rsid w:val="002A671F"/>
    <w:rsid w:val="002A6763"/>
    <w:rsid w:val="002A67B4"/>
    <w:rsid w:val="002A6870"/>
    <w:rsid w:val="002A699C"/>
    <w:rsid w:val="002A6ADD"/>
    <w:rsid w:val="002A6B5F"/>
    <w:rsid w:val="002A6D36"/>
    <w:rsid w:val="002A6E50"/>
    <w:rsid w:val="002A6F89"/>
    <w:rsid w:val="002A703B"/>
    <w:rsid w:val="002A718D"/>
    <w:rsid w:val="002A7610"/>
    <w:rsid w:val="002A77EA"/>
    <w:rsid w:val="002A77F7"/>
    <w:rsid w:val="002A799A"/>
    <w:rsid w:val="002A7A44"/>
    <w:rsid w:val="002A7C1F"/>
    <w:rsid w:val="002A7C4E"/>
    <w:rsid w:val="002A7D19"/>
    <w:rsid w:val="002A7DFA"/>
    <w:rsid w:val="002B00FF"/>
    <w:rsid w:val="002B03CD"/>
    <w:rsid w:val="002B0479"/>
    <w:rsid w:val="002B05B1"/>
    <w:rsid w:val="002B074E"/>
    <w:rsid w:val="002B0879"/>
    <w:rsid w:val="002B0967"/>
    <w:rsid w:val="002B0E3F"/>
    <w:rsid w:val="002B0E8A"/>
    <w:rsid w:val="002B10AA"/>
    <w:rsid w:val="002B11B1"/>
    <w:rsid w:val="002B1210"/>
    <w:rsid w:val="002B136D"/>
    <w:rsid w:val="002B13D4"/>
    <w:rsid w:val="002B16E9"/>
    <w:rsid w:val="002B1745"/>
    <w:rsid w:val="002B1830"/>
    <w:rsid w:val="002B1889"/>
    <w:rsid w:val="002B2382"/>
    <w:rsid w:val="002B23F9"/>
    <w:rsid w:val="002B243E"/>
    <w:rsid w:val="002B2614"/>
    <w:rsid w:val="002B2668"/>
    <w:rsid w:val="002B2688"/>
    <w:rsid w:val="002B26A2"/>
    <w:rsid w:val="002B2719"/>
    <w:rsid w:val="002B27BD"/>
    <w:rsid w:val="002B2860"/>
    <w:rsid w:val="002B287D"/>
    <w:rsid w:val="002B287E"/>
    <w:rsid w:val="002B290E"/>
    <w:rsid w:val="002B2AC3"/>
    <w:rsid w:val="002B2BC8"/>
    <w:rsid w:val="002B2C30"/>
    <w:rsid w:val="002B2D4A"/>
    <w:rsid w:val="002B2D5E"/>
    <w:rsid w:val="002B2E60"/>
    <w:rsid w:val="002B2E68"/>
    <w:rsid w:val="002B2EE4"/>
    <w:rsid w:val="002B2F09"/>
    <w:rsid w:val="002B2F5B"/>
    <w:rsid w:val="002B315E"/>
    <w:rsid w:val="002B316A"/>
    <w:rsid w:val="002B318A"/>
    <w:rsid w:val="002B32BE"/>
    <w:rsid w:val="002B33A5"/>
    <w:rsid w:val="002B35A2"/>
    <w:rsid w:val="002B36BB"/>
    <w:rsid w:val="002B374A"/>
    <w:rsid w:val="002B3782"/>
    <w:rsid w:val="002B38B9"/>
    <w:rsid w:val="002B39B6"/>
    <w:rsid w:val="002B3ADA"/>
    <w:rsid w:val="002B3ADB"/>
    <w:rsid w:val="002B3B90"/>
    <w:rsid w:val="002B3E6C"/>
    <w:rsid w:val="002B3EEF"/>
    <w:rsid w:val="002B3FCE"/>
    <w:rsid w:val="002B415F"/>
    <w:rsid w:val="002B42EB"/>
    <w:rsid w:val="002B4388"/>
    <w:rsid w:val="002B4579"/>
    <w:rsid w:val="002B4A5D"/>
    <w:rsid w:val="002B4B0A"/>
    <w:rsid w:val="002B4B81"/>
    <w:rsid w:val="002B4C7C"/>
    <w:rsid w:val="002B4D1E"/>
    <w:rsid w:val="002B4E43"/>
    <w:rsid w:val="002B4E9E"/>
    <w:rsid w:val="002B4F98"/>
    <w:rsid w:val="002B50AC"/>
    <w:rsid w:val="002B5109"/>
    <w:rsid w:val="002B515A"/>
    <w:rsid w:val="002B55E7"/>
    <w:rsid w:val="002B5649"/>
    <w:rsid w:val="002B56BA"/>
    <w:rsid w:val="002B5921"/>
    <w:rsid w:val="002B595A"/>
    <w:rsid w:val="002B5987"/>
    <w:rsid w:val="002B5992"/>
    <w:rsid w:val="002B59F7"/>
    <w:rsid w:val="002B5C06"/>
    <w:rsid w:val="002B5CF1"/>
    <w:rsid w:val="002B5DD1"/>
    <w:rsid w:val="002B5DE2"/>
    <w:rsid w:val="002B5E61"/>
    <w:rsid w:val="002B63FE"/>
    <w:rsid w:val="002B6473"/>
    <w:rsid w:val="002B64E7"/>
    <w:rsid w:val="002B6564"/>
    <w:rsid w:val="002B6786"/>
    <w:rsid w:val="002B6AF5"/>
    <w:rsid w:val="002B6BCF"/>
    <w:rsid w:val="002B6C57"/>
    <w:rsid w:val="002B6D9B"/>
    <w:rsid w:val="002B6DBB"/>
    <w:rsid w:val="002B6F45"/>
    <w:rsid w:val="002B721E"/>
    <w:rsid w:val="002B73C0"/>
    <w:rsid w:val="002B759E"/>
    <w:rsid w:val="002B77EA"/>
    <w:rsid w:val="002B77F2"/>
    <w:rsid w:val="002B792F"/>
    <w:rsid w:val="002B7A79"/>
    <w:rsid w:val="002B7E80"/>
    <w:rsid w:val="002B7E9D"/>
    <w:rsid w:val="002B7EC5"/>
    <w:rsid w:val="002C003C"/>
    <w:rsid w:val="002C0049"/>
    <w:rsid w:val="002C008F"/>
    <w:rsid w:val="002C0121"/>
    <w:rsid w:val="002C0146"/>
    <w:rsid w:val="002C01AD"/>
    <w:rsid w:val="002C01EA"/>
    <w:rsid w:val="002C0289"/>
    <w:rsid w:val="002C02EC"/>
    <w:rsid w:val="002C0378"/>
    <w:rsid w:val="002C04AC"/>
    <w:rsid w:val="002C05D7"/>
    <w:rsid w:val="002C07DA"/>
    <w:rsid w:val="002C094E"/>
    <w:rsid w:val="002C0A1A"/>
    <w:rsid w:val="002C0B80"/>
    <w:rsid w:val="002C0D2D"/>
    <w:rsid w:val="002C0E5E"/>
    <w:rsid w:val="002C0EE7"/>
    <w:rsid w:val="002C0EFF"/>
    <w:rsid w:val="002C0FE1"/>
    <w:rsid w:val="002C1014"/>
    <w:rsid w:val="002C10CA"/>
    <w:rsid w:val="002C10FD"/>
    <w:rsid w:val="002C12C4"/>
    <w:rsid w:val="002C12E3"/>
    <w:rsid w:val="002C13E0"/>
    <w:rsid w:val="002C1434"/>
    <w:rsid w:val="002C1450"/>
    <w:rsid w:val="002C1468"/>
    <w:rsid w:val="002C14BD"/>
    <w:rsid w:val="002C14D3"/>
    <w:rsid w:val="002C15E5"/>
    <w:rsid w:val="002C1666"/>
    <w:rsid w:val="002C1744"/>
    <w:rsid w:val="002C17C6"/>
    <w:rsid w:val="002C17F8"/>
    <w:rsid w:val="002C18D5"/>
    <w:rsid w:val="002C1A4A"/>
    <w:rsid w:val="002C1B29"/>
    <w:rsid w:val="002C1B7B"/>
    <w:rsid w:val="002C1CF0"/>
    <w:rsid w:val="002C1E88"/>
    <w:rsid w:val="002C1F17"/>
    <w:rsid w:val="002C1FD6"/>
    <w:rsid w:val="002C2036"/>
    <w:rsid w:val="002C21E8"/>
    <w:rsid w:val="002C2287"/>
    <w:rsid w:val="002C241E"/>
    <w:rsid w:val="002C2492"/>
    <w:rsid w:val="002C24B9"/>
    <w:rsid w:val="002C256C"/>
    <w:rsid w:val="002C261F"/>
    <w:rsid w:val="002C266D"/>
    <w:rsid w:val="002C2761"/>
    <w:rsid w:val="002C27A5"/>
    <w:rsid w:val="002C27F9"/>
    <w:rsid w:val="002C2A6E"/>
    <w:rsid w:val="002C2AF9"/>
    <w:rsid w:val="002C2B5F"/>
    <w:rsid w:val="002C2C3C"/>
    <w:rsid w:val="002C2E38"/>
    <w:rsid w:val="002C2F4A"/>
    <w:rsid w:val="002C2FBE"/>
    <w:rsid w:val="002C309F"/>
    <w:rsid w:val="002C3285"/>
    <w:rsid w:val="002C335F"/>
    <w:rsid w:val="002C33BA"/>
    <w:rsid w:val="002C33BE"/>
    <w:rsid w:val="002C33F6"/>
    <w:rsid w:val="002C35DA"/>
    <w:rsid w:val="002C35E3"/>
    <w:rsid w:val="002C3660"/>
    <w:rsid w:val="002C37BA"/>
    <w:rsid w:val="002C380D"/>
    <w:rsid w:val="002C3A86"/>
    <w:rsid w:val="002C3C1B"/>
    <w:rsid w:val="002C3F29"/>
    <w:rsid w:val="002C40A8"/>
    <w:rsid w:val="002C40E9"/>
    <w:rsid w:val="002C422A"/>
    <w:rsid w:val="002C43AA"/>
    <w:rsid w:val="002C44EF"/>
    <w:rsid w:val="002C4532"/>
    <w:rsid w:val="002C4566"/>
    <w:rsid w:val="002C4660"/>
    <w:rsid w:val="002C4661"/>
    <w:rsid w:val="002C48BB"/>
    <w:rsid w:val="002C48CB"/>
    <w:rsid w:val="002C4917"/>
    <w:rsid w:val="002C4C29"/>
    <w:rsid w:val="002C4ECC"/>
    <w:rsid w:val="002C512F"/>
    <w:rsid w:val="002C5133"/>
    <w:rsid w:val="002C5153"/>
    <w:rsid w:val="002C53C8"/>
    <w:rsid w:val="002C544B"/>
    <w:rsid w:val="002C562F"/>
    <w:rsid w:val="002C5980"/>
    <w:rsid w:val="002C5A0D"/>
    <w:rsid w:val="002C5A10"/>
    <w:rsid w:val="002C5D67"/>
    <w:rsid w:val="002C5FB1"/>
    <w:rsid w:val="002C5FC1"/>
    <w:rsid w:val="002C601C"/>
    <w:rsid w:val="002C61F4"/>
    <w:rsid w:val="002C6415"/>
    <w:rsid w:val="002C64E7"/>
    <w:rsid w:val="002C660B"/>
    <w:rsid w:val="002C6798"/>
    <w:rsid w:val="002C67A2"/>
    <w:rsid w:val="002C67AD"/>
    <w:rsid w:val="002C6817"/>
    <w:rsid w:val="002C68A6"/>
    <w:rsid w:val="002C6BB6"/>
    <w:rsid w:val="002C6C74"/>
    <w:rsid w:val="002C6CC9"/>
    <w:rsid w:val="002C70C5"/>
    <w:rsid w:val="002C735D"/>
    <w:rsid w:val="002C7441"/>
    <w:rsid w:val="002C7486"/>
    <w:rsid w:val="002C749A"/>
    <w:rsid w:val="002C74A7"/>
    <w:rsid w:val="002C75F1"/>
    <w:rsid w:val="002C7666"/>
    <w:rsid w:val="002C776B"/>
    <w:rsid w:val="002C7802"/>
    <w:rsid w:val="002C7950"/>
    <w:rsid w:val="002C79BD"/>
    <w:rsid w:val="002C79F2"/>
    <w:rsid w:val="002C7B71"/>
    <w:rsid w:val="002C7D5D"/>
    <w:rsid w:val="002C7E5C"/>
    <w:rsid w:val="002D00D2"/>
    <w:rsid w:val="002D01D3"/>
    <w:rsid w:val="002D01DF"/>
    <w:rsid w:val="002D0308"/>
    <w:rsid w:val="002D0475"/>
    <w:rsid w:val="002D0491"/>
    <w:rsid w:val="002D04F2"/>
    <w:rsid w:val="002D0546"/>
    <w:rsid w:val="002D0576"/>
    <w:rsid w:val="002D058D"/>
    <w:rsid w:val="002D0685"/>
    <w:rsid w:val="002D075D"/>
    <w:rsid w:val="002D076E"/>
    <w:rsid w:val="002D0883"/>
    <w:rsid w:val="002D08AB"/>
    <w:rsid w:val="002D09F2"/>
    <w:rsid w:val="002D0B46"/>
    <w:rsid w:val="002D0B76"/>
    <w:rsid w:val="002D0BC4"/>
    <w:rsid w:val="002D0BDA"/>
    <w:rsid w:val="002D0BFD"/>
    <w:rsid w:val="002D0C99"/>
    <w:rsid w:val="002D0CDE"/>
    <w:rsid w:val="002D0DC6"/>
    <w:rsid w:val="002D0EDD"/>
    <w:rsid w:val="002D13B0"/>
    <w:rsid w:val="002D1626"/>
    <w:rsid w:val="002D164C"/>
    <w:rsid w:val="002D1917"/>
    <w:rsid w:val="002D192E"/>
    <w:rsid w:val="002D1A24"/>
    <w:rsid w:val="002D1A50"/>
    <w:rsid w:val="002D1C33"/>
    <w:rsid w:val="002D1E54"/>
    <w:rsid w:val="002D1E73"/>
    <w:rsid w:val="002D1F0E"/>
    <w:rsid w:val="002D1FAA"/>
    <w:rsid w:val="002D2147"/>
    <w:rsid w:val="002D2182"/>
    <w:rsid w:val="002D21E6"/>
    <w:rsid w:val="002D2261"/>
    <w:rsid w:val="002D2313"/>
    <w:rsid w:val="002D244E"/>
    <w:rsid w:val="002D245B"/>
    <w:rsid w:val="002D2539"/>
    <w:rsid w:val="002D2691"/>
    <w:rsid w:val="002D26E4"/>
    <w:rsid w:val="002D2742"/>
    <w:rsid w:val="002D282B"/>
    <w:rsid w:val="002D294F"/>
    <w:rsid w:val="002D29AF"/>
    <w:rsid w:val="002D2A0E"/>
    <w:rsid w:val="002D2C02"/>
    <w:rsid w:val="002D2C5E"/>
    <w:rsid w:val="002D2CCD"/>
    <w:rsid w:val="002D2CF9"/>
    <w:rsid w:val="002D2E15"/>
    <w:rsid w:val="002D2E16"/>
    <w:rsid w:val="002D2E1B"/>
    <w:rsid w:val="002D2E78"/>
    <w:rsid w:val="002D2ED9"/>
    <w:rsid w:val="002D3002"/>
    <w:rsid w:val="002D325D"/>
    <w:rsid w:val="002D32A1"/>
    <w:rsid w:val="002D32F0"/>
    <w:rsid w:val="002D334F"/>
    <w:rsid w:val="002D3387"/>
    <w:rsid w:val="002D3442"/>
    <w:rsid w:val="002D355D"/>
    <w:rsid w:val="002D36B7"/>
    <w:rsid w:val="002D3A01"/>
    <w:rsid w:val="002D3A3D"/>
    <w:rsid w:val="002D3B1B"/>
    <w:rsid w:val="002D3C3B"/>
    <w:rsid w:val="002D3C55"/>
    <w:rsid w:val="002D3E6D"/>
    <w:rsid w:val="002D3E84"/>
    <w:rsid w:val="002D3EEA"/>
    <w:rsid w:val="002D3F62"/>
    <w:rsid w:val="002D3FFD"/>
    <w:rsid w:val="002D400D"/>
    <w:rsid w:val="002D413F"/>
    <w:rsid w:val="002D434A"/>
    <w:rsid w:val="002D43E7"/>
    <w:rsid w:val="002D43FF"/>
    <w:rsid w:val="002D4406"/>
    <w:rsid w:val="002D4412"/>
    <w:rsid w:val="002D4458"/>
    <w:rsid w:val="002D4489"/>
    <w:rsid w:val="002D4566"/>
    <w:rsid w:val="002D45C4"/>
    <w:rsid w:val="002D4900"/>
    <w:rsid w:val="002D49B6"/>
    <w:rsid w:val="002D4AFA"/>
    <w:rsid w:val="002D4BA1"/>
    <w:rsid w:val="002D5134"/>
    <w:rsid w:val="002D5387"/>
    <w:rsid w:val="002D54C9"/>
    <w:rsid w:val="002D5571"/>
    <w:rsid w:val="002D5A14"/>
    <w:rsid w:val="002D5A94"/>
    <w:rsid w:val="002D5D63"/>
    <w:rsid w:val="002D5EB9"/>
    <w:rsid w:val="002D6969"/>
    <w:rsid w:val="002D6AA8"/>
    <w:rsid w:val="002D6AE3"/>
    <w:rsid w:val="002D6B9C"/>
    <w:rsid w:val="002D6BFD"/>
    <w:rsid w:val="002D6C4B"/>
    <w:rsid w:val="002D6C69"/>
    <w:rsid w:val="002D6C8A"/>
    <w:rsid w:val="002D6D91"/>
    <w:rsid w:val="002D6DDC"/>
    <w:rsid w:val="002D6E20"/>
    <w:rsid w:val="002D6E47"/>
    <w:rsid w:val="002D6E53"/>
    <w:rsid w:val="002D6E75"/>
    <w:rsid w:val="002D7053"/>
    <w:rsid w:val="002D729D"/>
    <w:rsid w:val="002D749A"/>
    <w:rsid w:val="002D75A6"/>
    <w:rsid w:val="002D75D3"/>
    <w:rsid w:val="002D76A8"/>
    <w:rsid w:val="002D7B03"/>
    <w:rsid w:val="002D7B22"/>
    <w:rsid w:val="002D7B76"/>
    <w:rsid w:val="002D7CBF"/>
    <w:rsid w:val="002D7D16"/>
    <w:rsid w:val="002D7D57"/>
    <w:rsid w:val="002D7D94"/>
    <w:rsid w:val="002D7E0D"/>
    <w:rsid w:val="002E00BA"/>
    <w:rsid w:val="002E0147"/>
    <w:rsid w:val="002E0182"/>
    <w:rsid w:val="002E0302"/>
    <w:rsid w:val="002E0478"/>
    <w:rsid w:val="002E0578"/>
    <w:rsid w:val="002E061D"/>
    <w:rsid w:val="002E065F"/>
    <w:rsid w:val="002E0A63"/>
    <w:rsid w:val="002E0C71"/>
    <w:rsid w:val="002E0CB2"/>
    <w:rsid w:val="002E0CFC"/>
    <w:rsid w:val="002E0DDF"/>
    <w:rsid w:val="002E0E42"/>
    <w:rsid w:val="002E0F0A"/>
    <w:rsid w:val="002E1058"/>
    <w:rsid w:val="002E10CC"/>
    <w:rsid w:val="002E13C7"/>
    <w:rsid w:val="002E1517"/>
    <w:rsid w:val="002E1CFD"/>
    <w:rsid w:val="002E1D0A"/>
    <w:rsid w:val="002E1D96"/>
    <w:rsid w:val="002E1DB9"/>
    <w:rsid w:val="002E1F15"/>
    <w:rsid w:val="002E1F1A"/>
    <w:rsid w:val="002E20D8"/>
    <w:rsid w:val="002E2132"/>
    <w:rsid w:val="002E2248"/>
    <w:rsid w:val="002E22C1"/>
    <w:rsid w:val="002E2384"/>
    <w:rsid w:val="002E23EE"/>
    <w:rsid w:val="002E25E6"/>
    <w:rsid w:val="002E26ED"/>
    <w:rsid w:val="002E273D"/>
    <w:rsid w:val="002E2BB1"/>
    <w:rsid w:val="002E2C29"/>
    <w:rsid w:val="002E2DA8"/>
    <w:rsid w:val="002E2F0D"/>
    <w:rsid w:val="002E2F26"/>
    <w:rsid w:val="002E2FC0"/>
    <w:rsid w:val="002E301E"/>
    <w:rsid w:val="002E319B"/>
    <w:rsid w:val="002E3269"/>
    <w:rsid w:val="002E32FC"/>
    <w:rsid w:val="002E3484"/>
    <w:rsid w:val="002E34AB"/>
    <w:rsid w:val="002E35EA"/>
    <w:rsid w:val="002E3606"/>
    <w:rsid w:val="002E3628"/>
    <w:rsid w:val="002E36AF"/>
    <w:rsid w:val="002E37F3"/>
    <w:rsid w:val="002E39A7"/>
    <w:rsid w:val="002E39FE"/>
    <w:rsid w:val="002E3A3A"/>
    <w:rsid w:val="002E3B57"/>
    <w:rsid w:val="002E3B6D"/>
    <w:rsid w:val="002E3B87"/>
    <w:rsid w:val="002E3BD0"/>
    <w:rsid w:val="002E3C7D"/>
    <w:rsid w:val="002E3C81"/>
    <w:rsid w:val="002E3D2B"/>
    <w:rsid w:val="002E3D66"/>
    <w:rsid w:val="002E3F65"/>
    <w:rsid w:val="002E4089"/>
    <w:rsid w:val="002E42CA"/>
    <w:rsid w:val="002E451B"/>
    <w:rsid w:val="002E4568"/>
    <w:rsid w:val="002E4778"/>
    <w:rsid w:val="002E48D1"/>
    <w:rsid w:val="002E4A3E"/>
    <w:rsid w:val="002E4A7B"/>
    <w:rsid w:val="002E4AB1"/>
    <w:rsid w:val="002E4BDE"/>
    <w:rsid w:val="002E4C2F"/>
    <w:rsid w:val="002E4CBA"/>
    <w:rsid w:val="002E4DBA"/>
    <w:rsid w:val="002E4EB6"/>
    <w:rsid w:val="002E4EE6"/>
    <w:rsid w:val="002E4F5F"/>
    <w:rsid w:val="002E4F9B"/>
    <w:rsid w:val="002E4FB7"/>
    <w:rsid w:val="002E504E"/>
    <w:rsid w:val="002E510C"/>
    <w:rsid w:val="002E5385"/>
    <w:rsid w:val="002E5420"/>
    <w:rsid w:val="002E5480"/>
    <w:rsid w:val="002E54D9"/>
    <w:rsid w:val="002E5547"/>
    <w:rsid w:val="002E5596"/>
    <w:rsid w:val="002E5685"/>
    <w:rsid w:val="002E587C"/>
    <w:rsid w:val="002E58CF"/>
    <w:rsid w:val="002E5B09"/>
    <w:rsid w:val="002E5B88"/>
    <w:rsid w:val="002E5BB4"/>
    <w:rsid w:val="002E5F59"/>
    <w:rsid w:val="002E5F5F"/>
    <w:rsid w:val="002E5F63"/>
    <w:rsid w:val="002E60AF"/>
    <w:rsid w:val="002E613D"/>
    <w:rsid w:val="002E6146"/>
    <w:rsid w:val="002E616F"/>
    <w:rsid w:val="002E6180"/>
    <w:rsid w:val="002E61C5"/>
    <w:rsid w:val="002E6522"/>
    <w:rsid w:val="002E6570"/>
    <w:rsid w:val="002E65CE"/>
    <w:rsid w:val="002E6703"/>
    <w:rsid w:val="002E6806"/>
    <w:rsid w:val="002E6888"/>
    <w:rsid w:val="002E68A1"/>
    <w:rsid w:val="002E68F5"/>
    <w:rsid w:val="002E69A2"/>
    <w:rsid w:val="002E6EA1"/>
    <w:rsid w:val="002E6F17"/>
    <w:rsid w:val="002E726F"/>
    <w:rsid w:val="002E7317"/>
    <w:rsid w:val="002E73CB"/>
    <w:rsid w:val="002E73F5"/>
    <w:rsid w:val="002E742D"/>
    <w:rsid w:val="002E7498"/>
    <w:rsid w:val="002E75FF"/>
    <w:rsid w:val="002E77AE"/>
    <w:rsid w:val="002E7990"/>
    <w:rsid w:val="002E79B1"/>
    <w:rsid w:val="002E7A5E"/>
    <w:rsid w:val="002E7A84"/>
    <w:rsid w:val="002E7B6D"/>
    <w:rsid w:val="002E7B76"/>
    <w:rsid w:val="002E7E01"/>
    <w:rsid w:val="002E7FEC"/>
    <w:rsid w:val="002F020E"/>
    <w:rsid w:val="002F03AC"/>
    <w:rsid w:val="002F047A"/>
    <w:rsid w:val="002F04CA"/>
    <w:rsid w:val="002F05C2"/>
    <w:rsid w:val="002F063A"/>
    <w:rsid w:val="002F068B"/>
    <w:rsid w:val="002F0701"/>
    <w:rsid w:val="002F07B7"/>
    <w:rsid w:val="002F0981"/>
    <w:rsid w:val="002F09EF"/>
    <w:rsid w:val="002F0BB9"/>
    <w:rsid w:val="002F0EC3"/>
    <w:rsid w:val="002F0F03"/>
    <w:rsid w:val="002F0F36"/>
    <w:rsid w:val="002F0F7F"/>
    <w:rsid w:val="002F110C"/>
    <w:rsid w:val="002F126E"/>
    <w:rsid w:val="002F1341"/>
    <w:rsid w:val="002F14F4"/>
    <w:rsid w:val="002F165B"/>
    <w:rsid w:val="002F16BE"/>
    <w:rsid w:val="002F16EA"/>
    <w:rsid w:val="002F1781"/>
    <w:rsid w:val="002F1851"/>
    <w:rsid w:val="002F191B"/>
    <w:rsid w:val="002F1A3E"/>
    <w:rsid w:val="002F1CEB"/>
    <w:rsid w:val="002F1EF2"/>
    <w:rsid w:val="002F1F1A"/>
    <w:rsid w:val="002F1F5E"/>
    <w:rsid w:val="002F1FD1"/>
    <w:rsid w:val="002F20DC"/>
    <w:rsid w:val="002F219D"/>
    <w:rsid w:val="002F221F"/>
    <w:rsid w:val="002F2333"/>
    <w:rsid w:val="002F2739"/>
    <w:rsid w:val="002F273B"/>
    <w:rsid w:val="002F298B"/>
    <w:rsid w:val="002F2A68"/>
    <w:rsid w:val="002F2C11"/>
    <w:rsid w:val="002F2F35"/>
    <w:rsid w:val="002F2F37"/>
    <w:rsid w:val="002F300D"/>
    <w:rsid w:val="002F309A"/>
    <w:rsid w:val="002F30FC"/>
    <w:rsid w:val="002F313F"/>
    <w:rsid w:val="002F3163"/>
    <w:rsid w:val="002F3300"/>
    <w:rsid w:val="002F333C"/>
    <w:rsid w:val="002F3389"/>
    <w:rsid w:val="002F3450"/>
    <w:rsid w:val="002F3571"/>
    <w:rsid w:val="002F3581"/>
    <w:rsid w:val="002F35B1"/>
    <w:rsid w:val="002F35C8"/>
    <w:rsid w:val="002F363B"/>
    <w:rsid w:val="002F3660"/>
    <w:rsid w:val="002F3848"/>
    <w:rsid w:val="002F3C27"/>
    <w:rsid w:val="002F3C50"/>
    <w:rsid w:val="002F3CAE"/>
    <w:rsid w:val="002F3D0F"/>
    <w:rsid w:val="002F3F47"/>
    <w:rsid w:val="002F3F5C"/>
    <w:rsid w:val="002F410C"/>
    <w:rsid w:val="002F4212"/>
    <w:rsid w:val="002F42EE"/>
    <w:rsid w:val="002F4356"/>
    <w:rsid w:val="002F449D"/>
    <w:rsid w:val="002F4898"/>
    <w:rsid w:val="002F4918"/>
    <w:rsid w:val="002F4970"/>
    <w:rsid w:val="002F4AB2"/>
    <w:rsid w:val="002F4DE0"/>
    <w:rsid w:val="002F4F94"/>
    <w:rsid w:val="002F51B8"/>
    <w:rsid w:val="002F5210"/>
    <w:rsid w:val="002F530B"/>
    <w:rsid w:val="002F55F3"/>
    <w:rsid w:val="002F55FA"/>
    <w:rsid w:val="002F56A2"/>
    <w:rsid w:val="002F577B"/>
    <w:rsid w:val="002F5865"/>
    <w:rsid w:val="002F59E9"/>
    <w:rsid w:val="002F5AC8"/>
    <w:rsid w:val="002F5BA8"/>
    <w:rsid w:val="002F5C7F"/>
    <w:rsid w:val="002F5D28"/>
    <w:rsid w:val="002F5EED"/>
    <w:rsid w:val="002F5F67"/>
    <w:rsid w:val="002F607E"/>
    <w:rsid w:val="002F6138"/>
    <w:rsid w:val="002F629D"/>
    <w:rsid w:val="002F6397"/>
    <w:rsid w:val="002F6811"/>
    <w:rsid w:val="002F6822"/>
    <w:rsid w:val="002F6964"/>
    <w:rsid w:val="002F6A7B"/>
    <w:rsid w:val="002F6ADA"/>
    <w:rsid w:val="002F6D03"/>
    <w:rsid w:val="002F6E76"/>
    <w:rsid w:val="002F703C"/>
    <w:rsid w:val="002F706D"/>
    <w:rsid w:val="002F7080"/>
    <w:rsid w:val="002F713A"/>
    <w:rsid w:val="002F7140"/>
    <w:rsid w:val="002F71D2"/>
    <w:rsid w:val="002F733F"/>
    <w:rsid w:val="002F795F"/>
    <w:rsid w:val="002F7A55"/>
    <w:rsid w:val="002F7A82"/>
    <w:rsid w:val="002F7A86"/>
    <w:rsid w:val="002F7ABF"/>
    <w:rsid w:val="002F7AD2"/>
    <w:rsid w:val="002F7B5A"/>
    <w:rsid w:val="002F7BC4"/>
    <w:rsid w:val="002F7BEA"/>
    <w:rsid w:val="002F7C2E"/>
    <w:rsid w:val="002F7C58"/>
    <w:rsid w:val="002F7C90"/>
    <w:rsid w:val="002F7D8E"/>
    <w:rsid w:val="002F7E80"/>
    <w:rsid w:val="002F7F11"/>
    <w:rsid w:val="00300071"/>
    <w:rsid w:val="00300139"/>
    <w:rsid w:val="0030018F"/>
    <w:rsid w:val="0030029F"/>
    <w:rsid w:val="00300334"/>
    <w:rsid w:val="00300492"/>
    <w:rsid w:val="00300534"/>
    <w:rsid w:val="00300848"/>
    <w:rsid w:val="00300861"/>
    <w:rsid w:val="0030089A"/>
    <w:rsid w:val="00300A31"/>
    <w:rsid w:val="00300A81"/>
    <w:rsid w:val="00300AD8"/>
    <w:rsid w:val="00300B5B"/>
    <w:rsid w:val="00300C0B"/>
    <w:rsid w:val="00300D19"/>
    <w:rsid w:val="00300D44"/>
    <w:rsid w:val="00300F16"/>
    <w:rsid w:val="00300FBF"/>
    <w:rsid w:val="00301070"/>
    <w:rsid w:val="00301134"/>
    <w:rsid w:val="003012D1"/>
    <w:rsid w:val="0030130A"/>
    <w:rsid w:val="00301640"/>
    <w:rsid w:val="003017A0"/>
    <w:rsid w:val="003017A2"/>
    <w:rsid w:val="00301843"/>
    <w:rsid w:val="00301A84"/>
    <w:rsid w:val="00301C5F"/>
    <w:rsid w:val="00301C83"/>
    <w:rsid w:val="00301D31"/>
    <w:rsid w:val="00301E38"/>
    <w:rsid w:val="00301FCC"/>
    <w:rsid w:val="00301FEA"/>
    <w:rsid w:val="0030207E"/>
    <w:rsid w:val="003022DC"/>
    <w:rsid w:val="0030235D"/>
    <w:rsid w:val="0030236B"/>
    <w:rsid w:val="003023D1"/>
    <w:rsid w:val="003023F7"/>
    <w:rsid w:val="00302426"/>
    <w:rsid w:val="0030243E"/>
    <w:rsid w:val="0030248A"/>
    <w:rsid w:val="003024F7"/>
    <w:rsid w:val="00302593"/>
    <w:rsid w:val="003025B8"/>
    <w:rsid w:val="00302632"/>
    <w:rsid w:val="003026C3"/>
    <w:rsid w:val="003026CE"/>
    <w:rsid w:val="00302747"/>
    <w:rsid w:val="003028A7"/>
    <w:rsid w:val="003029DF"/>
    <w:rsid w:val="00302B43"/>
    <w:rsid w:val="00302C21"/>
    <w:rsid w:val="00302CA4"/>
    <w:rsid w:val="00302CB0"/>
    <w:rsid w:val="00302D28"/>
    <w:rsid w:val="00302D7A"/>
    <w:rsid w:val="00302FA7"/>
    <w:rsid w:val="00303037"/>
    <w:rsid w:val="00303057"/>
    <w:rsid w:val="003031EB"/>
    <w:rsid w:val="00303497"/>
    <w:rsid w:val="003034DA"/>
    <w:rsid w:val="003035A7"/>
    <w:rsid w:val="003035CA"/>
    <w:rsid w:val="003035F1"/>
    <w:rsid w:val="003037AB"/>
    <w:rsid w:val="00303895"/>
    <w:rsid w:val="00303A90"/>
    <w:rsid w:val="00303C83"/>
    <w:rsid w:val="00303F24"/>
    <w:rsid w:val="00303F3D"/>
    <w:rsid w:val="00303F98"/>
    <w:rsid w:val="00303F9B"/>
    <w:rsid w:val="003040BE"/>
    <w:rsid w:val="0030411B"/>
    <w:rsid w:val="0030429F"/>
    <w:rsid w:val="00304343"/>
    <w:rsid w:val="00304575"/>
    <w:rsid w:val="003045D5"/>
    <w:rsid w:val="00304770"/>
    <w:rsid w:val="003049EE"/>
    <w:rsid w:val="00304A9D"/>
    <w:rsid w:val="00304BEB"/>
    <w:rsid w:val="00304C70"/>
    <w:rsid w:val="00304CE2"/>
    <w:rsid w:val="00304E13"/>
    <w:rsid w:val="00304E53"/>
    <w:rsid w:val="00304FF8"/>
    <w:rsid w:val="003050FE"/>
    <w:rsid w:val="0030520F"/>
    <w:rsid w:val="00305268"/>
    <w:rsid w:val="003052BE"/>
    <w:rsid w:val="003052E2"/>
    <w:rsid w:val="0030564E"/>
    <w:rsid w:val="003057AB"/>
    <w:rsid w:val="003058F5"/>
    <w:rsid w:val="003059B1"/>
    <w:rsid w:val="00305BEB"/>
    <w:rsid w:val="00305CD5"/>
    <w:rsid w:val="00305E62"/>
    <w:rsid w:val="00305EFC"/>
    <w:rsid w:val="00306010"/>
    <w:rsid w:val="00306061"/>
    <w:rsid w:val="00306256"/>
    <w:rsid w:val="003063C4"/>
    <w:rsid w:val="003066E0"/>
    <w:rsid w:val="0030676F"/>
    <w:rsid w:val="00306802"/>
    <w:rsid w:val="00306978"/>
    <w:rsid w:val="00306EC9"/>
    <w:rsid w:val="00306F74"/>
    <w:rsid w:val="00306FAB"/>
    <w:rsid w:val="0030725B"/>
    <w:rsid w:val="00307399"/>
    <w:rsid w:val="003073E0"/>
    <w:rsid w:val="003074EF"/>
    <w:rsid w:val="0030752B"/>
    <w:rsid w:val="003076B5"/>
    <w:rsid w:val="003079A5"/>
    <w:rsid w:val="00307A6A"/>
    <w:rsid w:val="00307AD6"/>
    <w:rsid w:val="00307BB3"/>
    <w:rsid w:val="00307CC3"/>
    <w:rsid w:val="00307E6E"/>
    <w:rsid w:val="00307ED0"/>
    <w:rsid w:val="00307F67"/>
    <w:rsid w:val="00307FCC"/>
    <w:rsid w:val="00310063"/>
    <w:rsid w:val="00310343"/>
    <w:rsid w:val="0031034E"/>
    <w:rsid w:val="003104BB"/>
    <w:rsid w:val="003104E6"/>
    <w:rsid w:val="003104E9"/>
    <w:rsid w:val="0031051E"/>
    <w:rsid w:val="0031052A"/>
    <w:rsid w:val="00310566"/>
    <w:rsid w:val="0031068A"/>
    <w:rsid w:val="003108BA"/>
    <w:rsid w:val="003108F1"/>
    <w:rsid w:val="00310920"/>
    <w:rsid w:val="00310957"/>
    <w:rsid w:val="00310A41"/>
    <w:rsid w:val="00310C3C"/>
    <w:rsid w:val="00310C8E"/>
    <w:rsid w:val="00310D52"/>
    <w:rsid w:val="00310E7F"/>
    <w:rsid w:val="003111BC"/>
    <w:rsid w:val="00311234"/>
    <w:rsid w:val="003114F1"/>
    <w:rsid w:val="0031153B"/>
    <w:rsid w:val="00311584"/>
    <w:rsid w:val="00311981"/>
    <w:rsid w:val="00311B3E"/>
    <w:rsid w:val="00311C00"/>
    <w:rsid w:val="00311C28"/>
    <w:rsid w:val="00311CBC"/>
    <w:rsid w:val="00311D70"/>
    <w:rsid w:val="00311E4D"/>
    <w:rsid w:val="00311ED7"/>
    <w:rsid w:val="00312014"/>
    <w:rsid w:val="00312049"/>
    <w:rsid w:val="00312165"/>
    <w:rsid w:val="00312178"/>
    <w:rsid w:val="0031235B"/>
    <w:rsid w:val="00312676"/>
    <w:rsid w:val="0031269F"/>
    <w:rsid w:val="00312704"/>
    <w:rsid w:val="00312900"/>
    <w:rsid w:val="0031297B"/>
    <w:rsid w:val="00312A55"/>
    <w:rsid w:val="00312A63"/>
    <w:rsid w:val="00312B77"/>
    <w:rsid w:val="00312BAF"/>
    <w:rsid w:val="00312BDC"/>
    <w:rsid w:val="00312D41"/>
    <w:rsid w:val="00312D72"/>
    <w:rsid w:val="00313029"/>
    <w:rsid w:val="003130E7"/>
    <w:rsid w:val="003131AF"/>
    <w:rsid w:val="00313226"/>
    <w:rsid w:val="00313246"/>
    <w:rsid w:val="00313428"/>
    <w:rsid w:val="003134C7"/>
    <w:rsid w:val="003134F7"/>
    <w:rsid w:val="003136E0"/>
    <w:rsid w:val="00313BD4"/>
    <w:rsid w:val="00313BEC"/>
    <w:rsid w:val="00313C76"/>
    <w:rsid w:val="00313D5A"/>
    <w:rsid w:val="00313D75"/>
    <w:rsid w:val="00313E0E"/>
    <w:rsid w:val="003140BA"/>
    <w:rsid w:val="00314368"/>
    <w:rsid w:val="003144BC"/>
    <w:rsid w:val="0031461E"/>
    <w:rsid w:val="00314727"/>
    <w:rsid w:val="00314760"/>
    <w:rsid w:val="003147DC"/>
    <w:rsid w:val="00314889"/>
    <w:rsid w:val="003148D2"/>
    <w:rsid w:val="003149D2"/>
    <w:rsid w:val="00314A0A"/>
    <w:rsid w:val="00314A34"/>
    <w:rsid w:val="00314B16"/>
    <w:rsid w:val="00314C00"/>
    <w:rsid w:val="00314CB7"/>
    <w:rsid w:val="0031530D"/>
    <w:rsid w:val="003154F8"/>
    <w:rsid w:val="00315503"/>
    <w:rsid w:val="0031553C"/>
    <w:rsid w:val="0031582B"/>
    <w:rsid w:val="003158AE"/>
    <w:rsid w:val="00315904"/>
    <w:rsid w:val="003159C9"/>
    <w:rsid w:val="00315B51"/>
    <w:rsid w:val="00315C6D"/>
    <w:rsid w:val="00315CFD"/>
    <w:rsid w:val="00315E1B"/>
    <w:rsid w:val="0031606D"/>
    <w:rsid w:val="003161EB"/>
    <w:rsid w:val="00316252"/>
    <w:rsid w:val="003162D6"/>
    <w:rsid w:val="00316352"/>
    <w:rsid w:val="003163D6"/>
    <w:rsid w:val="003165B7"/>
    <w:rsid w:val="003165E5"/>
    <w:rsid w:val="0031665C"/>
    <w:rsid w:val="003167CB"/>
    <w:rsid w:val="00316804"/>
    <w:rsid w:val="00316A62"/>
    <w:rsid w:val="00316A65"/>
    <w:rsid w:val="00316B50"/>
    <w:rsid w:val="00316B67"/>
    <w:rsid w:val="00316E0D"/>
    <w:rsid w:val="0031703F"/>
    <w:rsid w:val="003171CE"/>
    <w:rsid w:val="00317341"/>
    <w:rsid w:val="0031739C"/>
    <w:rsid w:val="00317522"/>
    <w:rsid w:val="003175E8"/>
    <w:rsid w:val="00317611"/>
    <w:rsid w:val="0031764C"/>
    <w:rsid w:val="003176CC"/>
    <w:rsid w:val="00317729"/>
    <w:rsid w:val="00317730"/>
    <w:rsid w:val="0031784D"/>
    <w:rsid w:val="0031794C"/>
    <w:rsid w:val="003179AB"/>
    <w:rsid w:val="00317A60"/>
    <w:rsid w:val="00317A74"/>
    <w:rsid w:val="00317A9F"/>
    <w:rsid w:val="00317B74"/>
    <w:rsid w:val="00317BBE"/>
    <w:rsid w:val="00317BC5"/>
    <w:rsid w:val="00317D8A"/>
    <w:rsid w:val="00317DB6"/>
    <w:rsid w:val="00317DB7"/>
    <w:rsid w:val="00317F03"/>
    <w:rsid w:val="00317FE4"/>
    <w:rsid w:val="0032028F"/>
    <w:rsid w:val="003202CD"/>
    <w:rsid w:val="003202D9"/>
    <w:rsid w:val="00320478"/>
    <w:rsid w:val="00320546"/>
    <w:rsid w:val="0032078A"/>
    <w:rsid w:val="00320875"/>
    <w:rsid w:val="003208CF"/>
    <w:rsid w:val="003209C8"/>
    <w:rsid w:val="00320C29"/>
    <w:rsid w:val="00320C88"/>
    <w:rsid w:val="00320E2F"/>
    <w:rsid w:val="00320EB5"/>
    <w:rsid w:val="00321164"/>
    <w:rsid w:val="00321413"/>
    <w:rsid w:val="0032144A"/>
    <w:rsid w:val="00321486"/>
    <w:rsid w:val="0032148B"/>
    <w:rsid w:val="00321546"/>
    <w:rsid w:val="0032156D"/>
    <w:rsid w:val="00321580"/>
    <w:rsid w:val="003215C4"/>
    <w:rsid w:val="00321630"/>
    <w:rsid w:val="0032175B"/>
    <w:rsid w:val="00321B2A"/>
    <w:rsid w:val="00321B8A"/>
    <w:rsid w:val="00321BFE"/>
    <w:rsid w:val="00321D40"/>
    <w:rsid w:val="00321E02"/>
    <w:rsid w:val="00321FFB"/>
    <w:rsid w:val="00322071"/>
    <w:rsid w:val="00322082"/>
    <w:rsid w:val="003221E2"/>
    <w:rsid w:val="0032227B"/>
    <w:rsid w:val="003223F5"/>
    <w:rsid w:val="003224C0"/>
    <w:rsid w:val="003224CC"/>
    <w:rsid w:val="003224F4"/>
    <w:rsid w:val="003225AC"/>
    <w:rsid w:val="003226F2"/>
    <w:rsid w:val="00322714"/>
    <w:rsid w:val="00322779"/>
    <w:rsid w:val="00322828"/>
    <w:rsid w:val="00322967"/>
    <w:rsid w:val="00322A07"/>
    <w:rsid w:val="00322CD9"/>
    <w:rsid w:val="00322D1D"/>
    <w:rsid w:val="00322DC2"/>
    <w:rsid w:val="00323012"/>
    <w:rsid w:val="00323356"/>
    <w:rsid w:val="00323454"/>
    <w:rsid w:val="003235D7"/>
    <w:rsid w:val="0032373C"/>
    <w:rsid w:val="0032386A"/>
    <w:rsid w:val="003239C3"/>
    <w:rsid w:val="00323A2B"/>
    <w:rsid w:val="00323C0C"/>
    <w:rsid w:val="00323CF3"/>
    <w:rsid w:val="00323D4A"/>
    <w:rsid w:val="00323D76"/>
    <w:rsid w:val="00323E1F"/>
    <w:rsid w:val="00323E27"/>
    <w:rsid w:val="00323E66"/>
    <w:rsid w:val="00323E83"/>
    <w:rsid w:val="00323EE1"/>
    <w:rsid w:val="003241A5"/>
    <w:rsid w:val="003241DF"/>
    <w:rsid w:val="003243F7"/>
    <w:rsid w:val="0032456D"/>
    <w:rsid w:val="003245AF"/>
    <w:rsid w:val="00324606"/>
    <w:rsid w:val="003247AC"/>
    <w:rsid w:val="00324846"/>
    <w:rsid w:val="003248D9"/>
    <w:rsid w:val="00324AB9"/>
    <w:rsid w:val="00324ACD"/>
    <w:rsid w:val="00324BAF"/>
    <w:rsid w:val="00324C82"/>
    <w:rsid w:val="00324D1D"/>
    <w:rsid w:val="00324DEB"/>
    <w:rsid w:val="00324F8E"/>
    <w:rsid w:val="00324FB0"/>
    <w:rsid w:val="00325044"/>
    <w:rsid w:val="003252BB"/>
    <w:rsid w:val="0032542D"/>
    <w:rsid w:val="00325485"/>
    <w:rsid w:val="0032548E"/>
    <w:rsid w:val="0032574E"/>
    <w:rsid w:val="003258EE"/>
    <w:rsid w:val="00325918"/>
    <w:rsid w:val="00325AEA"/>
    <w:rsid w:val="00325CCE"/>
    <w:rsid w:val="00325ED6"/>
    <w:rsid w:val="00325F2B"/>
    <w:rsid w:val="00325FC9"/>
    <w:rsid w:val="0032601F"/>
    <w:rsid w:val="00326076"/>
    <w:rsid w:val="003264A6"/>
    <w:rsid w:val="003264BA"/>
    <w:rsid w:val="0032659E"/>
    <w:rsid w:val="0032663C"/>
    <w:rsid w:val="003268B4"/>
    <w:rsid w:val="00326900"/>
    <w:rsid w:val="003269F5"/>
    <w:rsid w:val="00326A5A"/>
    <w:rsid w:val="00326A84"/>
    <w:rsid w:val="00326B5E"/>
    <w:rsid w:val="00326BB0"/>
    <w:rsid w:val="00326DB5"/>
    <w:rsid w:val="00326F3F"/>
    <w:rsid w:val="00327015"/>
    <w:rsid w:val="00327508"/>
    <w:rsid w:val="003275BC"/>
    <w:rsid w:val="0032761D"/>
    <w:rsid w:val="00327711"/>
    <w:rsid w:val="00327817"/>
    <w:rsid w:val="003279CB"/>
    <w:rsid w:val="00327C47"/>
    <w:rsid w:val="00327C54"/>
    <w:rsid w:val="00327D35"/>
    <w:rsid w:val="00327D71"/>
    <w:rsid w:val="00327D9E"/>
    <w:rsid w:val="00327DCF"/>
    <w:rsid w:val="00327E3C"/>
    <w:rsid w:val="00327F0D"/>
    <w:rsid w:val="00330093"/>
    <w:rsid w:val="003300C2"/>
    <w:rsid w:val="003300CB"/>
    <w:rsid w:val="0033028B"/>
    <w:rsid w:val="00330315"/>
    <w:rsid w:val="0033033D"/>
    <w:rsid w:val="003303A7"/>
    <w:rsid w:val="003307C8"/>
    <w:rsid w:val="00330926"/>
    <w:rsid w:val="00330BA5"/>
    <w:rsid w:val="00330BDB"/>
    <w:rsid w:val="00330BEB"/>
    <w:rsid w:val="00330D76"/>
    <w:rsid w:val="00331250"/>
    <w:rsid w:val="0033146A"/>
    <w:rsid w:val="003316F3"/>
    <w:rsid w:val="00331938"/>
    <w:rsid w:val="00331990"/>
    <w:rsid w:val="00331C0A"/>
    <w:rsid w:val="00331C81"/>
    <w:rsid w:val="00331DAF"/>
    <w:rsid w:val="00331DBC"/>
    <w:rsid w:val="00331EE2"/>
    <w:rsid w:val="00331FA6"/>
    <w:rsid w:val="00332039"/>
    <w:rsid w:val="003320B7"/>
    <w:rsid w:val="00332134"/>
    <w:rsid w:val="0033214F"/>
    <w:rsid w:val="0033219D"/>
    <w:rsid w:val="003322B4"/>
    <w:rsid w:val="00332307"/>
    <w:rsid w:val="00332328"/>
    <w:rsid w:val="0033241C"/>
    <w:rsid w:val="00332572"/>
    <w:rsid w:val="00332648"/>
    <w:rsid w:val="003327C7"/>
    <w:rsid w:val="00332826"/>
    <w:rsid w:val="00332A87"/>
    <w:rsid w:val="00332B00"/>
    <w:rsid w:val="00332B30"/>
    <w:rsid w:val="00332B5E"/>
    <w:rsid w:val="00332BED"/>
    <w:rsid w:val="00332C78"/>
    <w:rsid w:val="00332E82"/>
    <w:rsid w:val="00333385"/>
    <w:rsid w:val="003334D6"/>
    <w:rsid w:val="003335E4"/>
    <w:rsid w:val="003336BE"/>
    <w:rsid w:val="00333764"/>
    <w:rsid w:val="003339A2"/>
    <w:rsid w:val="003339E3"/>
    <w:rsid w:val="00333A20"/>
    <w:rsid w:val="00333A5D"/>
    <w:rsid w:val="00333B1E"/>
    <w:rsid w:val="00333BF6"/>
    <w:rsid w:val="00333C83"/>
    <w:rsid w:val="00333C8B"/>
    <w:rsid w:val="00333D93"/>
    <w:rsid w:val="003341E2"/>
    <w:rsid w:val="0033438A"/>
    <w:rsid w:val="00334431"/>
    <w:rsid w:val="00334462"/>
    <w:rsid w:val="003345CB"/>
    <w:rsid w:val="003345EB"/>
    <w:rsid w:val="0033466A"/>
    <w:rsid w:val="00334725"/>
    <w:rsid w:val="003347EF"/>
    <w:rsid w:val="0033484A"/>
    <w:rsid w:val="00334978"/>
    <w:rsid w:val="00334C06"/>
    <w:rsid w:val="00334D5E"/>
    <w:rsid w:val="00334DE2"/>
    <w:rsid w:val="00334E3A"/>
    <w:rsid w:val="00334E6F"/>
    <w:rsid w:val="00334F5B"/>
    <w:rsid w:val="00334FE3"/>
    <w:rsid w:val="0033506D"/>
    <w:rsid w:val="00335384"/>
    <w:rsid w:val="00335423"/>
    <w:rsid w:val="00335461"/>
    <w:rsid w:val="0033560F"/>
    <w:rsid w:val="0033565F"/>
    <w:rsid w:val="00335692"/>
    <w:rsid w:val="003358BE"/>
    <w:rsid w:val="0033592E"/>
    <w:rsid w:val="00335B3E"/>
    <w:rsid w:val="00335CBE"/>
    <w:rsid w:val="00335CE9"/>
    <w:rsid w:val="00335F00"/>
    <w:rsid w:val="00335F45"/>
    <w:rsid w:val="00336061"/>
    <w:rsid w:val="00336222"/>
    <w:rsid w:val="00336360"/>
    <w:rsid w:val="00336672"/>
    <w:rsid w:val="0033674E"/>
    <w:rsid w:val="003368E8"/>
    <w:rsid w:val="003369C1"/>
    <w:rsid w:val="00336B9F"/>
    <w:rsid w:val="00336C41"/>
    <w:rsid w:val="00336C6F"/>
    <w:rsid w:val="00336E5B"/>
    <w:rsid w:val="00336E93"/>
    <w:rsid w:val="00336F3A"/>
    <w:rsid w:val="00337035"/>
    <w:rsid w:val="00337177"/>
    <w:rsid w:val="003373B8"/>
    <w:rsid w:val="003373F6"/>
    <w:rsid w:val="0033743A"/>
    <w:rsid w:val="003374BF"/>
    <w:rsid w:val="0033794A"/>
    <w:rsid w:val="00337AAE"/>
    <w:rsid w:val="00337B13"/>
    <w:rsid w:val="00337B38"/>
    <w:rsid w:val="00337C26"/>
    <w:rsid w:val="00337D15"/>
    <w:rsid w:val="00337D69"/>
    <w:rsid w:val="00337E9B"/>
    <w:rsid w:val="00337FA1"/>
    <w:rsid w:val="00337FE4"/>
    <w:rsid w:val="003404F2"/>
    <w:rsid w:val="00340507"/>
    <w:rsid w:val="00340644"/>
    <w:rsid w:val="003406A6"/>
    <w:rsid w:val="003406F4"/>
    <w:rsid w:val="0034072C"/>
    <w:rsid w:val="003407A7"/>
    <w:rsid w:val="003407C6"/>
    <w:rsid w:val="00340973"/>
    <w:rsid w:val="003409D2"/>
    <w:rsid w:val="00340B5B"/>
    <w:rsid w:val="00340D3F"/>
    <w:rsid w:val="00340D7B"/>
    <w:rsid w:val="00340E5F"/>
    <w:rsid w:val="003410DA"/>
    <w:rsid w:val="00341224"/>
    <w:rsid w:val="00341230"/>
    <w:rsid w:val="003412EF"/>
    <w:rsid w:val="003418ED"/>
    <w:rsid w:val="00341A60"/>
    <w:rsid w:val="00341A7C"/>
    <w:rsid w:val="00341B8B"/>
    <w:rsid w:val="00341CFC"/>
    <w:rsid w:val="00341D75"/>
    <w:rsid w:val="00341E9D"/>
    <w:rsid w:val="00341FF9"/>
    <w:rsid w:val="00342089"/>
    <w:rsid w:val="0034225A"/>
    <w:rsid w:val="00342307"/>
    <w:rsid w:val="0034235F"/>
    <w:rsid w:val="00342475"/>
    <w:rsid w:val="00342533"/>
    <w:rsid w:val="0034258A"/>
    <w:rsid w:val="0034259A"/>
    <w:rsid w:val="003426E1"/>
    <w:rsid w:val="00342902"/>
    <w:rsid w:val="0034293C"/>
    <w:rsid w:val="00342972"/>
    <w:rsid w:val="00342F44"/>
    <w:rsid w:val="00342FB7"/>
    <w:rsid w:val="00342FE0"/>
    <w:rsid w:val="003430D0"/>
    <w:rsid w:val="00343154"/>
    <w:rsid w:val="00343196"/>
    <w:rsid w:val="003432AA"/>
    <w:rsid w:val="00343386"/>
    <w:rsid w:val="003433FC"/>
    <w:rsid w:val="00343414"/>
    <w:rsid w:val="003436CE"/>
    <w:rsid w:val="003437CE"/>
    <w:rsid w:val="00343951"/>
    <w:rsid w:val="0034397B"/>
    <w:rsid w:val="00343AF3"/>
    <w:rsid w:val="00343BCF"/>
    <w:rsid w:val="00343C48"/>
    <w:rsid w:val="00343E88"/>
    <w:rsid w:val="00343E99"/>
    <w:rsid w:val="00343EF9"/>
    <w:rsid w:val="0034404E"/>
    <w:rsid w:val="0034407E"/>
    <w:rsid w:val="003440C7"/>
    <w:rsid w:val="003441B5"/>
    <w:rsid w:val="00344243"/>
    <w:rsid w:val="00344279"/>
    <w:rsid w:val="0034432B"/>
    <w:rsid w:val="00344334"/>
    <w:rsid w:val="0034448B"/>
    <w:rsid w:val="0034459C"/>
    <w:rsid w:val="00344640"/>
    <w:rsid w:val="00344644"/>
    <w:rsid w:val="00344753"/>
    <w:rsid w:val="003447BE"/>
    <w:rsid w:val="003447E4"/>
    <w:rsid w:val="00344A55"/>
    <w:rsid w:val="00344A8E"/>
    <w:rsid w:val="00344BFB"/>
    <w:rsid w:val="00344FDD"/>
    <w:rsid w:val="003450CD"/>
    <w:rsid w:val="0034510C"/>
    <w:rsid w:val="003452A1"/>
    <w:rsid w:val="00345526"/>
    <w:rsid w:val="003458B2"/>
    <w:rsid w:val="00345DAD"/>
    <w:rsid w:val="00345DDB"/>
    <w:rsid w:val="00345E7B"/>
    <w:rsid w:val="00345F01"/>
    <w:rsid w:val="00345F4A"/>
    <w:rsid w:val="00345FB4"/>
    <w:rsid w:val="003460C4"/>
    <w:rsid w:val="00346169"/>
    <w:rsid w:val="003461B9"/>
    <w:rsid w:val="00346204"/>
    <w:rsid w:val="00346353"/>
    <w:rsid w:val="00346357"/>
    <w:rsid w:val="003464EE"/>
    <w:rsid w:val="0034651C"/>
    <w:rsid w:val="0034659D"/>
    <w:rsid w:val="00346816"/>
    <w:rsid w:val="0034684F"/>
    <w:rsid w:val="003468D8"/>
    <w:rsid w:val="003468E1"/>
    <w:rsid w:val="00346A46"/>
    <w:rsid w:val="00346B8E"/>
    <w:rsid w:val="00346CB1"/>
    <w:rsid w:val="00346F6F"/>
    <w:rsid w:val="00347071"/>
    <w:rsid w:val="0034721A"/>
    <w:rsid w:val="0034728C"/>
    <w:rsid w:val="003474CE"/>
    <w:rsid w:val="00347557"/>
    <w:rsid w:val="003475DC"/>
    <w:rsid w:val="003475F6"/>
    <w:rsid w:val="0034784D"/>
    <w:rsid w:val="0034786D"/>
    <w:rsid w:val="00347917"/>
    <w:rsid w:val="00347A03"/>
    <w:rsid w:val="00347B6F"/>
    <w:rsid w:val="00347D0A"/>
    <w:rsid w:val="00347D42"/>
    <w:rsid w:val="00347D76"/>
    <w:rsid w:val="00347DB6"/>
    <w:rsid w:val="00347E6F"/>
    <w:rsid w:val="00347E93"/>
    <w:rsid w:val="00350122"/>
    <w:rsid w:val="0035012F"/>
    <w:rsid w:val="003501CD"/>
    <w:rsid w:val="00350301"/>
    <w:rsid w:val="00350328"/>
    <w:rsid w:val="003505A7"/>
    <w:rsid w:val="003505AF"/>
    <w:rsid w:val="003505C6"/>
    <w:rsid w:val="003507E5"/>
    <w:rsid w:val="003507FA"/>
    <w:rsid w:val="0035084B"/>
    <w:rsid w:val="00350856"/>
    <w:rsid w:val="003508F5"/>
    <w:rsid w:val="00350CE5"/>
    <w:rsid w:val="00350DCB"/>
    <w:rsid w:val="00351302"/>
    <w:rsid w:val="0035155C"/>
    <w:rsid w:val="003515E8"/>
    <w:rsid w:val="003519B2"/>
    <w:rsid w:val="00351B5A"/>
    <w:rsid w:val="00351BD2"/>
    <w:rsid w:val="00351CAC"/>
    <w:rsid w:val="00351D8B"/>
    <w:rsid w:val="00351E7D"/>
    <w:rsid w:val="00351F24"/>
    <w:rsid w:val="003520BD"/>
    <w:rsid w:val="003520C4"/>
    <w:rsid w:val="003521D8"/>
    <w:rsid w:val="003522BA"/>
    <w:rsid w:val="003522E4"/>
    <w:rsid w:val="00352354"/>
    <w:rsid w:val="0035245B"/>
    <w:rsid w:val="0035250F"/>
    <w:rsid w:val="003526A2"/>
    <w:rsid w:val="003526CC"/>
    <w:rsid w:val="003527B3"/>
    <w:rsid w:val="00352803"/>
    <w:rsid w:val="0035288F"/>
    <w:rsid w:val="00352C0D"/>
    <w:rsid w:val="00352DE1"/>
    <w:rsid w:val="00352E4F"/>
    <w:rsid w:val="00352EA6"/>
    <w:rsid w:val="00352ED7"/>
    <w:rsid w:val="00352F1C"/>
    <w:rsid w:val="0035321E"/>
    <w:rsid w:val="00353240"/>
    <w:rsid w:val="003533B6"/>
    <w:rsid w:val="003536A6"/>
    <w:rsid w:val="003536AD"/>
    <w:rsid w:val="00353857"/>
    <w:rsid w:val="0035385D"/>
    <w:rsid w:val="00353936"/>
    <w:rsid w:val="00353AD5"/>
    <w:rsid w:val="00353B75"/>
    <w:rsid w:val="00353C03"/>
    <w:rsid w:val="00353C0B"/>
    <w:rsid w:val="00353C6E"/>
    <w:rsid w:val="00353CD1"/>
    <w:rsid w:val="00353D96"/>
    <w:rsid w:val="00353F8A"/>
    <w:rsid w:val="003540C6"/>
    <w:rsid w:val="0035418C"/>
    <w:rsid w:val="0035426E"/>
    <w:rsid w:val="003543AD"/>
    <w:rsid w:val="003544F2"/>
    <w:rsid w:val="00354524"/>
    <w:rsid w:val="00354679"/>
    <w:rsid w:val="003548FF"/>
    <w:rsid w:val="00354915"/>
    <w:rsid w:val="0035494A"/>
    <w:rsid w:val="00354981"/>
    <w:rsid w:val="00354AB2"/>
    <w:rsid w:val="00354BAC"/>
    <w:rsid w:val="00354C77"/>
    <w:rsid w:val="00354E6E"/>
    <w:rsid w:val="00355044"/>
    <w:rsid w:val="003552F8"/>
    <w:rsid w:val="00355300"/>
    <w:rsid w:val="00355486"/>
    <w:rsid w:val="003555C6"/>
    <w:rsid w:val="003555F9"/>
    <w:rsid w:val="00355672"/>
    <w:rsid w:val="00355673"/>
    <w:rsid w:val="003556FE"/>
    <w:rsid w:val="0035576B"/>
    <w:rsid w:val="003557E0"/>
    <w:rsid w:val="003557E7"/>
    <w:rsid w:val="00355800"/>
    <w:rsid w:val="00355850"/>
    <w:rsid w:val="003558B2"/>
    <w:rsid w:val="00355A07"/>
    <w:rsid w:val="00355ACF"/>
    <w:rsid w:val="00355B24"/>
    <w:rsid w:val="00355CDF"/>
    <w:rsid w:val="00356483"/>
    <w:rsid w:val="00356582"/>
    <w:rsid w:val="00356956"/>
    <w:rsid w:val="00356A6A"/>
    <w:rsid w:val="00356BEA"/>
    <w:rsid w:val="00356C56"/>
    <w:rsid w:val="00356CE3"/>
    <w:rsid w:val="00356D07"/>
    <w:rsid w:val="00356D3E"/>
    <w:rsid w:val="00356DC3"/>
    <w:rsid w:val="00356DF7"/>
    <w:rsid w:val="00356EF5"/>
    <w:rsid w:val="00356FE3"/>
    <w:rsid w:val="00357005"/>
    <w:rsid w:val="00357077"/>
    <w:rsid w:val="00357168"/>
    <w:rsid w:val="00357241"/>
    <w:rsid w:val="0035724A"/>
    <w:rsid w:val="003572BF"/>
    <w:rsid w:val="003573EE"/>
    <w:rsid w:val="00357493"/>
    <w:rsid w:val="00357582"/>
    <w:rsid w:val="00357854"/>
    <w:rsid w:val="00357AA2"/>
    <w:rsid w:val="00357AF4"/>
    <w:rsid w:val="00357C50"/>
    <w:rsid w:val="00357CC1"/>
    <w:rsid w:val="00357EFE"/>
    <w:rsid w:val="00357F34"/>
    <w:rsid w:val="00357F3D"/>
    <w:rsid w:val="0036010D"/>
    <w:rsid w:val="00360208"/>
    <w:rsid w:val="003604A4"/>
    <w:rsid w:val="0036063D"/>
    <w:rsid w:val="0036078B"/>
    <w:rsid w:val="003608C1"/>
    <w:rsid w:val="00360E74"/>
    <w:rsid w:val="00360E98"/>
    <w:rsid w:val="00361000"/>
    <w:rsid w:val="0036109A"/>
    <w:rsid w:val="003610DE"/>
    <w:rsid w:val="0036157F"/>
    <w:rsid w:val="003615E0"/>
    <w:rsid w:val="00361639"/>
    <w:rsid w:val="00361702"/>
    <w:rsid w:val="003617C1"/>
    <w:rsid w:val="003619A0"/>
    <w:rsid w:val="00361A59"/>
    <w:rsid w:val="00361B5F"/>
    <w:rsid w:val="00361B76"/>
    <w:rsid w:val="00361BAF"/>
    <w:rsid w:val="00361D14"/>
    <w:rsid w:val="0036218B"/>
    <w:rsid w:val="00362366"/>
    <w:rsid w:val="003623F3"/>
    <w:rsid w:val="0036257E"/>
    <w:rsid w:val="003625A8"/>
    <w:rsid w:val="00362738"/>
    <w:rsid w:val="00362921"/>
    <w:rsid w:val="00362A42"/>
    <w:rsid w:val="00362AB0"/>
    <w:rsid w:val="00362AE5"/>
    <w:rsid w:val="00362B90"/>
    <w:rsid w:val="00362C18"/>
    <w:rsid w:val="00362DEE"/>
    <w:rsid w:val="003633E0"/>
    <w:rsid w:val="003635AB"/>
    <w:rsid w:val="003635DA"/>
    <w:rsid w:val="00363611"/>
    <w:rsid w:val="00363A39"/>
    <w:rsid w:val="00363ADD"/>
    <w:rsid w:val="00363B7E"/>
    <w:rsid w:val="00363BDC"/>
    <w:rsid w:val="00363C65"/>
    <w:rsid w:val="00363E0C"/>
    <w:rsid w:val="00363EA5"/>
    <w:rsid w:val="0036400C"/>
    <w:rsid w:val="00364201"/>
    <w:rsid w:val="00364209"/>
    <w:rsid w:val="00364317"/>
    <w:rsid w:val="0036439E"/>
    <w:rsid w:val="003643FD"/>
    <w:rsid w:val="0036472E"/>
    <w:rsid w:val="0036482E"/>
    <w:rsid w:val="00364923"/>
    <w:rsid w:val="00364A37"/>
    <w:rsid w:val="00364B91"/>
    <w:rsid w:val="00364C7C"/>
    <w:rsid w:val="00364D70"/>
    <w:rsid w:val="00364D87"/>
    <w:rsid w:val="00364F85"/>
    <w:rsid w:val="00364FA6"/>
    <w:rsid w:val="003650EE"/>
    <w:rsid w:val="00365155"/>
    <w:rsid w:val="00365204"/>
    <w:rsid w:val="003652D1"/>
    <w:rsid w:val="00365313"/>
    <w:rsid w:val="003656D7"/>
    <w:rsid w:val="003656F7"/>
    <w:rsid w:val="0036571C"/>
    <w:rsid w:val="00365993"/>
    <w:rsid w:val="00365C91"/>
    <w:rsid w:val="00365D99"/>
    <w:rsid w:val="00365E7B"/>
    <w:rsid w:val="00366115"/>
    <w:rsid w:val="0036626C"/>
    <w:rsid w:val="00366317"/>
    <w:rsid w:val="0036695D"/>
    <w:rsid w:val="0036698D"/>
    <w:rsid w:val="003669BD"/>
    <w:rsid w:val="00366A88"/>
    <w:rsid w:val="00366AA1"/>
    <w:rsid w:val="00366E59"/>
    <w:rsid w:val="00367252"/>
    <w:rsid w:val="003673B4"/>
    <w:rsid w:val="003675C4"/>
    <w:rsid w:val="003675CB"/>
    <w:rsid w:val="0036760B"/>
    <w:rsid w:val="003677EC"/>
    <w:rsid w:val="0036793C"/>
    <w:rsid w:val="00367D1D"/>
    <w:rsid w:val="00367F28"/>
    <w:rsid w:val="00367FAE"/>
    <w:rsid w:val="00370005"/>
    <w:rsid w:val="003700DC"/>
    <w:rsid w:val="003702A6"/>
    <w:rsid w:val="0037036B"/>
    <w:rsid w:val="003703CD"/>
    <w:rsid w:val="00370680"/>
    <w:rsid w:val="00370737"/>
    <w:rsid w:val="00370781"/>
    <w:rsid w:val="003707B9"/>
    <w:rsid w:val="003708E7"/>
    <w:rsid w:val="00370978"/>
    <w:rsid w:val="00370A03"/>
    <w:rsid w:val="00370DF4"/>
    <w:rsid w:val="00371070"/>
    <w:rsid w:val="003711B4"/>
    <w:rsid w:val="003712D3"/>
    <w:rsid w:val="00371818"/>
    <w:rsid w:val="0037199C"/>
    <w:rsid w:val="00371AEA"/>
    <w:rsid w:val="00371BA1"/>
    <w:rsid w:val="00371C31"/>
    <w:rsid w:val="00371D26"/>
    <w:rsid w:val="00371DEC"/>
    <w:rsid w:val="00371F1C"/>
    <w:rsid w:val="00371FB8"/>
    <w:rsid w:val="00371FDC"/>
    <w:rsid w:val="003720BD"/>
    <w:rsid w:val="003721DB"/>
    <w:rsid w:val="003722C9"/>
    <w:rsid w:val="00372348"/>
    <w:rsid w:val="003723C1"/>
    <w:rsid w:val="003724A5"/>
    <w:rsid w:val="0037251D"/>
    <w:rsid w:val="003726A8"/>
    <w:rsid w:val="00372A79"/>
    <w:rsid w:val="00372A9A"/>
    <w:rsid w:val="00372C4D"/>
    <w:rsid w:val="00372E67"/>
    <w:rsid w:val="00372E88"/>
    <w:rsid w:val="00372E98"/>
    <w:rsid w:val="0037315E"/>
    <w:rsid w:val="003732AC"/>
    <w:rsid w:val="003732F7"/>
    <w:rsid w:val="0037330C"/>
    <w:rsid w:val="003733A4"/>
    <w:rsid w:val="00373492"/>
    <w:rsid w:val="003734D2"/>
    <w:rsid w:val="0037353C"/>
    <w:rsid w:val="003735D6"/>
    <w:rsid w:val="0037370B"/>
    <w:rsid w:val="0037379C"/>
    <w:rsid w:val="00373812"/>
    <w:rsid w:val="00373853"/>
    <w:rsid w:val="0037397C"/>
    <w:rsid w:val="00373A61"/>
    <w:rsid w:val="00373A7B"/>
    <w:rsid w:val="00373C07"/>
    <w:rsid w:val="00373D0D"/>
    <w:rsid w:val="00373D95"/>
    <w:rsid w:val="00374296"/>
    <w:rsid w:val="003742A4"/>
    <w:rsid w:val="0037455F"/>
    <w:rsid w:val="00374579"/>
    <w:rsid w:val="0037458A"/>
    <w:rsid w:val="003745C8"/>
    <w:rsid w:val="003748F3"/>
    <w:rsid w:val="00374C6D"/>
    <w:rsid w:val="00374D57"/>
    <w:rsid w:val="00374E38"/>
    <w:rsid w:val="00374E73"/>
    <w:rsid w:val="00374EFD"/>
    <w:rsid w:val="003751B7"/>
    <w:rsid w:val="0037545E"/>
    <w:rsid w:val="003754D3"/>
    <w:rsid w:val="003754FA"/>
    <w:rsid w:val="003755CA"/>
    <w:rsid w:val="0037565C"/>
    <w:rsid w:val="00375857"/>
    <w:rsid w:val="0037596F"/>
    <w:rsid w:val="00375C41"/>
    <w:rsid w:val="00375D05"/>
    <w:rsid w:val="00375D43"/>
    <w:rsid w:val="00375D75"/>
    <w:rsid w:val="00375E26"/>
    <w:rsid w:val="00375EFC"/>
    <w:rsid w:val="00376172"/>
    <w:rsid w:val="003761D3"/>
    <w:rsid w:val="003761D7"/>
    <w:rsid w:val="003764CC"/>
    <w:rsid w:val="00376559"/>
    <w:rsid w:val="00376AAB"/>
    <w:rsid w:val="00376C02"/>
    <w:rsid w:val="00376C03"/>
    <w:rsid w:val="00376C91"/>
    <w:rsid w:val="00376CF3"/>
    <w:rsid w:val="00376EBC"/>
    <w:rsid w:val="00376ECF"/>
    <w:rsid w:val="00376F07"/>
    <w:rsid w:val="00376F3D"/>
    <w:rsid w:val="00377000"/>
    <w:rsid w:val="003770A3"/>
    <w:rsid w:val="003770A8"/>
    <w:rsid w:val="003771A1"/>
    <w:rsid w:val="003771ED"/>
    <w:rsid w:val="00377287"/>
    <w:rsid w:val="00377399"/>
    <w:rsid w:val="003773C0"/>
    <w:rsid w:val="0037745A"/>
    <w:rsid w:val="003774D4"/>
    <w:rsid w:val="003775EC"/>
    <w:rsid w:val="003778EF"/>
    <w:rsid w:val="0037791E"/>
    <w:rsid w:val="003779A1"/>
    <w:rsid w:val="00377AB2"/>
    <w:rsid w:val="00377AC2"/>
    <w:rsid w:val="00377B5F"/>
    <w:rsid w:val="00377BC6"/>
    <w:rsid w:val="00377DA7"/>
    <w:rsid w:val="00377E3F"/>
    <w:rsid w:val="00377EFC"/>
    <w:rsid w:val="00377FD9"/>
    <w:rsid w:val="00380265"/>
    <w:rsid w:val="00380351"/>
    <w:rsid w:val="00380416"/>
    <w:rsid w:val="003805C5"/>
    <w:rsid w:val="003805E6"/>
    <w:rsid w:val="0038084E"/>
    <w:rsid w:val="0038098A"/>
    <w:rsid w:val="00380AF2"/>
    <w:rsid w:val="00380AFF"/>
    <w:rsid w:val="00380B2F"/>
    <w:rsid w:val="00380F2F"/>
    <w:rsid w:val="00381029"/>
    <w:rsid w:val="003810C1"/>
    <w:rsid w:val="0038126D"/>
    <w:rsid w:val="003812B0"/>
    <w:rsid w:val="00381384"/>
    <w:rsid w:val="0038158E"/>
    <w:rsid w:val="003815D9"/>
    <w:rsid w:val="003815F4"/>
    <w:rsid w:val="003816A7"/>
    <w:rsid w:val="003816E2"/>
    <w:rsid w:val="00381887"/>
    <w:rsid w:val="00381B26"/>
    <w:rsid w:val="00381B93"/>
    <w:rsid w:val="00381BD4"/>
    <w:rsid w:val="00381C2E"/>
    <w:rsid w:val="00381C34"/>
    <w:rsid w:val="00381CBF"/>
    <w:rsid w:val="00381EC8"/>
    <w:rsid w:val="00381F65"/>
    <w:rsid w:val="003820C1"/>
    <w:rsid w:val="00382375"/>
    <w:rsid w:val="003824AB"/>
    <w:rsid w:val="003824EC"/>
    <w:rsid w:val="00382554"/>
    <w:rsid w:val="0038276D"/>
    <w:rsid w:val="00382915"/>
    <w:rsid w:val="0038298C"/>
    <w:rsid w:val="003829F3"/>
    <w:rsid w:val="00382CC7"/>
    <w:rsid w:val="00382D5B"/>
    <w:rsid w:val="00382E83"/>
    <w:rsid w:val="00382EF4"/>
    <w:rsid w:val="00382FD0"/>
    <w:rsid w:val="0038308A"/>
    <w:rsid w:val="0038312E"/>
    <w:rsid w:val="0038316A"/>
    <w:rsid w:val="00383194"/>
    <w:rsid w:val="0038334F"/>
    <w:rsid w:val="00383434"/>
    <w:rsid w:val="00383A6C"/>
    <w:rsid w:val="00383B66"/>
    <w:rsid w:val="00383CBC"/>
    <w:rsid w:val="00383D9D"/>
    <w:rsid w:val="0038405E"/>
    <w:rsid w:val="003841AB"/>
    <w:rsid w:val="003842EC"/>
    <w:rsid w:val="003842F1"/>
    <w:rsid w:val="003843A9"/>
    <w:rsid w:val="0038445A"/>
    <w:rsid w:val="003844F2"/>
    <w:rsid w:val="00384649"/>
    <w:rsid w:val="0038486B"/>
    <w:rsid w:val="003848B9"/>
    <w:rsid w:val="003848C2"/>
    <w:rsid w:val="003849A4"/>
    <w:rsid w:val="00384B03"/>
    <w:rsid w:val="00384E4F"/>
    <w:rsid w:val="003850A0"/>
    <w:rsid w:val="00385143"/>
    <w:rsid w:val="00385168"/>
    <w:rsid w:val="0038516D"/>
    <w:rsid w:val="0038519C"/>
    <w:rsid w:val="003851AE"/>
    <w:rsid w:val="00385327"/>
    <w:rsid w:val="0038549C"/>
    <w:rsid w:val="003854EA"/>
    <w:rsid w:val="00385572"/>
    <w:rsid w:val="003858C3"/>
    <w:rsid w:val="0038594A"/>
    <w:rsid w:val="00385A5E"/>
    <w:rsid w:val="00385B1C"/>
    <w:rsid w:val="00385BCF"/>
    <w:rsid w:val="00385C8C"/>
    <w:rsid w:val="00385DE0"/>
    <w:rsid w:val="00385F5C"/>
    <w:rsid w:val="00386016"/>
    <w:rsid w:val="003860F8"/>
    <w:rsid w:val="0038614E"/>
    <w:rsid w:val="003864E7"/>
    <w:rsid w:val="003864F2"/>
    <w:rsid w:val="00386670"/>
    <w:rsid w:val="0038681C"/>
    <w:rsid w:val="003868B1"/>
    <w:rsid w:val="003868E9"/>
    <w:rsid w:val="00386902"/>
    <w:rsid w:val="00386906"/>
    <w:rsid w:val="003869C1"/>
    <w:rsid w:val="00386B29"/>
    <w:rsid w:val="00386B79"/>
    <w:rsid w:val="00386BB9"/>
    <w:rsid w:val="00386BDC"/>
    <w:rsid w:val="00386C1B"/>
    <w:rsid w:val="00386C92"/>
    <w:rsid w:val="00386DFA"/>
    <w:rsid w:val="00386F00"/>
    <w:rsid w:val="003871FB"/>
    <w:rsid w:val="0038733B"/>
    <w:rsid w:val="0038740A"/>
    <w:rsid w:val="00387457"/>
    <w:rsid w:val="003875D6"/>
    <w:rsid w:val="003876C9"/>
    <w:rsid w:val="00387893"/>
    <w:rsid w:val="00387A01"/>
    <w:rsid w:val="00387AEA"/>
    <w:rsid w:val="00387DFB"/>
    <w:rsid w:val="00387DFC"/>
    <w:rsid w:val="003900E9"/>
    <w:rsid w:val="00390308"/>
    <w:rsid w:val="003905B8"/>
    <w:rsid w:val="00390672"/>
    <w:rsid w:val="00390677"/>
    <w:rsid w:val="003906E3"/>
    <w:rsid w:val="003907A8"/>
    <w:rsid w:val="00390985"/>
    <w:rsid w:val="00390B69"/>
    <w:rsid w:val="00390DCB"/>
    <w:rsid w:val="00390E49"/>
    <w:rsid w:val="00390EC4"/>
    <w:rsid w:val="00390EE0"/>
    <w:rsid w:val="00390F2A"/>
    <w:rsid w:val="00390F5D"/>
    <w:rsid w:val="00390FD9"/>
    <w:rsid w:val="003910CC"/>
    <w:rsid w:val="003912B3"/>
    <w:rsid w:val="00391323"/>
    <w:rsid w:val="00391477"/>
    <w:rsid w:val="003915C5"/>
    <w:rsid w:val="003917E3"/>
    <w:rsid w:val="003918F5"/>
    <w:rsid w:val="0039196A"/>
    <w:rsid w:val="003919D4"/>
    <w:rsid w:val="00391B9A"/>
    <w:rsid w:val="00391C89"/>
    <w:rsid w:val="00391D29"/>
    <w:rsid w:val="00391E10"/>
    <w:rsid w:val="00391E9A"/>
    <w:rsid w:val="00392047"/>
    <w:rsid w:val="003920B3"/>
    <w:rsid w:val="00392152"/>
    <w:rsid w:val="003921F3"/>
    <w:rsid w:val="0039244E"/>
    <w:rsid w:val="0039249A"/>
    <w:rsid w:val="0039280E"/>
    <w:rsid w:val="00392925"/>
    <w:rsid w:val="00392952"/>
    <w:rsid w:val="003929AF"/>
    <w:rsid w:val="003930F2"/>
    <w:rsid w:val="00393251"/>
    <w:rsid w:val="003932EF"/>
    <w:rsid w:val="0039347D"/>
    <w:rsid w:val="0039349C"/>
    <w:rsid w:val="003934DA"/>
    <w:rsid w:val="00393581"/>
    <w:rsid w:val="003935AB"/>
    <w:rsid w:val="00393644"/>
    <w:rsid w:val="0039373B"/>
    <w:rsid w:val="0039384E"/>
    <w:rsid w:val="00393A3F"/>
    <w:rsid w:val="00393B86"/>
    <w:rsid w:val="00393CAD"/>
    <w:rsid w:val="00393CC1"/>
    <w:rsid w:val="00393CE8"/>
    <w:rsid w:val="00393EB2"/>
    <w:rsid w:val="00393F89"/>
    <w:rsid w:val="00393FA1"/>
    <w:rsid w:val="00394081"/>
    <w:rsid w:val="003940E9"/>
    <w:rsid w:val="003940FE"/>
    <w:rsid w:val="00394106"/>
    <w:rsid w:val="00394290"/>
    <w:rsid w:val="00394383"/>
    <w:rsid w:val="003943C9"/>
    <w:rsid w:val="00394406"/>
    <w:rsid w:val="00394455"/>
    <w:rsid w:val="003947A9"/>
    <w:rsid w:val="003947FC"/>
    <w:rsid w:val="00394860"/>
    <w:rsid w:val="00394925"/>
    <w:rsid w:val="00394C1D"/>
    <w:rsid w:val="00394C5F"/>
    <w:rsid w:val="00394F2C"/>
    <w:rsid w:val="00395021"/>
    <w:rsid w:val="00395056"/>
    <w:rsid w:val="0039535E"/>
    <w:rsid w:val="00395511"/>
    <w:rsid w:val="00395536"/>
    <w:rsid w:val="0039556D"/>
    <w:rsid w:val="00395572"/>
    <w:rsid w:val="003955D8"/>
    <w:rsid w:val="0039568F"/>
    <w:rsid w:val="003956D6"/>
    <w:rsid w:val="003956FE"/>
    <w:rsid w:val="0039573A"/>
    <w:rsid w:val="00395750"/>
    <w:rsid w:val="0039591A"/>
    <w:rsid w:val="00395936"/>
    <w:rsid w:val="00395A9A"/>
    <w:rsid w:val="00395D24"/>
    <w:rsid w:val="00395FB4"/>
    <w:rsid w:val="003960CC"/>
    <w:rsid w:val="0039613A"/>
    <w:rsid w:val="003962EA"/>
    <w:rsid w:val="00396396"/>
    <w:rsid w:val="00396518"/>
    <w:rsid w:val="0039661A"/>
    <w:rsid w:val="00396620"/>
    <w:rsid w:val="00396747"/>
    <w:rsid w:val="00396761"/>
    <w:rsid w:val="003967D1"/>
    <w:rsid w:val="00396849"/>
    <w:rsid w:val="003968CA"/>
    <w:rsid w:val="00396B03"/>
    <w:rsid w:val="00396B6A"/>
    <w:rsid w:val="00396BC9"/>
    <w:rsid w:val="00396CA7"/>
    <w:rsid w:val="00396F87"/>
    <w:rsid w:val="00397005"/>
    <w:rsid w:val="00397112"/>
    <w:rsid w:val="0039711F"/>
    <w:rsid w:val="00397179"/>
    <w:rsid w:val="0039749B"/>
    <w:rsid w:val="003974AC"/>
    <w:rsid w:val="0039760E"/>
    <w:rsid w:val="003976B8"/>
    <w:rsid w:val="00397897"/>
    <w:rsid w:val="00397BEB"/>
    <w:rsid w:val="00397BF8"/>
    <w:rsid w:val="00397D61"/>
    <w:rsid w:val="00397E72"/>
    <w:rsid w:val="00397E88"/>
    <w:rsid w:val="00397F67"/>
    <w:rsid w:val="003A0104"/>
    <w:rsid w:val="003A02A3"/>
    <w:rsid w:val="003A030D"/>
    <w:rsid w:val="003A03C0"/>
    <w:rsid w:val="003A0451"/>
    <w:rsid w:val="003A05E4"/>
    <w:rsid w:val="003A0606"/>
    <w:rsid w:val="003A0635"/>
    <w:rsid w:val="003A0A16"/>
    <w:rsid w:val="003A0B50"/>
    <w:rsid w:val="003A0E05"/>
    <w:rsid w:val="003A0E20"/>
    <w:rsid w:val="003A0EC7"/>
    <w:rsid w:val="003A0EE2"/>
    <w:rsid w:val="003A1102"/>
    <w:rsid w:val="003A126F"/>
    <w:rsid w:val="003A1386"/>
    <w:rsid w:val="003A140E"/>
    <w:rsid w:val="003A1504"/>
    <w:rsid w:val="003A1576"/>
    <w:rsid w:val="003A158F"/>
    <w:rsid w:val="003A16DB"/>
    <w:rsid w:val="003A1F09"/>
    <w:rsid w:val="003A1F3F"/>
    <w:rsid w:val="003A2067"/>
    <w:rsid w:val="003A2283"/>
    <w:rsid w:val="003A246F"/>
    <w:rsid w:val="003A24DC"/>
    <w:rsid w:val="003A2654"/>
    <w:rsid w:val="003A26E0"/>
    <w:rsid w:val="003A2833"/>
    <w:rsid w:val="003A28F0"/>
    <w:rsid w:val="003A2A6B"/>
    <w:rsid w:val="003A2C7D"/>
    <w:rsid w:val="003A2C96"/>
    <w:rsid w:val="003A2CCD"/>
    <w:rsid w:val="003A2D0D"/>
    <w:rsid w:val="003A2E93"/>
    <w:rsid w:val="003A2F3A"/>
    <w:rsid w:val="003A3061"/>
    <w:rsid w:val="003A3252"/>
    <w:rsid w:val="003A328D"/>
    <w:rsid w:val="003A3320"/>
    <w:rsid w:val="003A3415"/>
    <w:rsid w:val="003A365A"/>
    <w:rsid w:val="003A3702"/>
    <w:rsid w:val="003A39EF"/>
    <w:rsid w:val="003A3A5F"/>
    <w:rsid w:val="003A3A79"/>
    <w:rsid w:val="003A3A8F"/>
    <w:rsid w:val="003A3A98"/>
    <w:rsid w:val="003A3AC8"/>
    <w:rsid w:val="003A3AD2"/>
    <w:rsid w:val="003A3B4E"/>
    <w:rsid w:val="003A3B54"/>
    <w:rsid w:val="003A3C19"/>
    <w:rsid w:val="003A3C8B"/>
    <w:rsid w:val="003A3DE4"/>
    <w:rsid w:val="003A3E0C"/>
    <w:rsid w:val="003A3F5D"/>
    <w:rsid w:val="003A4107"/>
    <w:rsid w:val="003A4115"/>
    <w:rsid w:val="003A4547"/>
    <w:rsid w:val="003A47FB"/>
    <w:rsid w:val="003A48E8"/>
    <w:rsid w:val="003A4D56"/>
    <w:rsid w:val="003A4E28"/>
    <w:rsid w:val="003A4EB0"/>
    <w:rsid w:val="003A4F5D"/>
    <w:rsid w:val="003A504B"/>
    <w:rsid w:val="003A517C"/>
    <w:rsid w:val="003A51A7"/>
    <w:rsid w:val="003A53EB"/>
    <w:rsid w:val="003A54B0"/>
    <w:rsid w:val="003A5614"/>
    <w:rsid w:val="003A58B5"/>
    <w:rsid w:val="003A58DD"/>
    <w:rsid w:val="003A5AB2"/>
    <w:rsid w:val="003A5D4D"/>
    <w:rsid w:val="003A5D54"/>
    <w:rsid w:val="003A5DC5"/>
    <w:rsid w:val="003A5DCD"/>
    <w:rsid w:val="003A5DDF"/>
    <w:rsid w:val="003A5E0D"/>
    <w:rsid w:val="003A5F25"/>
    <w:rsid w:val="003A6293"/>
    <w:rsid w:val="003A64CF"/>
    <w:rsid w:val="003A6569"/>
    <w:rsid w:val="003A69AC"/>
    <w:rsid w:val="003A6AB2"/>
    <w:rsid w:val="003A6B3A"/>
    <w:rsid w:val="003A6B7A"/>
    <w:rsid w:val="003A6F97"/>
    <w:rsid w:val="003A70A4"/>
    <w:rsid w:val="003A72B6"/>
    <w:rsid w:val="003A7402"/>
    <w:rsid w:val="003A76F5"/>
    <w:rsid w:val="003A79D2"/>
    <w:rsid w:val="003A7A24"/>
    <w:rsid w:val="003A7AA4"/>
    <w:rsid w:val="003A7AEC"/>
    <w:rsid w:val="003A7B3F"/>
    <w:rsid w:val="003A7B55"/>
    <w:rsid w:val="003A7B57"/>
    <w:rsid w:val="003A7D12"/>
    <w:rsid w:val="003A7E28"/>
    <w:rsid w:val="003A7EA5"/>
    <w:rsid w:val="003A7F2E"/>
    <w:rsid w:val="003A7F7D"/>
    <w:rsid w:val="003A7F81"/>
    <w:rsid w:val="003A7FF2"/>
    <w:rsid w:val="003B0068"/>
    <w:rsid w:val="003B0113"/>
    <w:rsid w:val="003B0175"/>
    <w:rsid w:val="003B0195"/>
    <w:rsid w:val="003B0244"/>
    <w:rsid w:val="003B03FD"/>
    <w:rsid w:val="003B04C3"/>
    <w:rsid w:val="003B04DC"/>
    <w:rsid w:val="003B04F3"/>
    <w:rsid w:val="003B0722"/>
    <w:rsid w:val="003B0804"/>
    <w:rsid w:val="003B0987"/>
    <w:rsid w:val="003B0A9E"/>
    <w:rsid w:val="003B0B64"/>
    <w:rsid w:val="003B0D5B"/>
    <w:rsid w:val="003B11F5"/>
    <w:rsid w:val="003B120B"/>
    <w:rsid w:val="003B120C"/>
    <w:rsid w:val="003B1265"/>
    <w:rsid w:val="003B1272"/>
    <w:rsid w:val="003B1474"/>
    <w:rsid w:val="003B14BB"/>
    <w:rsid w:val="003B1563"/>
    <w:rsid w:val="003B16AE"/>
    <w:rsid w:val="003B1841"/>
    <w:rsid w:val="003B1A20"/>
    <w:rsid w:val="003B1A5D"/>
    <w:rsid w:val="003B1AA7"/>
    <w:rsid w:val="003B1B54"/>
    <w:rsid w:val="003B1C79"/>
    <w:rsid w:val="003B1D02"/>
    <w:rsid w:val="003B1D43"/>
    <w:rsid w:val="003B1F3A"/>
    <w:rsid w:val="003B2125"/>
    <w:rsid w:val="003B2486"/>
    <w:rsid w:val="003B258A"/>
    <w:rsid w:val="003B2772"/>
    <w:rsid w:val="003B27E4"/>
    <w:rsid w:val="003B2848"/>
    <w:rsid w:val="003B293F"/>
    <w:rsid w:val="003B2950"/>
    <w:rsid w:val="003B2A40"/>
    <w:rsid w:val="003B2A8D"/>
    <w:rsid w:val="003B2DCD"/>
    <w:rsid w:val="003B2DE4"/>
    <w:rsid w:val="003B3152"/>
    <w:rsid w:val="003B33EA"/>
    <w:rsid w:val="003B345A"/>
    <w:rsid w:val="003B347F"/>
    <w:rsid w:val="003B3499"/>
    <w:rsid w:val="003B3519"/>
    <w:rsid w:val="003B357C"/>
    <w:rsid w:val="003B3684"/>
    <w:rsid w:val="003B37BC"/>
    <w:rsid w:val="003B37C4"/>
    <w:rsid w:val="003B3833"/>
    <w:rsid w:val="003B38F5"/>
    <w:rsid w:val="003B3955"/>
    <w:rsid w:val="003B397C"/>
    <w:rsid w:val="003B39FC"/>
    <w:rsid w:val="003B3A72"/>
    <w:rsid w:val="003B3A81"/>
    <w:rsid w:val="003B3F0E"/>
    <w:rsid w:val="003B3F1A"/>
    <w:rsid w:val="003B3FF9"/>
    <w:rsid w:val="003B40FD"/>
    <w:rsid w:val="003B4127"/>
    <w:rsid w:val="003B4178"/>
    <w:rsid w:val="003B4249"/>
    <w:rsid w:val="003B42E4"/>
    <w:rsid w:val="003B4304"/>
    <w:rsid w:val="003B443C"/>
    <w:rsid w:val="003B4577"/>
    <w:rsid w:val="003B4610"/>
    <w:rsid w:val="003B4785"/>
    <w:rsid w:val="003B47DF"/>
    <w:rsid w:val="003B4809"/>
    <w:rsid w:val="003B48E5"/>
    <w:rsid w:val="003B4986"/>
    <w:rsid w:val="003B4B6D"/>
    <w:rsid w:val="003B4DA9"/>
    <w:rsid w:val="003B4DC3"/>
    <w:rsid w:val="003B4DDA"/>
    <w:rsid w:val="003B4F36"/>
    <w:rsid w:val="003B5037"/>
    <w:rsid w:val="003B5098"/>
    <w:rsid w:val="003B5156"/>
    <w:rsid w:val="003B51EA"/>
    <w:rsid w:val="003B543A"/>
    <w:rsid w:val="003B548A"/>
    <w:rsid w:val="003B5497"/>
    <w:rsid w:val="003B5529"/>
    <w:rsid w:val="003B553C"/>
    <w:rsid w:val="003B5574"/>
    <w:rsid w:val="003B55C5"/>
    <w:rsid w:val="003B5686"/>
    <w:rsid w:val="003B589C"/>
    <w:rsid w:val="003B58D4"/>
    <w:rsid w:val="003B58ED"/>
    <w:rsid w:val="003B5934"/>
    <w:rsid w:val="003B5A3E"/>
    <w:rsid w:val="003B5A6A"/>
    <w:rsid w:val="003B5A87"/>
    <w:rsid w:val="003B5BD7"/>
    <w:rsid w:val="003B5C74"/>
    <w:rsid w:val="003B5D5C"/>
    <w:rsid w:val="003B5DD6"/>
    <w:rsid w:val="003B5E5B"/>
    <w:rsid w:val="003B5EF0"/>
    <w:rsid w:val="003B5F35"/>
    <w:rsid w:val="003B5FA0"/>
    <w:rsid w:val="003B61B8"/>
    <w:rsid w:val="003B61E5"/>
    <w:rsid w:val="003B66AC"/>
    <w:rsid w:val="003B6865"/>
    <w:rsid w:val="003B686E"/>
    <w:rsid w:val="003B68F6"/>
    <w:rsid w:val="003B6934"/>
    <w:rsid w:val="003B6AC7"/>
    <w:rsid w:val="003B6B2B"/>
    <w:rsid w:val="003B6B94"/>
    <w:rsid w:val="003B6F58"/>
    <w:rsid w:val="003B6FA1"/>
    <w:rsid w:val="003B7057"/>
    <w:rsid w:val="003B70B0"/>
    <w:rsid w:val="003B7190"/>
    <w:rsid w:val="003B72CD"/>
    <w:rsid w:val="003B73FF"/>
    <w:rsid w:val="003B7482"/>
    <w:rsid w:val="003B7543"/>
    <w:rsid w:val="003B75B1"/>
    <w:rsid w:val="003B77A0"/>
    <w:rsid w:val="003B7809"/>
    <w:rsid w:val="003B7923"/>
    <w:rsid w:val="003B7C0F"/>
    <w:rsid w:val="003B7CC1"/>
    <w:rsid w:val="003B7CF0"/>
    <w:rsid w:val="003B7D9C"/>
    <w:rsid w:val="003B7F03"/>
    <w:rsid w:val="003B7F9F"/>
    <w:rsid w:val="003B7FF2"/>
    <w:rsid w:val="003C0076"/>
    <w:rsid w:val="003C0142"/>
    <w:rsid w:val="003C019B"/>
    <w:rsid w:val="003C01BE"/>
    <w:rsid w:val="003C01EA"/>
    <w:rsid w:val="003C03A6"/>
    <w:rsid w:val="003C03B1"/>
    <w:rsid w:val="003C047B"/>
    <w:rsid w:val="003C0502"/>
    <w:rsid w:val="003C056F"/>
    <w:rsid w:val="003C05C1"/>
    <w:rsid w:val="003C0660"/>
    <w:rsid w:val="003C0704"/>
    <w:rsid w:val="003C0708"/>
    <w:rsid w:val="003C092D"/>
    <w:rsid w:val="003C0958"/>
    <w:rsid w:val="003C0A54"/>
    <w:rsid w:val="003C0A9C"/>
    <w:rsid w:val="003C0DC8"/>
    <w:rsid w:val="003C0E00"/>
    <w:rsid w:val="003C0F3E"/>
    <w:rsid w:val="003C1030"/>
    <w:rsid w:val="003C1041"/>
    <w:rsid w:val="003C1062"/>
    <w:rsid w:val="003C1142"/>
    <w:rsid w:val="003C15BB"/>
    <w:rsid w:val="003C1639"/>
    <w:rsid w:val="003C16B7"/>
    <w:rsid w:val="003C16EC"/>
    <w:rsid w:val="003C17C1"/>
    <w:rsid w:val="003C1A7F"/>
    <w:rsid w:val="003C1B3A"/>
    <w:rsid w:val="003C1FF9"/>
    <w:rsid w:val="003C2077"/>
    <w:rsid w:val="003C20B8"/>
    <w:rsid w:val="003C21C5"/>
    <w:rsid w:val="003C22CC"/>
    <w:rsid w:val="003C23DF"/>
    <w:rsid w:val="003C2406"/>
    <w:rsid w:val="003C248C"/>
    <w:rsid w:val="003C25E9"/>
    <w:rsid w:val="003C2736"/>
    <w:rsid w:val="003C278D"/>
    <w:rsid w:val="003C2896"/>
    <w:rsid w:val="003C2A67"/>
    <w:rsid w:val="003C2B1B"/>
    <w:rsid w:val="003C3082"/>
    <w:rsid w:val="003C3130"/>
    <w:rsid w:val="003C31EC"/>
    <w:rsid w:val="003C3270"/>
    <w:rsid w:val="003C3321"/>
    <w:rsid w:val="003C334C"/>
    <w:rsid w:val="003C335F"/>
    <w:rsid w:val="003C33B8"/>
    <w:rsid w:val="003C368C"/>
    <w:rsid w:val="003C371F"/>
    <w:rsid w:val="003C3A4E"/>
    <w:rsid w:val="003C3A6D"/>
    <w:rsid w:val="003C3B23"/>
    <w:rsid w:val="003C3B9A"/>
    <w:rsid w:val="003C3BB8"/>
    <w:rsid w:val="003C3D31"/>
    <w:rsid w:val="003C3D83"/>
    <w:rsid w:val="003C3DE2"/>
    <w:rsid w:val="003C3EA0"/>
    <w:rsid w:val="003C3F49"/>
    <w:rsid w:val="003C40B3"/>
    <w:rsid w:val="003C41C1"/>
    <w:rsid w:val="003C41DC"/>
    <w:rsid w:val="003C426C"/>
    <w:rsid w:val="003C4534"/>
    <w:rsid w:val="003C45EB"/>
    <w:rsid w:val="003C4652"/>
    <w:rsid w:val="003C49FC"/>
    <w:rsid w:val="003C4A2B"/>
    <w:rsid w:val="003C4C37"/>
    <w:rsid w:val="003C4D65"/>
    <w:rsid w:val="003C4EE5"/>
    <w:rsid w:val="003C5019"/>
    <w:rsid w:val="003C50B1"/>
    <w:rsid w:val="003C5291"/>
    <w:rsid w:val="003C5353"/>
    <w:rsid w:val="003C5371"/>
    <w:rsid w:val="003C5409"/>
    <w:rsid w:val="003C5480"/>
    <w:rsid w:val="003C54C2"/>
    <w:rsid w:val="003C550E"/>
    <w:rsid w:val="003C553F"/>
    <w:rsid w:val="003C5811"/>
    <w:rsid w:val="003C582F"/>
    <w:rsid w:val="003C58BD"/>
    <w:rsid w:val="003C5986"/>
    <w:rsid w:val="003C5A30"/>
    <w:rsid w:val="003C5BF6"/>
    <w:rsid w:val="003C5C5B"/>
    <w:rsid w:val="003C5D68"/>
    <w:rsid w:val="003C5DED"/>
    <w:rsid w:val="003C5E02"/>
    <w:rsid w:val="003C5E61"/>
    <w:rsid w:val="003C5F7B"/>
    <w:rsid w:val="003C5FA1"/>
    <w:rsid w:val="003C6065"/>
    <w:rsid w:val="003C623B"/>
    <w:rsid w:val="003C6286"/>
    <w:rsid w:val="003C6295"/>
    <w:rsid w:val="003C64B8"/>
    <w:rsid w:val="003C64D4"/>
    <w:rsid w:val="003C65F5"/>
    <w:rsid w:val="003C66D4"/>
    <w:rsid w:val="003C6991"/>
    <w:rsid w:val="003C69BF"/>
    <w:rsid w:val="003C69FA"/>
    <w:rsid w:val="003C6AB8"/>
    <w:rsid w:val="003C6B3C"/>
    <w:rsid w:val="003C6CDD"/>
    <w:rsid w:val="003C712C"/>
    <w:rsid w:val="003C7159"/>
    <w:rsid w:val="003C71BC"/>
    <w:rsid w:val="003C72B0"/>
    <w:rsid w:val="003C73A1"/>
    <w:rsid w:val="003C73C9"/>
    <w:rsid w:val="003C7415"/>
    <w:rsid w:val="003C74AF"/>
    <w:rsid w:val="003C74DF"/>
    <w:rsid w:val="003C760B"/>
    <w:rsid w:val="003C760E"/>
    <w:rsid w:val="003C7685"/>
    <w:rsid w:val="003C7900"/>
    <w:rsid w:val="003C7992"/>
    <w:rsid w:val="003C7C1C"/>
    <w:rsid w:val="003C7E2A"/>
    <w:rsid w:val="003C7F60"/>
    <w:rsid w:val="003D0205"/>
    <w:rsid w:val="003D0308"/>
    <w:rsid w:val="003D039F"/>
    <w:rsid w:val="003D044C"/>
    <w:rsid w:val="003D04E2"/>
    <w:rsid w:val="003D053E"/>
    <w:rsid w:val="003D061A"/>
    <w:rsid w:val="003D081C"/>
    <w:rsid w:val="003D0854"/>
    <w:rsid w:val="003D0BAF"/>
    <w:rsid w:val="003D0C25"/>
    <w:rsid w:val="003D0C2C"/>
    <w:rsid w:val="003D0F07"/>
    <w:rsid w:val="003D0F1D"/>
    <w:rsid w:val="003D0FE4"/>
    <w:rsid w:val="003D0FFC"/>
    <w:rsid w:val="003D1250"/>
    <w:rsid w:val="003D12F9"/>
    <w:rsid w:val="003D135F"/>
    <w:rsid w:val="003D1456"/>
    <w:rsid w:val="003D14F1"/>
    <w:rsid w:val="003D1722"/>
    <w:rsid w:val="003D1758"/>
    <w:rsid w:val="003D1823"/>
    <w:rsid w:val="003D1A45"/>
    <w:rsid w:val="003D1AF7"/>
    <w:rsid w:val="003D1B36"/>
    <w:rsid w:val="003D1B6D"/>
    <w:rsid w:val="003D1C01"/>
    <w:rsid w:val="003D1F05"/>
    <w:rsid w:val="003D219C"/>
    <w:rsid w:val="003D21E9"/>
    <w:rsid w:val="003D2353"/>
    <w:rsid w:val="003D2612"/>
    <w:rsid w:val="003D2B0A"/>
    <w:rsid w:val="003D2C01"/>
    <w:rsid w:val="003D33DD"/>
    <w:rsid w:val="003D350D"/>
    <w:rsid w:val="003D3649"/>
    <w:rsid w:val="003D3665"/>
    <w:rsid w:val="003D37BD"/>
    <w:rsid w:val="003D38C5"/>
    <w:rsid w:val="003D3A01"/>
    <w:rsid w:val="003D3A70"/>
    <w:rsid w:val="003D3C1C"/>
    <w:rsid w:val="003D3C72"/>
    <w:rsid w:val="003D3DBD"/>
    <w:rsid w:val="003D3F05"/>
    <w:rsid w:val="003D41B6"/>
    <w:rsid w:val="003D4388"/>
    <w:rsid w:val="003D44A0"/>
    <w:rsid w:val="003D44E8"/>
    <w:rsid w:val="003D474D"/>
    <w:rsid w:val="003D4788"/>
    <w:rsid w:val="003D47D3"/>
    <w:rsid w:val="003D49F7"/>
    <w:rsid w:val="003D4AED"/>
    <w:rsid w:val="003D4BB4"/>
    <w:rsid w:val="003D4C94"/>
    <w:rsid w:val="003D4CB9"/>
    <w:rsid w:val="003D4E3E"/>
    <w:rsid w:val="003D4EE9"/>
    <w:rsid w:val="003D4F1E"/>
    <w:rsid w:val="003D51F5"/>
    <w:rsid w:val="003D522C"/>
    <w:rsid w:val="003D530C"/>
    <w:rsid w:val="003D550C"/>
    <w:rsid w:val="003D562D"/>
    <w:rsid w:val="003D5689"/>
    <w:rsid w:val="003D5797"/>
    <w:rsid w:val="003D588E"/>
    <w:rsid w:val="003D5B0E"/>
    <w:rsid w:val="003D5B88"/>
    <w:rsid w:val="003D5BF0"/>
    <w:rsid w:val="003D5C83"/>
    <w:rsid w:val="003D5CF7"/>
    <w:rsid w:val="003D5E37"/>
    <w:rsid w:val="003D5F06"/>
    <w:rsid w:val="003D60AC"/>
    <w:rsid w:val="003D61B1"/>
    <w:rsid w:val="003D61FD"/>
    <w:rsid w:val="003D623E"/>
    <w:rsid w:val="003D631D"/>
    <w:rsid w:val="003D6454"/>
    <w:rsid w:val="003D6B2A"/>
    <w:rsid w:val="003D6C2B"/>
    <w:rsid w:val="003D6C61"/>
    <w:rsid w:val="003D6FA0"/>
    <w:rsid w:val="003D7100"/>
    <w:rsid w:val="003D7221"/>
    <w:rsid w:val="003D7286"/>
    <w:rsid w:val="003D73F8"/>
    <w:rsid w:val="003D7421"/>
    <w:rsid w:val="003D7578"/>
    <w:rsid w:val="003D7694"/>
    <w:rsid w:val="003D784C"/>
    <w:rsid w:val="003D78D3"/>
    <w:rsid w:val="003D7957"/>
    <w:rsid w:val="003D7A08"/>
    <w:rsid w:val="003D7B63"/>
    <w:rsid w:val="003D7C4B"/>
    <w:rsid w:val="003D7DF3"/>
    <w:rsid w:val="003D7F66"/>
    <w:rsid w:val="003E007B"/>
    <w:rsid w:val="003E0146"/>
    <w:rsid w:val="003E0384"/>
    <w:rsid w:val="003E0458"/>
    <w:rsid w:val="003E0552"/>
    <w:rsid w:val="003E0598"/>
    <w:rsid w:val="003E05A3"/>
    <w:rsid w:val="003E0652"/>
    <w:rsid w:val="003E06A1"/>
    <w:rsid w:val="003E06DA"/>
    <w:rsid w:val="003E077C"/>
    <w:rsid w:val="003E0790"/>
    <w:rsid w:val="003E0882"/>
    <w:rsid w:val="003E0B75"/>
    <w:rsid w:val="003E0EC2"/>
    <w:rsid w:val="003E0ED6"/>
    <w:rsid w:val="003E0F2A"/>
    <w:rsid w:val="003E10E0"/>
    <w:rsid w:val="003E1143"/>
    <w:rsid w:val="003E122F"/>
    <w:rsid w:val="003E12C7"/>
    <w:rsid w:val="003E12DD"/>
    <w:rsid w:val="003E12FE"/>
    <w:rsid w:val="003E1374"/>
    <w:rsid w:val="003E13B5"/>
    <w:rsid w:val="003E13DD"/>
    <w:rsid w:val="003E13F6"/>
    <w:rsid w:val="003E140C"/>
    <w:rsid w:val="003E145D"/>
    <w:rsid w:val="003E171E"/>
    <w:rsid w:val="003E18DE"/>
    <w:rsid w:val="003E1A01"/>
    <w:rsid w:val="003E1A22"/>
    <w:rsid w:val="003E1ACA"/>
    <w:rsid w:val="003E1B7D"/>
    <w:rsid w:val="003E1B9D"/>
    <w:rsid w:val="003E1C72"/>
    <w:rsid w:val="003E1E5A"/>
    <w:rsid w:val="003E1F99"/>
    <w:rsid w:val="003E1F9D"/>
    <w:rsid w:val="003E202F"/>
    <w:rsid w:val="003E20C1"/>
    <w:rsid w:val="003E2254"/>
    <w:rsid w:val="003E22C1"/>
    <w:rsid w:val="003E22D2"/>
    <w:rsid w:val="003E23A2"/>
    <w:rsid w:val="003E247F"/>
    <w:rsid w:val="003E261E"/>
    <w:rsid w:val="003E2761"/>
    <w:rsid w:val="003E2AAC"/>
    <w:rsid w:val="003E2BAD"/>
    <w:rsid w:val="003E2C52"/>
    <w:rsid w:val="003E2C97"/>
    <w:rsid w:val="003E2CB5"/>
    <w:rsid w:val="003E2CF3"/>
    <w:rsid w:val="003E2DC9"/>
    <w:rsid w:val="003E2F44"/>
    <w:rsid w:val="003E2FA2"/>
    <w:rsid w:val="003E3134"/>
    <w:rsid w:val="003E31EA"/>
    <w:rsid w:val="003E3468"/>
    <w:rsid w:val="003E3496"/>
    <w:rsid w:val="003E3536"/>
    <w:rsid w:val="003E3995"/>
    <w:rsid w:val="003E3A3A"/>
    <w:rsid w:val="003E3A74"/>
    <w:rsid w:val="003E3AF4"/>
    <w:rsid w:val="003E3BFB"/>
    <w:rsid w:val="003E3C0C"/>
    <w:rsid w:val="003E3C6D"/>
    <w:rsid w:val="003E3D81"/>
    <w:rsid w:val="003E3DE1"/>
    <w:rsid w:val="003E3E67"/>
    <w:rsid w:val="003E3F28"/>
    <w:rsid w:val="003E3F2E"/>
    <w:rsid w:val="003E40E1"/>
    <w:rsid w:val="003E41F7"/>
    <w:rsid w:val="003E438E"/>
    <w:rsid w:val="003E4418"/>
    <w:rsid w:val="003E4450"/>
    <w:rsid w:val="003E44B8"/>
    <w:rsid w:val="003E4533"/>
    <w:rsid w:val="003E45C2"/>
    <w:rsid w:val="003E4636"/>
    <w:rsid w:val="003E4698"/>
    <w:rsid w:val="003E4707"/>
    <w:rsid w:val="003E47AE"/>
    <w:rsid w:val="003E48A1"/>
    <w:rsid w:val="003E4909"/>
    <w:rsid w:val="003E4A73"/>
    <w:rsid w:val="003E4DC5"/>
    <w:rsid w:val="003E4E17"/>
    <w:rsid w:val="003E4ECA"/>
    <w:rsid w:val="003E4F1F"/>
    <w:rsid w:val="003E4FE5"/>
    <w:rsid w:val="003E5186"/>
    <w:rsid w:val="003E52A1"/>
    <w:rsid w:val="003E52EA"/>
    <w:rsid w:val="003E5319"/>
    <w:rsid w:val="003E545D"/>
    <w:rsid w:val="003E5538"/>
    <w:rsid w:val="003E568E"/>
    <w:rsid w:val="003E596C"/>
    <w:rsid w:val="003E5AD8"/>
    <w:rsid w:val="003E5AFE"/>
    <w:rsid w:val="003E5C35"/>
    <w:rsid w:val="003E5FC2"/>
    <w:rsid w:val="003E600E"/>
    <w:rsid w:val="003E60B4"/>
    <w:rsid w:val="003E617B"/>
    <w:rsid w:val="003E6296"/>
    <w:rsid w:val="003E6961"/>
    <w:rsid w:val="003E6E91"/>
    <w:rsid w:val="003E6ED9"/>
    <w:rsid w:val="003E6F82"/>
    <w:rsid w:val="003E7077"/>
    <w:rsid w:val="003E7163"/>
    <w:rsid w:val="003E71A3"/>
    <w:rsid w:val="003E73E9"/>
    <w:rsid w:val="003E7454"/>
    <w:rsid w:val="003E7538"/>
    <w:rsid w:val="003E7724"/>
    <w:rsid w:val="003E7725"/>
    <w:rsid w:val="003E7756"/>
    <w:rsid w:val="003E776A"/>
    <w:rsid w:val="003E78DC"/>
    <w:rsid w:val="003E79B0"/>
    <w:rsid w:val="003E7A45"/>
    <w:rsid w:val="003E7BBC"/>
    <w:rsid w:val="003E7CA7"/>
    <w:rsid w:val="003E7D69"/>
    <w:rsid w:val="003F0072"/>
    <w:rsid w:val="003F0106"/>
    <w:rsid w:val="003F0235"/>
    <w:rsid w:val="003F0313"/>
    <w:rsid w:val="003F0475"/>
    <w:rsid w:val="003F04DB"/>
    <w:rsid w:val="003F058B"/>
    <w:rsid w:val="003F06C6"/>
    <w:rsid w:val="003F08C4"/>
    <w:rsid w:val="003F0913"/>
    <w:rsid w:val="003F09C9"/>
    <w:rsid w:val="003F09E1"/>
    <w:rsid w:val="003F0A7E"/>
    <w:rsid w:val="003F0B9E"/>
    <w:rsid w:val="003F0C61"/>
    <w:rsid w:val="003F0C8B"/>
    <w:rsid w:val="003F0DE6"/>
    <w:rsid w:val="003F0DED"/>
    <w:rsid w:val="003F1127"/>
    <w:rsid w:val="003F1267"/>
    <w:rsid w:val="003F12AE"/>
    <w:rsid w:val="003F1401"/>
    <w:rsid w:val="003F1462"/>
    <w:rsid w:val="003F1673"/>
    <w:rsid w:val="003F16E2"/>
    <w:rsid w:val="003F16FC"/>
    <w:rsid w:val="003F16FF"/>
    <w:rsid w:val="003F1707"/>
    <w:rsid w:val="003F1742"/>
    <w:rsid w:val="003F18AB"/>
    <w:rsid w:val="003F18CD"/>
    <w:rsid w:val="003F1ACD"/>
    <w:rsid w:val="003F1C6F"/>
    <w:rsid w:val="003F1DAF"/>
    <w:rsid w:val="003F1DBB"/>
    <w:rsid w:val="003F1EE6"/>
    <w:rsid w:val="003F20B9"/>
    <w:rsid w:val="003F20C7"/>
    <w:rsid w:val="003F212D"/>
    <w:rsid w:val="003F22C8"/>
    <w:rsid w:val="003F2555"/>
    <w:rsid w:val="003F2817"/>
    <w:rsid w:val="003F28EB"/>
    <w:rsid w:val="003F2AFF"/>
    <w:rsid w:val="003F2C7D"/>
    <w:rsid w:val="003F2DDA"/>
    <w:rsid w:val="003F2E2B"/>
    <w:rsid w:val="003F2EDA"/>
    <w:rsid w:val="003F2F31"/>
    <w:rsid w:val="003F2F39"/>
    <w:rsid w:val="003F2FFF"/>
    <w:rsid w:val="003F3014"/>
    <w:rsid w:val="003F304D"/>
    <w:rsid w:val="003F329B"/>
    <w:rsid w:val="003F3369"/>
    <w:rsid w:val="003F34A5"/>
    <w:rsid w:val="003F3502"/>
    <w:rsid w:val="003F3724"/>
    <w:rsid w:val="003F39C9"/>
    <w:rsid w:val="003F39DB"/>
    <w:rsid w:val="003F3C63"/>
    <w:rsid w:val="003F3E5E"/>
    <w:rsid w:val="003F3E73"/>
    <w:rsid w:val="003F3F91"/>
    <w:rsid w:val="003F41B8"/>
    <w:rsid w:val="003F429E"/>
    <w:rsid w:val="003F4384"/>
    <w:rsid w:val="003F4440"/>
    <w:rsid w:val="003F44EB"/>
    <w:rsid w:val="003F44FF"/>
    <w:rsid w:val="003F45E7"/>
    <w:rsid w:val="003F4705"/>
    <w:rsid w:val="003F4792"/>
    <w:rsid w:val="003F496D"/>
    <w:rsid w:val="003F4993"/>
    <w:rsid w:val="003F49CA"/>
    <w:rsid w:val="003F4A1C"/>
    <w:rsid w:val="003F4A59"/>
    <w:rsid w:val="003F4A79"/>
    <w:rsid w:val="003F4E33"/>
    <w:rsid w:val="003F5000"/>
    <w:rsid w:val="003F502E"/>
    <w:rsid w:val="003F50A6"/>
    <w:rsid w:val="003F512C"/>
    <w:rsid w:val="003F5224"/>
    <w:rsid w:val="003F52BE"/>
    <w:rsid w:val="003F531E"/>
    <w:rsid w:val="003F5378"/>
    <w:rsid w:val="003F55DD"/>
    <w:rsid w:val="003F55EC"/>
    <w:rsid w:val="003F58A0"/>
    <w:rsid w:val="003F5952"/>
    <w:rsid w:val="003F5BB9"/>
    <w:rsid w:val="003F5CE4"/>
    <w:rsid w:val="003F5D61"/>
    <w:rsid w:val="003F5DDD"/>
    <w:rsid w:val="003F5EDB"/>
    <w:rsid w:val="003F61EA"/>
    <w:rsid w:val="003F6466"/>
    <w:rsid w:val="003F6480"/>
    <w:rsid w:val="003F66F9"/>
    <w:rsid w:val="003F6B4F"/>
    <w:rsid w:val="003F6B80"/>
    <w:rsid w:val="003F6D42"/>
    <w:rsid w:val="003F6E4E"/>
    <w:rsid w:val="003F6F30"/>
    <w:rsid w:val="003F7043"/>
    <w:rsid w:val="003F73BA"/>
    <w:rsid w:val="003F73F5"/>
    <w:rsid w:val="003F7424"/>
    <w:rsid w:val="003F7659"/>
    <w:rsid w:val="003F783D"/>
    <w:rsid w:val="003F78A7"/>
    <w:rsid w:val="003F78D6"/>
    <w:rsid w:val="003F7940"/>
    <w:rsid w:val="003F7A6D"/>
    <w:rsid w:val="003F7AD9"/>
    <w:rsid w:val="003F7AFD"/>
    <w:rsid w:val="003F7B7A"/>
    <w:rsid w:val="003F7BF4"/>
    <w:rsid w:val="003F7D02"/>
    <w:rsid w:val="00400231"/>
    <w:rsid w:val="00400243"/>
    <w:rsid w:val="004002E8"/>
    <w:rsid w:val="00400300"/>
    <w:rsid w:val="0040034E"/>
    <w:rsid w:val="004003CA"/>
    <w:rsid w:val="00400426"/>
    <w:rsid w:val="004005F9"/>
    <w:rsid w:val="0040066C"/>
    <w:rsid w:val="004007D9"/>
    <w:rsid w:val="00400C89"/>
    <w:rsid w:val="00400CC2"/>
    <w:rsid w:val="00400DC3"/>
    <w:rsid w:val="0040110A"/>
    <w:rsid w:val="004012CB"/>
    <w:rsid w:val="0040161A"/>
    <w:rsid w:val="0040180E"/>
    <w:rsid w:val="00401A9C"/>
    <w:rsid w:val="00401B90"/>
    <w:rsid w:val="00401DC1"/>
    <w:rsid w:val="00401F92"/>
    <w:rsid w:val="00402127"/>
    <w:rsid w:val="00402326"/>
    <w:rsid w:val="0040267F"/>
    <w:rsid w:val="004028A8"/>
    <w:rsid w:val="00402A8D"/>
    <w:rsid w:val="00402AE4"/>
    <w:rsid w:val="00402C92"/>
    <w:rsid w:val="00402CDE"/>
    <w:rsid w:val="00402E29"/>
    <w:rsid w:val="00402E9A"/>
    <w:rsid w:val="00402EEA"/>
    <w:rsid w:val="00402F2A"/>
    <w:rsid w:val="00402FCE"/>
    <w:rsid w:val="0040322A"/>
    <w:rsid w:val="004032D1"/>
    <w:rsid w:val="004032EA"/>
    <w:rsid w:val="004032EE"/>
    <w:rsid w:val="004032F0"/>
    <w:rsid w:val="00403382"/>
    <w:rsid w:val="00403473"/>
    <w:rsid w:val="0040387E"/>
    <w:rsid w:val="00403A90"/>
    <w:rsid w:val="00403AA8"/>
    <w:rsid w:val="00403CE8"/>
    <w:rsid w:val="00403E1C"/>
    <w:rsid w:val="0040439D"/>
    <w:rsid w:val="004044BB"/>
    <w:rsid w:val="00404501"/>
    <w:rsid w:val="004045B1"/>
    <w:rsid w:val="00404642"/>
    <w:rsid w:val="00404646"/>
    <w:rsid w:val="004046D1"/>
    <w:rsid w:val="004046E7"/>
    <w:rsid w:val="004047EA"/>
    <w:rsid w:val="00404952"/>
    <w:rsid w:val="00404965"/>
    <w:rsid w:val="00404B81"/>
    <w:rsid w:val="00404C1A"/>
    <w:rsid w:val="00404CCA"/>
    <w:rsid w:val="00404DB1"/>
    <w:rsid w:val="00404E63"/>
    <w:rsid w:val="00404E9D"/>
    <w:rsid w:val="0040501D"/>
    <w:rsid w:val="004050B7"/>
    <w:rsid w:val="004050D5"/>
    <w:rsid w:val="004052C9"/>
    <w:rsid w:val="004054CD"/>
    <w:rsid w:val="004055C0"/>
    <w:rsid w:val="0040577F"/>
    <w:rsid w:val="004058FE"/>
    <w:rsid w:val="00405B6B"/>
    <w:rsid w:val="00405B6F"/>
    <w:rsid w:val="00405DE3"/>
    <w:rsid w:val="00405F3B"/>
    <w:rsid w:val="00405F53"/>
    <w:rsid w:val="00405F85"/>
    <w:rsid w:val="004060AF"/>
    <w:rsid w:val="00406115"/>
    <w:rsid w:val="0040612F"/>
    <w:rsid w:val="004061AF"/>
    <w:rsid w:val="004062C8"/>
    <w:rsid w:val="004064A0"/>
    <w:rsid w:val="0040658E"/>
    <w:rsid w:val="00406778"/>
    <w:rsid w:val="0040679C"/>
    <w:rsid w:val="004067D4"/>
    <w:rsid w:val="0040693B"/>
    <w:rsid w:val="00406AE2"/>
    <w:rsid w:val="00406B2D"/>
    <w:rsid w:val="00406E3B"/>
    <w:rsid w:val="00406E6A"/>
    <w:rsid w:val="00406F90"/>
    <w:rsid w:val="00406FF5"/>
    <w:rsid w:val="004070BD"/>
    <w:rsid w:val="0040717C"/>
    <w:rsid w:val="00407279"/>
    <w:rsid w:val="004072BA"/>
    <w:rsid w:val="004073EC"/>
    <w:rsid w:val="00407400"/>
    <w:rsid w:val="0040745A"/>
    <w:rsid w:val="00407532"/>
    <w:rsid w:val="00407570"/>
    <w:rsid w:val="00407833"/>
    <w:rsid w:val="004079E9"/>
    <w:rsid w:val="00407ACB"/>
    <w:rsid w:val="00407B85"/>
    <w:rsid w:val="00407D93"/>
    <w:rsid w:val="00407FFA"/>
    <w:rsid w:val="004100F1"/>
    <w:rsid w:val="0041014F"/>
    <w:rsid w:val="00410338"/>
    <w:rsid w:val="004103AC"/>
    <w:rsid w:val="004104C6"/>
    <w:rsid w:val="0041056F"/>
    <w:rsid w:val="004106E2"/>
    <w:rsid w:val="004107BC"/>
    <w:rsid w:val="004109D2"/>
    <w:rsid w:val="00410B1D"/>
    <w:rsid w:val="00410B29"/>
    <w:rsid w:val="00410B65"/>
    <w:rsid w:val="00410C52"/>
    <w:rsid w:val="00410D54"/>
    <w:rsid w:val="00410F91"/>
    <w:rsid w:val="00411037"/>
    <w:rsid w:val="00411047"/>
    <w:rsid w:val="004110DA"/>
    <w:rsid w:val="004112CB"/>
    <w:rsid w:val="00411386"/>
    <w:rsid w:val="00411427"/>
    <w:rsid w:val="00411561"/>
    <w:rsid w:val="00411683"/>
    <w:rsid w:val="00411687"/>
    <w:rsid w:val="004116AE"/>
    <w:rsid w:val="00411792"/>
    <w:rsid w:val="004117C1"/>
    <w:rsid w:val="0041194F"/>
    <w:rsid w:val="00411B9A"/>
    <w:rsid w:val="00411EAE"/>
    <w:rsid w:val="00411EE8"/>
    <w:rsid w:val="00411FF9"/>
    <w:rsid w:val="00412005"/>
    <w:rsid w:val="004121FC"/>
    <w:rsid w:val="004122C7"/>
    <w:rsid w:val="0041232F"/>
    <w:rsid w:val="004123D4"/>
    <w:rsid w:val="00412549"/>
    <w:rsid w:val="00412554"/>
    <w:rsid w:val="0041258B"/>
    <w:rsid w:val="004125FA"/>
    <w:rsid w:val="004126A7"/>
    <w:rsid w:val="004127F8"/>
    <w:rsid w:val="0041289C"/>
    <w:rsid w:val="00412B7A"/>
    <w:rsid w:val="00412BA1"/>
    <w:rsid w:val="00412BC8"/>
    <w:rsid w:val="00412D2E"/>
    <w:rsid w:val="00412D45"/>
    <w:rsid w:val="00412E5D"/>
    <w:rsid w:val="00412EC0"/>
    <w:rsid w:val="004130ED"/>
    <w:rsid w:val="004131E4"/>
    <w:rsid w:val="00413613"/>
    <w:rsid w:val="004136B6"/>
    <w:rsid w:val="004137CA"/>
    <w:rsid w:val="0041381E"/>
    <w:rsid w:val="00413B02"/>
    <w:rsid w:val="00413BB5"/>
    <w:rsid w:val="00413DAE"/>
    <w:rsid w:val="00413EAF"/>
    <w:rsid w:val="00413EDA"/>
    <w:rsid w:val="00413F4F"/>
    <w:rsid w:val="00414042"/>
    <w:rsid w:val="004141CC"/>
    <w:rsid w:val="0041448F"/>
    <w:rsid w:val="00414493"/>
    <w:rsid w:val="00414709"/>
    <w:rsid w:val="0041478C"/>
    <w:rsid w:val="004148FA"/>
    <w:rsid w:val="00414A6A"/>
    <w:rsid w:val="00414BC7"/>
    <w:rsid w:val="00414C8B"/>
    <w:rsid w:val="00414EED"/>
    <w:rsid w:val="00414FDC"/>
    <w:rsid w:val="00415084"/>
    <w:rsid w:val="00415098"/>
    <w:rsid w:val="00415141"/>
    <w:rsid w:val="004151A1"/>
    <w:rsid w:val="00415613"/>
    <w:rsid w:val="00415906"/>
    <w:rsid w:val="0041594B"/>
    <w:rsid w:val="00415C0D"/>
    <w:rsid w:val="00415DE1"/>
    <w:rsid w:val="00415DFC"/>
    <w:rsid w:val="00415EE1"/>
    <w:rsid w:val="00416059"/>
    <w:rsid w:val="004160EB"/>
    <w:rsid w:val="004162C0"/>
    <w:rsid w:val="004162F5"/>
    <w:rsid w:val="0041649C"/>
    <w:rsid w:val="0041662B"/>
    <w:rsid w:val="00416630"/>
    <w:rsid w:val="00416714"/>
    <w:rsid w:val="0041674B"/>
    <w:rsid w:val="00416985"/>
    <w:rsid w:val="00416A68"/>
    <w:rsid w:val="00416D7C"/>
    <w:rsid w:val="00416DD7"/>
    <w:rsid w:val="00416E38"/>
    <w:rsid w:val="00417047"/>
    <w:rsid w:val="00417123"/>
    <w:rsid w:val="0041723C"/>
    <w:rsid w:val="004173AA"/>
    <w:rsid w:val="004173D8"/>
    <w:rsid w:val="0041741A"/>
    <w:rsid w:val="0041742E"/>
    <w:rsid w:val="004176E9"/>
    <w:rsid w:val="00417710"/>
    <w:rsid w:val="004177C6"/>
    <w:rsid w:val="00417816"/>
    <w:rsid w:val="00417A10"/>
    <w:rsid w:val="00417A42"/>
    <w:rsid w:val="00417BD9"/>
    <w:rsid w:val="00417C4D"/>
    <w:rsid w:val="00417CCE"/>
    <w:rsid w:val="00417DC0"/>
    <w:rsid w:val="00417E4E"/>
    <w:rsid w:val="00417E86"/>
    <w:rsid w:val="00417EDB"/>
    <w:rsid w:val="00417F13"/>
    <w:rsid w:val="00417FA2"/>
    <w:rsid w:val="00420116"/>
    <w:rsid w:val="004201BD"/>
    <w:rsid w:val="004201D3"/>
    <w:rsid w:val="00420385"/>
    <w:rsid w:val="004203D2"/>
    <w:rsid w:val="00420457"/>
    <w:rsid w:val="004205D0"/>
    <w:rsid w:val="00420761"/>
    <w:rsid w:val="00420877"/>
    <w:rsid w:val="0042095F"/>
    <w:rsid w:val="00420CFF"/>
    <w:rsid w:val="00420E14"/>
    <w:rsid w:val="00420E91"/>
    <w:rsid w:val="00420FDA"/>
    <w:rsid w:val="00421011"/>
    <w:rsid w:val="004210FA"/>
    <w:rsid w:val="004212A5"/>
    <w:rsid w:val="00421302"/>
    <w:rsid w:val="004213FB"/>
    <w:rsid w:val="0042154D"/>
    <w:rsid w:val="0042167C"/>
    <w:rsid w:val="00421822"/>
    <w:rsid w:val="00421B12"/>
    <w:rsid w:val="00421B2C"/>
    <w:rsid w:val="00421B9A"/>
    <w:rsid w:val="00421CA7"/>
    <w:rsid w:val="0042200F"/>
    <w:rsid w:val="00422019"/>
    <w:rsid w:val="004220D2"/>
    <w:rsid w:val="004221CB"/>
    <w:rsid w:val="00422257"/>
    <w:rsid w:val="00422440"/>
    <w:rsid w:val="0042255B"/>
    <w:rsid w:val="004228AB"/>
    <w:rsid w:val="004229B6"/>
    <w:rsid w:val="00422A60"/>
    <w:rsid w:val="00422B4F"/>
    <w:rsid w:val="00422BED"/>
    <w:rsid w:val="00422C3F"/>
    <w:rsid w:val="00422CB5"/>
    <w:rsid w:val="00422CC4"/>
    <w:rsid w:val="00422DF1"/>
    <w:rsid w:val="00423004"/>
    <w:rsid w:val="00423026"/>
    <w:rsid w:val="0042306C"/>
    <w:rsid w:val="004230D8"/>
    <w:rsid w:val="00423181"/>
    <w:rsid w:val="004232B2"/>
    <w:rsid w:val="00423409"/>
    <w:rsid w:val="004234A3"/>
    <w:rsid w:val="004234F0"/>
    <w:rsid w:val="004237FD"/>
    <w:rsid w:val="00423868"/>
    <w:rsid w:val="00423876"/>
    <w:rsid w:val="0042389B"/>
    <w:rsid w:val="004238A5"/>
    <w:rsid w:val="00423932"/>
    <w:rsid w:val="00423952"/>
    <w:rsid w:val="00423A6B"/>
    <w:rsid w:val="00423AEA"/>
    <w:rsid w:val="00423B65"/>
    <w:rsid w:val="00423B70"/>
    <w:rsid w:val="00423C9E"/>
    <w:rsid w:val="00423CB0"/>
    <w:rsid w:val="00423EF9"/>
    <w:rsid w:val="0042404D"/>
    <w:rsid w:val="00424437"/>
    <w:rsid w:val="0042447C"/>
    <w:rsid w:val="0042464B"/>
    <w:rsid w:val="004247A5"/>
    <w:rsid w:val="00424953"/>
    <w:rsid w:val="00424BDB"/>
    <w:rsid w:val="0042516E"/>
    <w:rsid w:val="00425380"/>
    <w:rsid w:val="00425385"/>
    <w:rsid w:val="004253D8"/>
    <w:rsid w:val="00425454"/>
    <w:rsid w:val="00425475"/>
    <w:rsid w:val="004256DA"/>
    <w:rsid w:val="00425BD6"/>
    <w:rsid w:val="00425C8C"/>
    <w:rsid w:val="00425D9B"/>
    <w:rsid w:val="00425E12"/>
    <w:rsid w:val="00425E34"/>
    <w:rsid w:val="00425F47"/>
    <w:rsid w:val="00425FB3"/>
    <w:rsid w:val="00426062"/>
    <w:rsid w:val="004260D9"/>
    <w:rsid w:val="004260FE"/>
    <w:rsid w:val="004261CF"/>
    <w:rsid w:val="004265BC"/>
    <w:rsid w:val="004266A3"/>
    <w:rsid w:val="0042692F"/>
    <w:rsid w:val="004269B5"/>
    <w:rsid w:val="00426D37"/>
    <w:rsid w:val="00426D69"/>
    <w:rsid w:val="00426E6C"/>
    <w:rsid w:val="004270CE"/>
    <w:rsid w:val="00427173"/>
    <w:rsid w:val="00427224"/>
    <w:rsid w:val="004273EA"/>
    <w:rsid w:val="0042780B"/>
    <w:rsid w:val="00427947"/>
    <w:rsid w:val="0042796A"/>
    <w:rsid w:val="0042798D"/>
    <w:rsid w:val="00427C2C"/>
    <w:rsid w:val="00427D65"/>
    <w:rsid w:val="00427D76"/>
    <w:rsid w:val="00427DD4"/>
    <w:rsid w:val="00427DE3"/>
    <w:rsid w:val="00430272"/>
    <w:rsid w:val="00430520"/>
    <w:rsid w:val="004305AA"/>
    <w:rsid w:val="0043061B"/>
    <w:rsid w:val="00430683"/>
    <w:rsid w:val="004306AD"/>
    <w:rsid w:val="0043083F"/>
    <w:rsid w:val="004309DC"/>
    <w:rsid w:val="00430AA3"/>
    <w:rsid w:val="00430BD3"/>
    <w:rsid w:val="00430C53"/>
    <w:rsid w:val="00430D36"/>
    <w:rsid w:val="00430DD3"/>
    <w:rsid w:val="00430E8D"/>
    <w:rsid w:val="0043116F"/>
    <w:rsid w:val="0043121B"/>
    <w:rsid w:val="00431305"/>
    <w:rsid w:val="0043142B"/>
    <w:rsid w:val="0043146B"/>
    <w:rsid w:val="00431591"/>
    <w:rsid w:val="004318BB"/>
    <w:rsid w:val="00431FA9"/>
    <w:rsid w:val="00432228"/>
    <w:rsid w:val="00432248"/>
    <w:rsid w:val="0043231D"/>
    <w:rsid w:val="0043234C"/>
    <w:rsid w:val="00432552"/>
    <w:rsid w:val="004325D2"/>
    <w:rsid w:val="004325D4"/>
    <w:rsid w:val="0043270E"/>
    <w:rsid w:val="00432764"/>
    <w:rsid w:val="00432890"/>
    <w:rsid w:val="004329CA"/>
    <w:rsid w:val="00432B05"/>
    <w:rsid w:val="00432BFD"/>
    <w:rsid w:val="00432CDF"/>
    <w:rsid w:val="00432E00"/>
    <w:rsid w:val="00432E4A"/>
    <w:rsid w:val="00432F37"/>
    <w:rsid w:val="00432F73"/>
    <w:rsid w:val="00433050"/>
    <w:rsid w:val="0043305C"/>
    <w:rsid w:val="004330F4"/>
    <w:rsid w:val="004331B6"/>
    <w:rsid w:val="004331ED"/>
    <w:rsid w:val="0043336B"/>
    <w:rsid w:val="004335C4"/>
    <w:rsid w:val="004335F0"/>
    <w:rsid w:val="00433819"/>
    <w:rsid w:val="00433852"/>
    <w:rsid w:val="004338AC"/>
    <w:rsid w:val="00433933"/>
    <w:rsid w:val="00433A06"/>
    <w:rsid w:val="00433B56"/>
    <w:rsid w:val="00433D1F"/>
    <w:rsid w:val="00433FF9"/>
    <w:rsid w:val="00434006"/>
    <w:rsid w:val="004340A6"/>
    <w:rsid w:val="00434296"/>
    <w:rsid w:val="0043450D"/>
    <w:rsid w:val="00434643"/>
    <w:rsid w:val="0043468E"/>
    <w:rsid w:val="004348D4"/>
    <w:rsid w:val="00434919"/>
    <w:rsid w:val="00434CD6"/>
    <w:rsid w:val="00434DA9"/>
    <w:rsid w:val="00434DFC"/>
    <w:rsid w:val="00434E5F"/>
    <w:rsid w:val="004351F7"/>
    <w:rsid w:val="0043527A"/>
    <w:rsid w:val="004355B4"/>
    <w:rsid w:val="00435673"/>
    <w:rsid w:val="0043578E"/>
    <w:rsid w:val="004357BE"/>
    <w:rsid w:val="004358CB"/>
    <w:rsid w:val="004358E6"/>
    <w:rsid w:val="004359B1"/>
    <w:rsid w:val="00435AA1"/>
    <w:rsid w:val="00435B3D"/>
    <w:rsid w:val="00435BDF"/>
    <w:rsid w:val="00435CEB"/>
    <w:rsid w:val="00435D4E"/>
    <w:rsid w:val="00435E14"/>
    <w:rsid w:val="004361FF"/>
    <w:rsid w:val="00436373"/>
    <w:rsid w:val="00436430"/>
    <w:rsid w:val="0043645B"/>
    <w:rsid w:val="00436636"/>
    <w:rsid w:val="00436674"/>
    <w:rsid w:val="00436682"/>
    <w:rsid w:val="00436767"/>
    <w:rsid w:val="0043688A"/>
    <w:rsid w:val="0043695E"/>
    <w:rsid w:val="00436991"/>
    <w:rsid w:val="00436A36"/>
    <w:rsid w:val="00436A6A"/>
    <w:rsid w:val="00436D24"/>
    <w:rsid w:val="00436DF9"/>
    <w:rsid w:val="00436E12"/>
    <w:rsid w:val="00436F68"/>
    <w:rsid w:val="004371A1"/>
    <w:rsid w:val="004372CC"/>
    <w:rsid w:val="00437342"/>
    <w:rsid w:val="00437660"/>
    <w:rsid w:val="00437730"/>
    <w:rsid w:val="00437D9B"/>
    <w:rsid w:val="00437DD4"/>
    <w:rsid w:val="00437EE0"/>
    <w:rsid w:val="00437FD9"/>
    <w:rsid w:val="0044012A"/>
    <w:rsid w:val="004402A3"/>
    <w:rsid w:val="004402D3"/>
    <w:rsid w:val="0044030A"/>
    <w:rsid w:val="0044056B"/>
    <w:rsid w:val="004409FD"/>
    <w:rsid w:val="00440A34"/>
    <w:rsid w:val="00440A7A"/>
    <w:rsid w:val="00440B11"/>
    <w:rsid w:val="00440CBC"/>
    <w:rsid w:val="00440D37"/>
    <w:rsid w:val="00440DFB"/>
    <w:rsid w:val="00440E72"/>
    <w:rsid w:val="00440E95"/>
    <w:rsid w:val="00441397"/>
    <w:rsid w:val="00441400"/>
    <w:rsid w:val="004414AE"/>
    <w:rsid w:val="004415E3"/>
    <w:rsid w:val="004416BC"/>
    <w:rsid w:val="00441754"/>
    <w:rsid w:val="00441891"/>
    <w:rsid w:val="0044196F"/>
    <w:rsid w:val="004419CA"/>
    <w:rsid w:val="00441CA9"/>
    <w:rsid w:val="00441D00"/>
    <w:rsid w:val="00441DC5"/>
    <w:rsid w:val="00441E87"/>
    <w:rsid w:val="004420A7"/>
    <w:rsid w:val="004420E2"/>
    <w:rsid w:val="00442115"/>
    <w:rsid w:val="00442131"/>
    <w:rsid w:val="0044223E"/>
    <w:rsid w:val="004422A9"/>
    <w:rsid w:val="00442327"/>
    <w:rsid w:val="00442359"/>
    <w:rsid w:val="00442489"/>
    <w:rsid w:val="004424E3"/>
    <w:rsid w:val="004426E2"/>
    <w:rsid w:val="004427ED"/>
    <w:rsid w:val="0044294F"/>
    <w:rsid w:val="00442CDC"/>
    <w:rsid w:val="00442D04"/>
    <w:rsid w:val="00442D2E"/>
    <w:rsid w:val="00442D6F"/>
    <w:rsid w:val="00442ED6"/>
    <w:rsid w:val="0044302E"/>
    <w:rsid w:val="0044306A"/>
    <w:rsid w:val="004430EA"/>
    <w:rsid w:val="00443154"/>
    <w:rsid w:val="004432CD"/>
    <w:rsid w:val="00443307"/>
    <w:rsid w:val="00443422"/>
    <w:rsid w:val="00443513"/>
    <w:rsid w:val="00443627"/>
    <w:rsid w:val="00443628"/>
    <w:rsid w:val="00443774"/>
    <w:rsid w:val="004438E1"/>
    <w:rsid w:val="00443966"/>
    <w:rsid w:val="00443CE5"/>
    <w:rsid w:val="00443D8C"/>
    <w:rsid w:val="00443E70"/>
    <w:rsid w:val="0044401C"/>
    <w:rsid w:val="0044439B"/>
    <w:rsid w:val="0044451B"/>
    <w:rsid w:val="0044460F"/>
    <w:rsid w:val="00444679"/>
    <w:rsid w:val="004446C0"/>
    <w:rsid w:val="00444850"/>
    <w:rsid w:val="004448CA"/>
    <w:rsid w:val="00444924"/>
    <w:rsid w:val="00444A79"/>
    <w:rsid w:val="00444B0F"/>
    <w:rsid w:val="00444B32"/>
    <w:rsid w:val="00444B41"/>
    <w:rsid w:val="00444ECB"/>
    <w:rsid w:val="00444F6C"/>
    <w:rsid w:val="004450AA"/>
    <w:rsid w:val="004450AE"/>
    <w:rsid w:val="0044514E"/>
    <w:rsid w:val="004452E7"/>
    <w:rsid w:val="0044534A"/>
    <w:rsid w:val="00445372"/>
    <w:rsid w:val="004454E7"/>
    <w:rsid w:val="00445522"/>
    <w:rsid w:val="00445656"/>
    <w:rsid w:val="00445796"/>
    <w:rsid w:val="004457ED"/>
    <w:rsid w:val="00445928"/>
    <w:rsid w:val="00445BD6"/>
    <w:rsid w:val="00445DBE"/>
    <w:rsid w:val="00445EA9"/>
    <w:rsid w:val="00445F87"/>
    <w:rsid w:val="0044607F"/>
    <w:rsid w:val="00446213"/>
    <w:rsid w:val="00446258"/>
    <w:rsid w:val="00446464"/>
    <w:rsid w:val="00446541"/>
    <w:rsid w:val="0044667B"/>
    <w:rsid w:val="0044679D"/>
    <w:rsid w:val="00446843"/>
    <w:rsid w:val="0044685C"/>
    <w:rsid w:val="00446A0C"/>
    <w:rsid w:val="00446A66"/>
    <w:rsid w:val="00446B62"/>
    <w:rsid w:val="00446C4D"/>
    <w:rsid w:val="00446C6E"/>
    <w:rsid w:val="00446FFF"/>
    <w:rsid w:val="0044707A"/>
    <w:rsid w:val="004472CC"/>
    <w:rsid w:val="00447476"/>
    <w:rsid w:val="00447545"/>
    <w:rsid w:val="00447876"/>
    <w:rsid w:val="004478BB"/>
    <w:rsid w:val="004478C0"/>
    <w:rsid w:val="00447AC3"/>
    <w:rsid w:val="00447C7C"/>
    <w:rsid w:val="00447CF0"/>
    <w:rsid w:val="00447D4D"/>
    <w:rsid w:val="00447E66"/>
    <w:rsid w:val="00450105"/>
    <w:rsid w:val="00450298"/>
    <w:rsid w:val="004502BA"/>
    <w:rsid w:val="00450374"/>
    <w:rsid w:val="00450417"/>
    <w:rsid w:val="004505E4"/>
    <w:rsid w:val="004506CE"/>
    <w:rsid w:val="004506EC"/>
    <w:rsid w:val="0045088D"/>
    <w:rsid w:val="00450B9F"/>
    <w:rsid w:val="00450FBD"/>
    <w:rsid w:val="00451037"/>
    <w:rsid w:val="004510A7"/>
    <w:rsid w:val="004510D3"/>
    <w:rsid w:val="004510EB"/>
    <w:rsid w:val="00451167"/>
    <w:rsid w:val="00451233"/>
    <w:rsid w:val="004512AC"/>
    <w:rsid w:val="004512D4"/>
    <w:rsid w:val="00451311"/>
    <w:rsid w:val="0045136D"/>
    <w:rsid w:val="00451461"/>
    <w:rsid w:val="00451479"/>
    <w:rsid w:val="0045171A"/>
    <w:rsid w:val="0045188A"/>
    <w:rsid w:val="0045189E"/>
    <w:rsid w:val="00451983"/>
    <w:rsid w:val="004519DA"/>
    <w:rsid w:val="00451B41"/>
    <w:rsid w:val="00451E73"/>
    <w:rsid w:val="00451F88"/>
    <w:rsid w:val="00451FBC"/>
    <w:rsid w:val="0045204C"/>
    <w:rsid w:val="00452257"/>
    <w:rsid w:val="004522F9"/>
    <w:rsid w:val="004523CE"/>
    <w:rsid w:val="004525D3"/>
    <w:rsid w:val="00452612"/>
    <w:rsid w:val="0045267A"/>
    <w:rsid w:val="00452960"/>
    <w:rsid w:val="00452B0F"/>
    <w:rsid w:val="00452D00"/>
    <w:rsid w:val="00452D9F"/>
    <w:rsid w:val="00452DD1"/>
    <w:rsid w:val="00452E36"/>
    <w:rsid w:val="00453065"/>
    <w:rsid w:val="0045329B"/>
    <w:rsid w:val="004532CD"/>
    <w:rsid w:val="00453439"/>
    <w:rsid w:val="0045350C"/>
    <w:rsid w:val="004537D5"/>
    <w:rsid w:val="004538DF"/>
    <w:rsid w:val="00453900"/>
    <w:rsid w:val="00453A5A"/>
    <w:rsid w:val="00453B68"/>
    <w:rsid w:val="00453BA1"/>
    <w:rsid w:val="00453C3E"/>
    <w:rsid w:val="00453E35"/>
    <w:rsid w:val="004540AA"/>
    <w:rsid w:val="00454110"/>
    <w:rsid w:val="004541AE"/>
    <w:rsid w:val="00454346"/>
    <w:rsid w:val="0045438F"/>
    <w:rsid w:val="004544D3"/>
    <w:rsid w:val="00454597"/>
    <w:rsid w:val="004545AB"/>
    <w:rsid w:val="0045472D"/>
    <w:rsid w:val="0045480A"/>
    <w:rsid w:val="00454893"/>
    <w:rsid w:val="00454ACA"/>
    <w:rsid w:val="00454AEE"/>
    <w:rsid w:val="00454B32"/>
    <w:rsid w:val="00454D49"/>
    <w:rsid w:val="00454E51"/>
    <w:rsid w:val="00454F90"/>
    <w:rsid w:val="00455172"/>
    <w:rsid w:val="004552CB"/>
    <w:rsid w:val="00455355"/>
    <w:rsid w:val="0045536A"/>
    <w:rsid w:val="004553C7"/>
    <w:rsid w:val="004553DD"/>
    <w:rsid w:val="004553EB"/>
    <w:rsid w:val="00455405"/>
    <w:rsid w:val="00455408"/>
    <w:rsid w:val="004554A0"/>
    <w:rsid w:val="004554FE"/>
    <w:rsid w:val="00455505"/>
    <w:rsid w:val="004555F2"/>
    <w:rsid w:val="0045564A"/>
    <w:rsid w:val="00455696"/>
    <w:rsid w:val="00455723"/>
    <w:rsid w:val="00455884"/>
    <w:rsid w:val="00455997"/>
    <w:rsid w:val="004559A2"/>
    <w:rsid w:val="00455A78"/>
    <w:rsid w:val="00455B3F"/>
    <w:rsid w:val="00455CF5"/>
    <w:rsid w:val="00455D23"/>
    <w:rsid w:val="00455D55"/>
    <w:rsid w:val="00455DB6"/>
    <w:rsid w:val="0045601A"/>
    <w:rsid w:val="004561B8"/>
    <w:rsid w:val="0045640A"/>
    <w:rsid w:val="004564E4"/>
    <w:rsid w:val="00456538"/>
    <w:rsid w:val="004566DA"/>
    <w:rsid w:val="0045673B"/>
    <w:rsid w:val="00456740"/>
    <w:rsid w:val="00456781"/>
    <w:rsid w:val="00456968"/>
    <w:rsid w:val="00456AFC"/>
    <w:rsid w:val="0045714A"/>
    <w:rsid w:val="004573F1"/>
    <w:rsid w:val="0045743F"/>
    <w:rsid w:val="004575DE"/>
    <w:rsid w:val="004576B3"/>
    <w:rsid w:val="0045782B"/>
    <w:rsid w:val="00457870"/>
    <w:rsid w:val="004578C2"/>
    <w:rsid w:val="00457A14"/>
    <w:rsid w:val="00457B5B"/>
    <w:rsid w:val="00457BEF"/>
    <w:rsid w:val="00457D2D"/>
    <w:rsid w:val="00457D8C"/>
    <w:rsid w:val="00460014"/>
    <w:rsid w:val="004601E4"/>
    <w:rsid w:val="00460253"/>
    <w:rsid w:val="004606DC"/>
    <w:rsid w:val="004607BB"/>
    <w:rsid w:val="0046085D"/>
    <w:rsid w:val="004609CB"/>
    <w:rsid w:val="004609E3"/>
    <w:rsid w:val="00460A3A"/>
    <w:rsid w:val="00460B3F"/>
    <w:rsid w:val="00460C98"/>
    <w:rsid w:val="00460D53"/>
    <w:rsid w:val="00460DDC"/>
    <w:rsid w:val="00460EC6"/>
    <w:rsid w:val="00460FCC"/>
    <w:rsid w:val="0046106A"/>
    <w:rsid w:val="0046115E"/>
    <w:rsid w:val="0046122D"/>
    <w:rsid w:val="00461257"/>
    <w:rsid w:val="004613C3"/>
    <w:rsid w:val="00461683"/>
    <w:rsid w:val="0046168B"/>
    <w:rsid w:val="00461913"/>
    <w:rsid w:val="00461993"/>
    <w:rsid w:val="00461BBB"/>
    <w:rsid w:val="004623C5"/>
    <w:rsid w:val="00462474"/>
    <w:rsid w:val="004624BD"/>
    <w:rsid w:val="004624C7"/>
    <w:rsid w:val="0046264C"/>
    <w:rsid w:val="00462755"/>
    <w:rsid w:val="004629C0"/>
    <w:rsid w:val="00462BC0"/>
    <w:rsid w:val="00462BED"/>
    <w:rsid w:val="00462C0A"/>
    <w:rsid w:val="00462C50"/>
    <w:rsid w:val="00462FD6"/>
    <w:rsid w:val="004630A3"/>
    <w:rsid w:val="004632CF"/>
    <w:rsid w:val="0046331F"/>
    <w:rsid w:val="00463511"/>
    <w:rsid w:val="004635EE"/>
    <w:rsid w:val="00463880"/>
    <w:rsid w:val="004638C1"/>
    <w:rsid w:val="00463914"/>
    <w:rsid w:val="004639EC"/>
    <w:rsid w:val="00463B90"/>
    <w:rsid w:val="00463C27"/>
    <w:rsid w:val="00463CB6"/>
    <w:rsid w:val="00463D9F"/>
    <w:rsid w:val="00463E19"/>
    <w:rsid w:val="00463F0B"/>
    <w:rsid w:val="004640AB"/>
    <w:rsid w:val="00464100"/>
    <w:rsid w:val="004643FB"/>
    <w:rsid w:val="004644D5"/>
    <w:rsid w:val="0046466E"/>
    <w:rsid w:val="004646B8"/>
    <w:rsid w:val="00464725"/>
    <w:rsid w:val="004648D7"/>
    <w:rsid w:val="00464A29"/>
    <w:rsid w:val="00464A60"/>
    <w:rsid w:val="00464A87"/>
    <w:rsid w:val="00464C32"/>
    <w:rsid w:val="00464DE9"/>
    <w:rsid w:val="00464E18"/>
    <w:rsid w:val="00464EDD"/>
    <w:rsid w:val="00465159"/>
    <w:rsid w:val="00465496"/>
    <w:rsid w:val="0046553A"/>
    <w:rsid w:val="00465889"/>
    <w:rsid w:val="0046588E"/>
    <w:rsid w:val="00465C95"/>
    <w:rsid w:val="00465E71"/>
    <w:rsid w:val="00465E8A"/>
    <w:rsid w:val="00465FFD"/>
    <w:rsid w:val="0046612C"/>
    <w:rsid w:val="00466136"/>
    <w:rsid w:val="00466224"/>
    <w:rsid w:val="004662D8"/>
    <w:rsid w:val="004662FC"/>
    <w:rsid w:val="004664BB"/>
    <w:rsid w:val="00466517"/>
    <w:rsid w:val="00466805"/>
    <w:rsid w:val="00466836"/>
    <w:rsid w:val="00466838"/>
    <w:rsid w:val="00466A9F"/>
    <w:rsid w:val="00466C7E"/>
    <w:rsid w:val="00466D65"/>
    <w:rsid w:val="00466D6B"/>
    <w:rsid w:val="00466E0C"/>
    <w:rsid w:val="00466ED4"/>
    <w:rsid w:val="00467068"/>
    <w:rsid w:val="00467082"/>
    <w:rsid w:val="004671E1"/>
    <w:rsid w:val="004672C1"/>
    <w:rsid w:val="0046741F"/>
    <w:rsid w:val="00467443"/>
    <w:rsid w:val="00467787"/>
    <w:rsid w:val="004678B0"/>
    <w:rsid w:val="0046795C"/>
    <w:rsid w:val="00467A49"/>
    <w:rsid w:val="00467C21"/>
    <w:rsid w:val="00467C32"/>
    <w:rsid w:val="00467C93"/>
    <w:rsid w:val="00467D9E"/>
    <w:rsid w:val="00467DE4"/>
    <w:rsid w:val="00467ED3"/>
    <w:rsid w:val="00467F4E"/>
    <w:rsid w:val="00470020"/>
    <w:rsid w:val="00470098"/>
    <w:rsid w:val="004700AF"/>
    <w:rsid w:val="004700B2"/>
    <w:rsid w:val="004701B1"/>
    <w:rsid w:val="0047022C"/>
    <w:rsid w:val="004703E6"/>
    <w:rsid w:val="004703F1"/>
    <w:rsid w:val="004704FE"/>
    <w:rsid w:val="00470548"/>
    <w:rsid w:val="0047059C"/>
    <w:rsid w:val="004706C3"/>
    <w:rsid w:val="004706FE"/>
    <w:rsid w:val="00470715"/>
    <w:rsid w:val="0047074A"/>
    <w:rsid w:val="004707AF"/>
    <w:rsid w:val="004708E0"/>
    <w:rsid w:val="00470924"/>
    <w:rsid w:val="00470928"/>
    <w:rsid w:val="00470A79"/>
    <w:rsid w:val="00470B3B"/>
    <w:rsid w:val="00470BDD"/>
    <w:rsid w:val="00470BDF"/>
    <w:rsid w:val="00470C28"/>
    <w:rsid w:val="00470C49"/>
    <w:rsid w:val="00470CA6"/>
    <w:rsid w:val="00470D02"/>
    <w:rsid w:val="00470DF0"/>
    <w:rsid w:val="00470E0E"/>
    <w:rsid w:val="0047111B"/>
    <w:rsid w:val="00471320"/>
    <w:rsid w:val="004713CE"/>
    <w:rsid w:val="00471656"/>
    <w:rsid w:val="004717DF"/>
    <w:rsid w:val="00471884"/>
    <w:rsid w:val="00471A77"/>
    <w:rsid w:val="00471BA0"/>
    <w:rsid w:val="00471C01"/>
    <w:rsid w:val="00471CA0"/>
    <w:rsid w:val="0047212A"/>
    <w:rsid w:val="00472226"/>
    <w:rsid w:val="0047229F"/>
    <w:rsid w:val="00472407"/>
    <w:rsid w:val="00472541"/>
    <w:rsid w:val="004725B9"/>
    <w:rsid w:val="00472B9A"/>
    <w:rsid w:val="00472BA6"/>
    <w:rsid w:val="00472CF4"/>
    <w:rsid w:val="00472E28"/>
    <w:rsid w:val="00472F02"/>
    <w:rsid w:val="00472F22"/>
    <w:rsid w:val="00473063"/>
    <w:rsid w:val="0047308F"/>
    <w:rsid w:val="004730A5"/>
    <w:rsid w:val="00473159"/>
    <w:rsid w:val="00473183"/>
    <w:rsid w:val="004732B0"/>
    <w:rsid w:val="004732D9"/>
    <w:rsid w:val="004733E8"/>
    <w:rsid w:val="00473521"/>
    <w:rsid w:val="00473557"/>
    <w:rsid w:val="004735C8"/>
    <w:rsid w:val="00473609"/>
    <w:rsid w:val="00473A1F"/>
    <w:rsid w:val="00473A67"/>
    <w:rsid w:val="00473A8B"/>
    <w:rsid w:val="00473ADB"/>
    <w:rsid w:val="00473AEB"/>
    <w:rsid w:val="00473B28"/>
    <w:rsid w:val="00473C25"/>
    <w:rsid w:val="00473C2A"/>
    <w:rsid w:val="00473F10"/>
    <w:rsid w:val="00473F5D"/>
    <w:rsid w:val="00473F76"/>
    <w:rsid w:val="00474188"/>
    <w:rsid w:val="004741AB"/>
    <w:rsid w:val="004741B1"/>
    <w:rsid w:val="004742E9"/>
    <w:rsid w:val="004743B6"/>
    <w:rsid w:val="004745BE"/>
    <w:rsid w:val="00474602"/>
    <w:rsid w:val="00474677"/>
    <w:rsid w:val="004746DB"/>
    <w:rsid w:val="004747C7"/>
    <w:rsid w:val="00474992"/>
    <w:rsid w:val="00474AD1"/>
    <w:rsid w:val="00474B6A"/>
    <w:rsid w:val="00474C39"/>
    <w:rsid w:val="00474DDA"/>
    <w:rsid w:val="004752B2"/>
    <w:rsid w:val="004753C0"/>
    <w:rsid w:val="00475458"/>
    <w:rsid w:val="00475651"/>
    <w:rsid w:val="00475683"/>
    <w:rsid w:val="0047573F"/>
    <w:rsid w:val="0047575B"/>
    <w:rsid w:val="0047579A"/>
    <w:rsid w:val="004759FF"/>
    <w:rsid w:val="00475BCE"/>
    <w:rsid w:val="00475C97"/>
    <w:rsid w:val="00475CB4"/>
    <w:rsid w:val="00475EA9"/>
    <w:rsid w:val="00475F00"/>
    <w:rsid w:val="00475F93"/>
    <w:rsid w:val="00475FFD"/>
    <w:rsid w:val="00476297"/>
    <w:rsid w:val="004762E3"/>
    <w:rsid w:val="004763EE"/>
    <w:rsid w:val="00476514"/>
    <w:rsid w:val="0047660C"/>
    <w:rsid w:val="00476646"/>
    <w:rsid w:val="00476810"/>
    <w:rsid w:val="0047688E"/>
    <w:rsid w:val="0047693B"/>
    <w:rsid w:val="004769CE"/>
    <w:rsid w:val="00476A5E"/>
    <w:rsid w:val="00476AF3"/>
    <w:rsid w:val="00476B1B"/>
    <w:rsid w:val="00476B2B"/>
    <w:rsid w:val="00476B83"/>
    <w:rsid w:val="00476BD5"/>
    <w:rsid w:val="00476D3F"/>
    <w:rsid w:val="00476F95"/>
    <w:rsid w:val="00476FE0"/>
    <w:rsid w:val="004770CE"/>
    <w:rsid w:val="0047712B"/>
    <w:rsid w:val="004771C4"/>
    <w:rsid w:val="00477445"/>
    <w:rsid w:val="004774E1"/>
    <w:rsid w:val="00477585"/>
    <w:rsid w:val="00477622"/>
    <w:rsid w:val="00477830"/>
    <w:rsid w:val="00477884"/>
    <w:rsid w:val="004779F5"/>
    <w:rsid w:val="00477BE2"/>
    <w:rsid w:val="00477C1C"/>
    <w:rsid w:val="00477C2B"/>
    <w:rsid w:val="00477CB5"/>
    <w:rsid w:val="00477DA8"/>
    <w:rsid w:val="00477DB5"/>
    <w:rsid w:val="004800A5"/>
    <w:rsid w:val="00480108"/>
    <w:rsid w:val="00480357"/>
    <w:rsid w:val="004804CE"/>
    <w:rsid w:val="0048063E"/>
    <w:rsid w:val="0048064B"/>
    <w:rsid w:val="0048064F"/>
    <w:rsid w:val="0048092B"/>
    <w:rsid w:val="004809D0"/>
    <w:rsid w:val="00480A49"/>
    <w:rsid w:val="00480C62"/>
    <w:rsid w:val="00480C86"/>
    <w:rsid w:val="00480D59"/>
    <w:rsid w:val="00480D78"/>
    <w:rsid w:val="0048102A"/>
    <w:rsid w:val="00481035"/>
    <w:rsid w:val="004811D3"/>
    <w:rsid w:val="004812D8"/>
    <w:rsid w:val="00481401"/>
    <w:rsid w:val="00481776"/>
    <w:rsid w:val="004817A0"/>
    <w:rsid w:val="004817AF"/>
    <w:rsid w:val="00481800"/>
    <w:rsid w:val="00481981"/>
    <w:rsid w:val="004819A1"/>
    <w:rsid w:val="004819FA"/>
    <w:rsid w:val="00481A38"/>
    <w:rsid w:val="00481B09"/>
    <w:rsid w:val="00481CED"/>
    <w:rsid w:val="00481DEC"/>
    <w:rsid w:val="00481E64"/>
    <w:rsid w:val="00481E71"/>
    <w:rsid w:val="00481EFD"/>
    <w:rsid w:val="00481F2E"/>
    <w:rsid w:val="00481F2F"/>
    <w:rsid w:val="00482073"/>
    <w:rsid w:val="004820A2"/>
    <w:rsid w:val="0048214A"/>
    <w:rsid w:val="0048228C"/>
    <w:rsid w:val="004823FC"/>
    <w:rsid w:val="004825F7"/>
    <w:rsid w:val="0048265D"/>
    <w:rsid w:val="0048270B"/>
    <w:rsid w:val="0048273C"/>
    <w:rsid w:val="0048273D"/>
    <w:rsid w:val="00482813"/>
    <w:rsid w:val="004828FF"/>
    <w:rsid w:val="004829A3"/>
    <w:rsid w:val="00482A81"/>
    <w:rsid w:val="00482AB1"/>
    <w:rsid w:val="00482ADA"/>
    <w:rsid w:val="00482AF8"/>
    <w:rsid w:val="00482C20"/>
    <w:rsid w:val="00482C24"/>
    <w:rsid w:val="00482C30"/>
    <w:rsid w:val="00482C4D"/>
    <w:rsid w:val="00482CE5"/>
    <w:rsid w:val="00482E3E"/>
    <w:rsid w:val="00482E88"/>
    <w:rsid w:val="00483144"/>
    <w:rsid w:val="00483181"/>
    <w:rsid w:val="0048352E"/>
    <w:rsid w:val="00483654"/>
    <w:rsid w:val="0048394F"/>
    <w:rsid w:val="00483A2B"/>
    <w:rsid w:val="00483F5E"/>
    <w:rsid w:val="00484188"/>
    <w:rsid w:val="004841D3"/>
    <w:rsid w:val="00484283"/>
    <w:rsid w:val="004842A1"/>
    <w:rsid w:val="004842E8"/>
    <w:rsid w:val="004842EB"/>
    <w:rsid w:val="004842F7"/>
    <w:rsid w:val="0048435D"/>
    <w:rsid w:val="0048436F"/>
    <w:rsid w:val="0048440D"/>
    <w:rsid w:val="004847CF"/>
    <w:rsid w:val="004847E6"/>
    <w:rsid w:val="004849A9"/>
    <w:rsid w:val="00484A18"/>
    <w:rsid w:val="00484AA1"/>
    <w:rsid w:val="00484BE8"/>
    <w:rsid w:val="00484CB4"/>
    <w:rsid w:val="00484D21"/>
    <w:rsid w:val="00484E35"/>
    <w:rsid w:val="00484F48"/>
    <w:rsid w:val="004850F6"/>
    <w:rsid w:val="004851F8"/>
    <w:rsid w:val="00485282"/>
    <w:rsid w:val="004853E6"/>
    <w:rsid w:val="0048543D"/>
    <w:rsid w:val="004854AE"/>
    <w:rsid w:val="004854CC"/>
    <w:rsid w:val="0048556C"/>
    <w:rsid w:val="0048559E"/>
    <w:rsid w:val="00485815"/>
    <w:rsid w:val="00485A68"/>
    <w:rsid w:val="00485CAD"/>
    <w:rsid w:val="00485D7B"/>
    <w:rsid w:val="00485DE5"/>
    <w:rsid w:val="00485F96"/>
    <w:rsid w:val="00486084"/>
    <w:rsid w:val="0048613A"/>
    <w:rsid w:val="00486215"/>
    <w:rsid w:val="00486323"/>
    <w:rsid w:val="00486336"/>
    <w:rsid w:val="00486467"/>
    <w:rsid w:val="004864B2"/>
    <w:rsid w:val="0048654E"/>
    <w:rsid w:val="004865A2"/>
    <w:rsid w:val="0048661E"/>
    <w:rsid w:val="0048664E"/>
    <w:rsid w:val="004866BD"/>
    <w:rsid w:val="0048684B"/>
    <w:rsid w:val="00486903"/>
    <w:rsid w:val="0048693E"/>
    <w:rsid w:val="00486963"/>
    <w:rsid w:val="00486AED"/>
    <w:rsid w:val="00486B23"/>
    <w:rsid w:val="00486B35"/>
    <w:rsid w:val="00486C8B"/>
    <w:rsid w:val="00486CB5"/>
    <w:rsid w:val="00486D8A"/>
    <w:rsid w:val="00486D90"/>
    <w:rsid w:val="00486DB2"/>
    <w:rsid w:val="00486DC1"/>
    <w:rsid w:val="00486E50"/>
    <w:rsid w:val="00486EAF"/>
    <w:rsid w:val="00486ED9"/>
    <w:rsid w:val="0048702B"/>
    <w:rsid w:val="00487071"/>
    <w:rsid w:val="004871A5"/>
    <w:rsid w:val="0048749D"/>
    <w:rsid w:val="004878AF"/>
    <w:rsid w:val="00487CAF"/>
    <w:rsid w:val="00487DA6"/>
    <w:rsid w:val="00487E02"/>
    <w:rsid w:val="00487FC8"/>
    <w:rsid w:val="00490030"/>
    <w:rsid w:val="00490134"/>
    <w:rsid w:val="004902E5"/>
    <w:rsid w:val="00490412"/>
    <w:rsid w:val="004906BE"/>
    <w:rsid w:val="004906E1"/>
    <w:rsid w:val="00490B56"/>
    <w:rsid w:val="00490B82"/>
    <w:rsid w:val="00490CD3"/>
    <w:rsid w:val="00490D06"/>
    <w:rsid w:val="00490F16"/>
    <w:rsid w:val="00490FC5"/>
    <w:rsid w:val="004917BB"/>
    <w:rsid w:val="00491815"/>
    <w:rsid w:val="004918E4"/>
    <w:rsid w:val="00491912"/>
    <w:rsid w:val="00491AD8"/>
    <w:rsid w:val="00491B34"/>
    <w:rsid w:val="00491BC3"/>
    <w:rsid w:val="00491F02"/>
    <w:rsid w:val="00491F1E"/>
    <w:rsid w:val="00491FFF"/>
    <w:rsid w:val="004924AC"/>
    <w:rsid w:val="004925B1"/>
    <w:rsid w:val="004928CC"/>
    <w:rsid w:val="00492CFF"/>
    <w:rsid w:val="00492D4D"/>
    <w:rsid w:val="00492D79"/>
    <w:rsid w:val="00492E0C"/>
    <w:rsid w:val="00492E3A"/>
    <w:rsid w:val="00492F0D"/>
    <w:rsid w:val="00492F7A"/>
    <w:rsid w:val="00492F84"/>
    <w:rsid w:val="00492FE5"/>
    <w:rsid w:val="004933CA"/>
    <w:rsid w:val="004935E3"/>
    <w:rsid w:val="00493677"/>
    <w:rsid w:val="00493780"/>
    <w:rsid w:val="004937C6"/>
    <w:rsid w:val="00493806"/>
    <w:rsid w:val="00493CDA"/>
    <w:rsid w:val="00493D06"/>
    <w:rsid w:val="00493D47"/>
    <w:rsid w:val="00493D9C"/>
    <w:rsid w:val="00494108"/>
    <w:rsid w:val="0049414C"/>
    <w:rsid w:val="00494193"/>
    <w:rsid w:val="004942CB"/>
    <w:rsid w:val="004942E5"/>
    <w:rsid w:val="00494422"/>
    <w:rsid w:val="0049443E"/>
    <w:rsid w:val="004944CF"/>
    <w:rsid w:val="004945FF"/>
    <w:rsid w:val="00494630"/>
    <w:rsid w:val="004946BC"/>
    <w:rsid w:val="00494715"/>
    <w:rsid w:val="0049474D"/>
    <w:rsid w:val="00494A75"/>
    <w:rsid w:val="00494AC6"/>
    <w:rsid w:val="00494AE0"/>
    <w:rsid w:val="00494B38"/>
    <w:rsid w:val="00494B49"/>
    <w:rsid w:val="00494C4F"/>
    <w:rsid w:val="00494DD7"/>
    <w:rsid w:val="00494DDD"/>
    <w:rsid w:val="00494DE4"/>
    <w:rsid w:val="004951D6"/>
    <w:rsid w:val="00495277"/>
    <w:rsid w:val="004954F0"/>
    <w:rsid w:val="00495631"/>
    <w:rsid w:val="00495670"/>
    <w:rsid w:val="0049572D"/>
    <w:rsid w:val="004957CA"/>
    <w:rsid w:val="00495870"/>
    <w:rsid w:val="004958B3"/>
    <w:rsid w:val="0049596F"/>
    <w:rsid w:val="00495AC9"/>
    <w:rsid w:val="00495B5D"/>
    <w:rsid w:val="00495B76"/>
    <w:rsid w:val="00495BB4"/>
    <w:rsid w:val="00495C1E"/>
    <w:rsid w:val="00495CC0"/>
    <w:rsid w:val="00495EC0"/>
    <w:rsid w:val="00495EDE"/>
    <w:rsid w:val="00495F12"/>
    <w:rsid w:val="0049626D"/>
    <w:rsid w:val="00496328"/>
    <w:rsid w:val="0049633F"/>
    <w:rsid w:val="004963F3"/>
    <w:rsid w:val="004964A6"/>
    <w:rsid w:val="0049652C"/>
    <w:rsid w:val="00496571"/>
    <w:rsid w:val="00496600"/>
    <w:rsid w:val="0049686E"/>
    <w:rsid w:val="004968F2"/>
    <w:rsid w:val="004969ED"/>
    <w:rsid w:val="00496A1E"/>
    <w:rsid w:val="00496C9F"/>
    <w:rsid w:val="00496D06"/>
    <w:rsid w:val="00496E97"/>
    <w:rsid w:val="00496EFB"/>
    <w:rsid w:val="00496F47"/>
    <w:rsid w:val="00496FE4"/>
    <w:rsid w:val="0049728A"/>
    <w:rsid w:val="00497335"/>
    <w:rsid w:val="00497360"/>
    <w:rsid w:val="004974D2"/>
    <w:rsid w:val="00497645"/>
    <w:rsid w:val="0049767B"/>
    <w:rsid w:val="004977ED"/>
    <w:rsid w:val="0049787E"/>
    <w:rsid w:val="004979B5"/>
    <w:rsid w:val="00497A09"/>
    <w:rsid w:val="00497A6F"/>
    <w:rsid w:val="00497A8A"/>
    <w:rsid w:val="00497D95"/>
    <w:rsid w:val="004A002D"/>
    <w:rsid w:val="004A002E"/>
    <w:rsid w:val="004A0267"/>
    <w:rsid w:val="004A0284"/>
    <w:rsid w:val="004A029E"/>
    <w:rsid w:val="004A0305"/>
    <w:rsid w:val="004A03FF"/>
    <w:rsid w:val="004A04FA"/>
    <w:rsid w:val="004A09AB"/>
    <w:rsid w:val="004A0A6E"/>
    <w:rsid w:val="004A0AAD"/>
    <w:rsid w:val="004A0B03"/>
    <w:rsid w:val="004A0DB3"/>
    <w:rsid w:val="004A0EC5"/>
    <w:rsid w:val="004A1034"/>
    <w:rsid w:val="004A1264"/>
    <w:rsid w:val="004A13B1"/>
    <w:rsid w:val="004A145E"/>
    <w:rsid w:val="004A160F"/>
    <w:rsid w:val="004A164A"/>
    <w:rsid w:val="004A17BB"/>
    <w:rsid w:val="004A197B"/>
    <w:rsid w:val="004A1B15"/>
    <w:rsid w:val="004A1C14"/>
    <w:rsid w:val="004A1CC4"/>
    <w:rsid w:val="004A1E0A"/>
    <w:rsid w:val="004A1F20"/>
    <w:rsid w:val="004A1F48"/>
    <w:rsid w:val="004A2094"/>
    <w:rsid w:val="004A20B3"/>
    <w:rsid w:val="004A20CC"/>
    <w:rsid w:val="004A22EE"/>
    <w:rsid w:val="004A241C"/>
    <w:rsid w:val="004A2545"/>
    <w:rsid w:val="004A254B"/>
    <w:rsid w:val="004A25AC"/>
    <w:rsid w:val="004A2840"/>
    <w:rsid w:val="004A28CD"/>
    <w:rsid w:val="004A29B7"/>
    <w:rsid w:val="004A2A38"/>
    <w:rsid w:val="004A2ADB"/>
    <w:rsid w:val="004A2B70"/>
    <w:rsid w:val="004A2BDC"/>
    <w:rsid w:val="004A2E0D"/>
    <w:rsid w:val="004A2E54"/>
    <w:rsid w:val="004A3043"/>
    <w:rsid w:val="004A312D"/>
    <w:rsid w:val="004A3135"/>
    <w:rsid w:val="004A31A9"/>
    <w:rsid w:val="004A31EC"/>
    <w:rsid w:val="004A3210"/>
    <w:rsid w:val="004A3263"/>
    <w:rsid w:val="004A32B1"/>
    <w:rsid w:val="004A33FD"/>
    <w:rsid w:val="004A341C"/>
    <w:rsid w:val="004A3655"/>
    <w:rsid w:val="004A374F"/>
    <w:rsid w:val="004A383A"/>
    <w:rsid w:val="004A38DF"/>
    <w:rsid w:val="004A3A2E"/>
    <w:rsid w:val="004A3B83"/>
    <w:rsid w:val="004A3D6B"/>
    <w:rsid w:val="004A3F00"/>
    <w:rsid w:val="004A4021"/>
    <w:rsid w:val="004A41EC"/>
    <w:rsid w:val="004A43AF"/>
    <w:rsid w:val="004A4579"/>
    <w:rsid w:val="004A46D1"/>
    <w:rsid w:val="004A46EA"/>
    <w:rsid w:val="004A47CB"/>
    <w:rsid w:val="004A47FF"/>
    <w:rsid w:val="004A4848"/>
    <w:rsid w:val="004A4ABE"/>
    <w:rsid w:val="004A4B70"/>
    <w:rsid w:val="004A4BC7"/>
    <w:rsid w:val="004A4CDD"/>
    <w:rsid w:val="004A4DBB"/>
    <w:rsid w:val="004A4F7F"/>
    <w:rsid w:val="004A5057"/>
    <w:rsid w:val="004A50F2"/>
    <w:rsid w:val="004A52D6"/>
    <w:rsid w:val="004A54CE"/>
    <w:rsid w:val="004A55A0"/>
    <w:rsid w:val="004A575A"/>
    <w:rsid w:val="004A577E"/>
    <w:rsid w:val="004A59D9"/>
    <w:rsid w:val="004A5C59"/>
    <w:rsid w:val="004A5CBF"/>
    <w:rsid w:val="004A5D2B"/>
    <w:rsid w:val="004A5E17"/>
    <w:rsid w:val="004A5FD9"/>
    <w:rsid w:val="004A6027"/>
    <w:rsid w:val="004A6029"/>
    <w:rsid w:val="004A6126"/>
    <w:rsid w:val="004A6254"/>
    <w:rsid w:val="004A6423"/>
    <w:rsid w:val="004A642B"/>
    <w:rsid w:val="004A661B"/>
    <w:rsid w:val="004A67BC"/>
    <w:rsid w:val="004A680C"/>
    <w:rsid w:val="004A68F8"/>
    <w:rsid w:val="004A692C"/>
    <w:rsid w:val="004A6A7C"/>
    <w:rsid w:val="004A6B51"/>
    <w:rsid w:val="004A6CF5"/>
    <w:rsid w:val="004A6E06"/>
    <w:rsid w:val="004A6EDB"/>
    <w:rsid w:val="004A6F1F"/>
    <w:rsid w:val="004A6FE0"/>
    <w:rsid w:val="004A707E"/>
    <w:rsid w:val="004A708D"/>
    <w:rsid w:val="004A70B1"/>
    <w:rsid w:val="004A7132"/>
    <w:rsid w:val="004A7158"/>
    <w:rsid w:val="004A7261"/>
    <w:rsid w:val="004A7292"/>
    <w:rsid w:val="004A7416"/>
    <w:rsid w:val="004A746A"/>
    <w:rsid w:val="004A7532"/>
    <w:rsid w:val="004A75F6"/>
    <w:rsid w:val="004A7640"/>
    <w:rsid w:val="004A76B7"/>
    <w:rsid w:val="004A78B7"/>
    <w:rsid w:val="004A7961"/>
    <w:rsid w:val="004A7AAA"/>
    <w:rsid w:val="004A7AF7"/>
    <w:rsid w:val="004A7C68"/>
    <w:rsid w:val="004A7CBA"/>
    <w:rsid w:val="004A7EBC"/>
    <w:rsid w:val="004B001B"/>
    <w:rsid w:val="004B0102"/>
    <w:rsid w:val="004B0247"/>
    <w:rsid w:val="004B024F"/>
    <w:rsid w:val="004B032F"/>
    <w:rsid w:val="004B0511"/>
    <w:rsid w:val="004B053E"/>
    <w:rsid w:val="004B06BB"/>
    <w:rsid w:val="004B070B"/>
    <w:rsid w:val="004B0808"/>
    <w:rsid w:val="004B0816"/>
    <w:rsid w:val="004B081D"/>
    <w:rsid w:val="004B0899"/>
    <w:rsid w:val="004B0A55"/>
    <w:rsid w:val="004B0AD1"/>
    <w:rsid w:val="004B0B18"/>
    <w:rsid w:val="004B0C88"/>
    <w:rsid w:val="004B0D80"/>
    <w:rsid w:val="004B0DB5"/>
    <w:rsid w:val="004B0E57"/>
    <w:rsid w:val="004B0EFA"/>
    <w:rsid w:val="004B10CD"/>
    <w:rsid w:val="004B10E3"/>
    <w:rsid w:val="004B1159"/>
    <w:rsid w:val="004B1163"/>
    <w:rsid w:val="004B117A"/>
    <w:rsid w:val="004B1190"/>
    <w:rsid w:val="004B1274"/>
    <w:rsid w:val="004B1450"/>
    <w:rsid w:val="004B1477"/>
    <w:rsid w:val="004B1524"/>
    <w:rsid w:val="004B16BB"/>
    <w:rsid w:val="004B17DD"/>
    <w:rsid w:val="004B17E5"/>
    <w:rsid w:val="004B18FF"/>
    <w:rsid w:val="004B1BD5"/>
    <w:rsid w:val="004B1C05"/>
    <w:rsid w:val="004B1C10"/>
    <w:rsid w:val="004B1F75"/>
    <w:rsid w:val="004B20DE"/>
    <w:rsid w:val="004B2225"/>
    <w:rsid w:val="004B22C7"/>
    <w:rsid w:val="004B22E7"/>
    <w:rsid w:val="004B23A4"/>
    <w:rsid w:val="004B248D"/>
    <w:rsid w:val="004B253B"/>
    <w:rsid w:val="004B25D9"/>
    <w:rsid w:val="004B2615"/>
    <w:rsid w:val="004B26A0"/>
    <w:rsid w:val="004B2735"/>
    <w:rsid w:val="004B279B"/>
    <w:rsid w:val="004B2816"/>
    <w:rsid w:val="004B2A49"/>
    <w:rsid w:val="004B2A4E"/>
    <w:rsid w:val="004B2BEA"/>
    <w:rsid w:val="004B2D0A"/>
    <w:rsid w:val="004B2FB4"/>
    <w:rsid w:val="004B3249"/>
    <w:rsid w:val="004B327C"/>
    <w:rsid w:val="004B338D"/>
    <w:rsid w:val="004B33DC"/>
    <w:rsid w:val="004B36AC"/>
    <w:rsid w:val="004B374D"/>
    <w:rsid w:val="004B374E"/>
    <w:rsid w:val="004B37F2"/>
    <w:rsid w:val="004B38DF"/>
    <w:rsid w:val="004B396C"/>
    <w:rsid w:val="004B3A14"/>
    <w:rsid w:val="004B3D05"/>
    <w:rsid w:val="004B3D30"/>
    <w:rsid w:val="004B3F2A"/>
    <w:rsid w:val="004B4353"/>
    <w:rsid w:val="004B453A"/>
    <w:rsid w:val="004B4579"/>
    <w:rsid w:val="004B4674"/>
    <w:rsid w:val="004B46C3"/>
    <w:rsid w:val="004B47F6"/>
    <w:rsid w:val="004B48EC"/>
    <w:rsid w:val="004B4962"/>
    <w:rsid w:val="004B4A51"/>
    <w:rsid w:val="004B4A84"/>
    <w:rsid w:val="004B4DF6"/>
    <w:rsid w:val="004B4E12"/>
    <w:rsid w:val="004B4EBB"/>
    <w:rsid w:val="004B4F31"/>
    <w:rsid w:val="004B4F72"/>
    <w:rsid w:val="004B4FFC"/>
    <w:rsid w:val="004B501F"/>
    <w:rsid w:val="004B50E3"/>
    <w:rsid w:val="004B5113"/>
    <w:rsid w:val="004B51A4"/>
    <w:rsid w:val="004B52BE"/>
    <w:rsid w:val="004B56CC"/>
    <w:rsid w:val="004B5789"/>
    <w:rsid w:val="004B57E2"/>
    <w:rsid w:val="004B5961"/>
    <w:rsid w:val="004B5A97"/>
    <w:rsid w:val="004B5AE3"/>
    <w:rsid w:val="004B5B96"/>
    <w:rsid w:val="004B5C84"/>
    <w:rsid w:val="004B5C9E"/>
    <w:rsid w:val="004B5CC7"/>
    <w:rsid w:val="004B5E0A"/>
    <w:rsid w:val="004B5E1F"/>
    <w:rsid w:val="004B6070"/>
    <w:rsid w:val="004B6077"/>
    <w:rsid w:val="004B6092"/>
    <w:rsid w:val="004B60C5"/>
    <w:rsid w:val="004B61E4"/>
    <w:rsid w:val="004B6233"/>
    <w:rsid w:val="004B6235"/>
    <w:rsid w:val="004B63EB"/>
    <w:rsid w:val="004B67AB"/>
    <w:rsid w:val="004B6880"/>
    <w:rsid w:val="004B68A5"/>
    <w:rsid w:val="004B69A4"/>
    <w:rsid w:val="004B6A01"/>
    <w:rsid w:val="004B6A59"/>
    <w:rsid w:val="004B6B20"/>
    <w:rsid w:val="004B6B96"/>
    <w:rsid w:val="004B6B9C"/>
    <w:rsid w:val="004B6C91"/>
    <w:rsid w:val="004B6D70"/>
    <w:rsid w:val="004B6E78"/>
    <w:rsid w:val="004B6EA0"/>
    <w:rsid w:val="004B7104"/>
    <w:rsid w:val="004B7169"/>
    <w:rsid w:val="004B7225"/>
    <w:rsid w:val="004B72C5"/>
    <w:rsid w:val="004B753B"/>
    <w:rsid w:val="004B7613"/>
    <w:rsid w:val="004B7693"/>
    <w:rsid w:val="004B76EC"/>
    <w:rsid w:val="004B7786"/>
    <w:rsid w:val="004B778F"/>
    <w:rsid w:val="004B78C5"/>
    <w:rsid w:val="004B7911"/>
    <w:rsid w:val="004B791B"/>
    <w:rsid w:val="004B7AA6"/>
    <w:rsid w:val="004B7B43"/>
    <w:rsid w:val="004B7B52"/>
    <w:rsid w:val="004B7BA7"/>
    <w:rsid w:val="004B7CB8"/>
    <w:rsid w:val="004C00F8"/>
    <w:rsid w:val="004C01AD"/>
    <w:rsid w:val="004C01D9"/>
    <w:rsid w:val="004C025A"/>
    <w:rsid w:val="004C0357"/>
    <w:rsid w:val="004C04B4"/>
    <w:rsid w:val="004C0521"/>
    <w:rsid w:val="004C0635"/>
    <w:rsid w:val="004C06C5"/>
    <w:rsid w:val="004C0705"/>
    <w:rsid w:val="004C0773"/>
    <w:rsid w:val="004C0921"/>
    <w:rsid w:val="004C0922"/>
    <w:rsid w:val="004C0B09"/>
    <w:rsid w:val="004C0BFF"/>
    <w:rsid w:val="004C0D85"/>
    <w:rsid w:val="004C0E08"/>
    <w:rsid w:val="004C0EBA"/>
    <w:rsid w:val="004C0FB9"/>
    <w:rsid w:val="004C1000"/>
    <w:rsid w:val="004C1069"/>
    <w:rsid w:val="004C1485"/>
    <w:rsid w:val="004C14DE"/>
    <w:rsid w:val="004C154B"/>
    <w:rsid w:val="004C190A"/>
    <w:rsid w:val="004C191A"/>
    <w:rsid w:val="004C1D6C"/>
    <w:rsid w:val="004C1FAC"/>
    <w:rsid w:val="004C204A"/>
    <w:rsid w:val="004C24E3"/>
    <w:rsid w:val="004C24FA"/>
    <w:rsid w:val="004C261F"/>
    <w:rsid w:val="004C275F"/>
    <w:rsid w:val="004C2964"/>
    <w:rsid w:val="004C2B37"/>
    <w:rsid w:val="004C2BA5"/>
    <w:rsid w:val="004C2C6C"/>
    <w:rsid w:val="004C2CC1"/>
    <w:rsid w:val="004C2D30"/>
    <w:rsid w:val="004C2FE7"/>
    <w:rsid w:val="004C30BF"/>
    <w:rsid w:val="004C30E8"/>
    <w:rsid w:val="004C3168"/>
    <w:rsid w:val="004C32BA"/>
    <w:rsid w:val="004C34A6"/>
    <w:rsid w:val="004C352E"/>
    <w:rsid w:val="004C38BD"/>
    <w:rsid w:val="004C39B4"/>
    <w:rsid w:val="004C3D52"/>
    <w:rsid w:val="004C3E45"/>
    <w:rsid w:val="004C3E6E"/>
    <w:rsid w:val="004C4037"/>
    <w:rsid w:val="004C404A"/>
    <w:rsid w:val="004C40C9"/>
    <w:rsid w:val="004C4158"/>
    <w:rsid w:val="004C436B"/>
    <w:rsid w:val="004C43FE"/>
    <w:rsid w:val="004C4568"/>
    <w:rsid w:val="004C470C"/>
    <w:rsid w:val="004C47B0"/>
    <w:rsid w:val="004C47E3"/>
    <w:rsid w:val="004C4906"/>
    <w:rsid w:val="004C4DCE"/>
    <w:rsid w:val="004C4E61"/>
    <w:rsid w:val="004C4F09"/>
    <w:rsid w:val="004C4F14"/>
    <w:rsid w:val="004C4F84"/>
    <w:rsid w:val="004C50CD"/>
    <w:rsid w:val="004C50E1"/>
    <w:rsid w:val="004C5417"/>
    <w:rsid w:val="004C5458"/>
    <w:rsid w:val="004C5498"/>
    <w:rsid w:val="004C5597"/>
    <w:rsid w:val="004C5635"/>
    <w:rsid w:val="004C56DE"/>
    <w:rsid w:val="004C57BF"/>
    <w:rsid w:val="004C5848"/>
    <w:rsid w:val="004C58E8"/>
    <w:rsid w:val="004C5B43"/>
    <w:rsid w:val="004C5BD3"/>
    <w:rsid w:val="004C5E3F"/>
    <w:rsid w:val="004C6113"/>
    <w:rsid w:val="004C61D4"/>
    <w:rsid w:val="004C63DD"/>
    <w:rsid w:val="004C66F0"/>
    <w:rsid w:val="004C67C1"/>
    <w:rsid w:val="004C6A4A"/>
    <w:rsid w:val="004C6AE5"/>
    <w:rsid w:val="004C6BF3"/>
    <w:rsid w:val="004C6C22"/>
    <w:rsid w:val="004C6D33"/>
    <w:rsid w:val="004C6F3A"/>
    <w:rsid w:val="004C72C5"/>
    <w:rsid w:val="004C72E9"/>
    <w:rsid w:val="004C7567"/>
    <w:rsid w:val="004C76C7"/>
    <w:rsid w:val="004C776E"/>
    <w:rsid w:val="004C790C"/>
    <w:rsid w:val="004C7AF9"/>
    <w:rsid w:val="004C7E8D"/>
    <w:rsid w:val="004C7F3C"/>
    <w:rsid w:val="004D009C"/>
    <w:rsid w:val="004D00BD"/>
    <w:rsid w:val="004D0102"/>
    <w:rsid w:val="004D01F1"/>
    <w:rsid w:val="004D03BE"/>
    <w:rsid w:val="004D040D"/>
    <w:rsid w:val="004D05D5"/>
    <w:rsid w:val="004D0647"/>
    <w:rsid w:val="004D0A11"/>
    <w:rsid w:val="004D0C19"/>
    <w:rsid w:val="004D0C51"/>
    <w:rsid w:val="004D0D22"/>
    <w:rsid w:val="004D0EAF"/>
    <w:rsid w:val="004D0FAE"/>
    <w:rsid w:val="004D111C"/>
    <w:rsid w:val="004D1371"/>
    <w:rsid w:val="004D156A"/>
    <w:rsid w:val="004D1576"/>
    <w:rsid w:val="004D16B2"/>
    <w:rsid w:val="004D18DD"/>
    <w:rsid w:val="004D18F2"/>
    <w:rsid w:val="004D19B1"/>
    <w:rsid w:val="004D1A9D"/>
    <w:rsid w:val="004D1E7E"/>
    <w:rsid w:val="004D1F14"/>
    <w:rsid w:val="004D1FDB"/>
    <w:rsid w:val="004D20A7"/>
    <w:rsid w:val="004D2485"/>
    <w:rsid w:val="004D2550"/>
    <w:rsid w:val="004D2775"/>
    <w:rsid w:val="004D2839"/>
    <w:rsid w:val="004D2912"/>
    <w:rsid w:val="004D2A1B"/>
    <w:rsid w:val="004D2A42"/>
    <w:rsid w:val="004D2A8C"/>
    <w:rsid w:val="004D2BE3"/>
    <w:rsid w:val="004D2CAB"/>
    <w:rsid w:val="004D2CF9"/>
    <w:rsid w:val="004D2D27"/>
    <w:rsid w:val="004D2DFF"/>
    <w:rsid w:val="004D2EC4"/>
    <w:rsid w:val="004D2F95"/>
    <w:rsid w:val="004D2FE6"/>
    <w:rsid w:val="004D306D"/>
    <w:rsid w:val="004D34EE"/>
    <w:rsid w:val="004D3556"/>
    <w:rsid w:val="004D35A3"/>
    <w:rsid w:val="004D362A"/>
    <w:rsid w:val="004D36CB"/>
    <w:rsid w:val="004D3767"/>
    <w:rsid w:val="004D3777"/>
    <w:rsid w:val="004D3B9E"/>
    <w:rsid w:val="004D3BAE"/>
    <w:rsid w:val="004D3BF0"/>
    <w:rsid w:val="004D3BF3"/>
    <w:rsid w:val="004D3DE9"/>
    <w:rsid w:val="004D3E1E"/>
    <w:rsid w:val="004D4002"/>
    <w:rsid w:val="004D4403"/>
    <w:rsid w:val="004D443D"/>
    <w:rsid w:val="004D4497"/>
    <w:rsid w:val="004D4503"/>
    <w:rsid w:val="004D4551"/>
    <w:rsid w:val="004D4805"/>
    <w:rsid w:val="004D482E"/>
    <w:rsid w:val="004D48C2"/>
    <w:rsid w:val="004D48CB"/>
    <w:rsid w:val="004D4924"/>
    <w:rsid w:val="004D4A0E"/>
    <w:rsid w:val="004D4B73"/>
    <w:rsid w:val="004D4BC6"/>
    <w:rsid w:val="004D4C11"/>
    <w:rsid w:val="004D4C51"/>
    <w:rsid w:val="004D4CBF"/>
    <w:rsid w:val="004D4DA8"/>
    <w:rsid w:val="004D4E49"/>
    <w:rsid w:val="004D4F9D"/>
    <w:rsid w:val="004D502D"/>
    <w:rsid w:val="004D50DA"/>
    <w:rsid w:val="004D5218"/>
    <w:rsid w:val="004D5318"/>
    <w:rsid w:val="004D53BD"/>
    <w:rsid w:val="004D53D2"/>
    <w:rsid w:val="004D53EB"/>
    <w:rsid w:val="004D5567"/>
    <w:rsid w:val="004D575E"/>
    <w:rsid w:val="004D5789"/>
    <w:rsid w:val="004D57C0"/>
    <w:rsid w:val="004D5981"/>
    <w:rsid w:val="004D5AA0"/>
    <w:rsid w:val="004D5BBA"/>
    <w:rsid w:val="004D5E5F"/>
    <w:rsid w:val="004D6274"/>
    <w:rsid w:val="004D640A"/>
    <w:rsid w:val="004D6466"/>
    <w:rsid w:val="004D670C"/>
    <w:rsid w:val="004D68CC"/>
    <w:rsid w:val="004D6B37"/>
    <w:rsid w:val="004D6D41"/>
    <w:rsid w:val="004D6D7F"/>
    <w:rsid w:val="004D6E9D"/>
    <w:rsid w:val="004D6EE2"/>
    <w:rsid w:val="004D6F14"/>
    <w:rsid w:val="004D707E"/>
    <w:rsid w:val="004D7307"/>
    <w:rsid w:val="004D7315"/>
    <w:rsid w:val="004D74BA"/>
    <w:rsid w:val="004D7735"/>
    <w:rsid w:val="004D797F"/>
    <w:rsid w:val="004D799B"/>
    <w:rsid w:val="004D79FA"/>
    <w:rsid w:val="004D79FB"/>
    <w:rsid w:val="004D7A56"/>
    <w:rsid w:val="004D7AFD"/>
    <w:rsid w:val="004D7B03"/>
    <w:rsid w:val="004D7C74"/>
    <w:rsid w:val="004D7D70"/>
    <w:rsid w:val="004D7E89"/>
    <w:rsid w:val="004E00C6"/>
    <w:rsid w:val="004E00F7"/>
    <w:rsid w:val="004E023F"/>
    <w:rsid w:val="004E02BF"/>
    <w:rsid w:val="004E02E9"/>
    <w:rsid w:val="004E03E7"/>
    <w:rsid w:val="004E04C7"/>
    <w:rsid w:val="004E0582"/>
    <w:rsid w:val="004E0658"/>
    <w:rsid w:val="004E0798"/>
    <w:rsid w:val="004E092B"/>
    <w:rsid w:val="004E09FD"/>
    <w:rsid w:val="004E0D3D"/>
    <w:rsid w:val="004E0D4F"/>
    <w:rsid w:val="004E0E32"/>
    <w:rsid w:val="004E0FA3"/>
    <w:rsid w:val="004E1191"/>
    <w:rsid w:val="004E11A3"/>
    <w:rsid w:val="004E124B"/>
    <w:rsid w:val="004E147C"/>
    <w:rsid w:val="004E15D0"/>
    <w:rsid w:val="004E1994"/>
    <w:rsid w:val="004E1BAD"/>
    <w:rsid w:val="004E1BAF"/>
    <w:rsid w:val="004E1C6F"/>
    <w:rsid w:val="004E1CDF"/>
    <w:rsid w:val="004E1F7E"/>
    <w:rsid w:val="004E2049"/>
    <w:rsid w:val="004E20BC"/>
    <w:rsid w:val="004E21DD"/>
    <w:rsid w:val="004E2221"/>
    <w:rsid w:val="004E2236"/>
    <w:rsid w:val="004E225A"/>
    <w:rsid w:val="004E230B"/>
    <w:rsid w:val="004E233C"/>
    <w:rsid w:val="004E2490"/>
    <w:rsid w:val="004E261B"/>
    <w:rsid w:val="004E26BB"/>
    <w:rsid w:val="004E26CC"/>
    <w:rsid w:val="004E26E3"/>
    <w:rsid w:val="004E275F"/>
    <w:rsid w:val="004E28B4"/>
    <w:rsid w:val="004E291A"/>
    <w:rsid w:val="004E298D"/>
    <w:rsid w:val="004E29B1"/>
    <w:rsid w:val="004E29DF"/>
    <w:rsid w:val="004E2A95"/>
    <w:rsid w:val="004E2B8D"/>
    <w:rsid w:val="004E2BF4"/>
    <w:rsid w:val="004E2EC3"/>
    <w:rsid w:val="004E2FB8"/>
    <w:rsid w:val="004E3055"/>
    <w:rsid w:val="004E3080"/>
    <w:rsid w:val="004E3107"/>
    <w:rsid w:val="004E3119"/>
    <w:rsid w:val="004E3264"/>
    <w:rsid w:val="004E32B5"/>
    <w:rsid w:val="004E3320"/>
    <w:rsid w:val="004E35B6"/>
    <w:rsid w:val="004E388F"/>
    <w:rsid w:val="004E3977"/>
    <w:rsid w:val="004E3A40"/>
    <w:rsid w:val="004E3A5A"/>
    <w:rsid w:val="004E3A7E"/>
    <w:rsid w:val="004E3C42"/>
    <w:rsid w:val="004E3D49"/>
    <w:rsid w:val="004E3DD3"/>
    <w:rsid w:val="004E3FB7"/>
    <w:rsid w:val="004E43D5"/>
    <w:rsid w:val="004E459C"/>
    <w:rsid w:val="004E4609"/>
    <w:rsid w:val="004E4879"/>
    <w:rsid w:val="004E4A36"/>
    <w:rsid w:val="004E4B62"/>
    <w:rsid w:val="004E4E40"/>
    <w:rsid w:val="004E4F45"/>
    <w:rsid w:val="004E50F8"/>
    <w:rsid w:val="004E5273"/>
    <w:rsid w:val="004E532B"/>
    <w:rsid w:val="004E5800"/>
    <w:rsid w:val="004E5834"/>
    <w:rsid w:val="004E59D4"/>
    <w:rsid w:val="004E5CA9"/>
    <w:rsid w:val="004E5DE7"/>
    <w:rsid w:val="004E5E72"/>
    <w:rsid w:val="004E5EDB"/>
    <w:rsid w:val="004E5FE2"/>
    <w:rsid w:val="004E61A5"/>
    <w:rsid w:val="004E61A7"/>
    <w:rsid w:val="004E6206"/>
    <w:rsid w:val="004E6232"/>
    <w:rsid w:val="004E6258"/>
    <w:rsid w:val="004E6315"/>
    <w:rsid w:val="004E63E8"/>
    <w:rsid w:val="004E63F6"/>
    <w:rsid w:val="004E646F"/>
    <w:rsid w:val="004E6483"/>
    <w:rsid w:val="004E6571"/>
    <w:rsid w:val="004E6747"/>
    <w:rsid w:val="004E67DE"/>
    <w:rsid w:val="004E6912"/>
    <w:rsid w:val="004E69D8"/>
    <w:rsid w:val="004E6B46"/>
    <w:rsid w:val="004E6C94"/>
    <w:rsid w:val="004E6CA5"/>
    <w:rsid w:val="004E6CC3"/>
    <w:rsid w:val="004E6D47"/>
    <w:rsid w:val="004E6D54"/>
    <w:rsid w:val="004E6FC7"/>
    <w:rsid w:val="004E7060"/>
    <w:rsid w:val="004E70E8"/>
    <w:rsid w:val="004E7194"/>
    <w:rsid w:val="004E7421"/>
    <w:rsid w:val="004E746D"/>
    <w:rsid w:val="004E758E"/>
    <w:rsid w:val="004E7699"/>
    <w:rsid w:val="004E7770"/>
    <w:rsid w:val="004E777A"/>
    <w:rsid w:val="004E7859"/>
    <w:rsid w:val="004E7915"/>
    <w:rsid w:val="004E7E7A"/>
    <w:rsid w:val="004E7EA3"/>
    <w:rsid w:val="004E7F65"/>
    <w:rsid w:val="004F009D"/>
    <w:rsid w:val="004F014F"/>
    <w:rsid w:val="004F025B"/>
    <w:rsid w:val="004F03A3"/>
    <w:rsid w:val="004F03EB"/>
    <w:rsid w:val="004F043A"/>
    <w:rsid w:val="004F047F"/>
    <w:rsid w:val="004F065F"/>
    <w:rsid w:val="004F0678"/>
    <w:rsid w:val="004F06FE"/>
    <w:rsid w:val="004F0733"/>
    <w:rsid w:val="004F07BC"/>
    <w:rsid w:val="004F0822"/>
    <w:rsid w:val="004F0A0D"/>
    <w:rsid w:val="004F0D65"/>
    <w:rsid w:val="004F0E7A"/>
    <w:rsid w:val="004F0E8F"/>
    <w:rsid w:val="004F0F1C"/>
    <w:rsid w:val="004F10E9"/>
    <w:rsid w:val="004F120D"/>
    <w:rsid w:val="004F12A3"/>
    <w:rsid w:val="004F1396"/>
    <w:rsid w:val="004F1400"/>
    <w:rsid w:val="004F1481"/>
    <w:rsid w:val="004F15F6"/>
    <w:rsid w:val="004F186A"/>
    <w:rsid w:val="004F1943"/>
    <w:rsid w:val="004F1947"/>
    <w:rsid w:val="004F1BA4"/>
    <w:rsid w:val="004F1E7F"/>
    <w:rsid w:val="004F1F94"/>
    <w:rsid w:val="004F209F"/>
    <w:rsid w:val="004F20A0"/>
    <w:rsid w:val="004F21BC"/>
    <w:rsid w:val="004F21BE"/>
    <w:rsid w:val="004F22C9"/>
    <w:rsid w:val="004F231D"/>
    <w:rsid w:val="004F24B1"/>
    <w:rsid w:val="004F2614"/>
    <w:rsid w:val="004F286F"/>
    <w:rsid w:val="004F28D6"/>
    <w:rsid w:val="004F2BE6"/>
    <w:rsid w:val="004F2C46"/>
    <w:rsid w:val="004F2C5D"/>
    <w:rsid w:val="004F2D4D"/>
    <w:rsid w:val="004F3094"/>
    <w:rsid w:val="004F3151"/>
    <w:rsid w:val="004F31E9"/>
    <w:rsid w:val="004F3247"/>
    <w:rsid w:val="004F32D9"/>
    <w:rsid w:val="004F34D5"/>
    <w:rsid w:val="004F3706"/>
    <w:rsid w:val="004F3C92"/>
    <w:rsid w:val="004F3D1F"/>
    <w:rsid w:val="004F3EF1"/>
    <w:rsid w:val="004F3F12"/>
    <w:rsid w:val="004F410B"/>
    <w:rsid w:val="004F419E"/>
    <w:rsid w:val="004F4224"/>
    <w:rsid w:val="004F456B"/>
    <w:rsid w:val="004F4707"/>
    <w:rsid w:val="004F47C2"/>
    <w:rsid w:val="004F48B0"/>
    <w:rsid w:val="004F4A77"/>
    <w:rsid w:val="004F4BCC"/>
    <w:rsid w:val="004F4C5B"/>
    <w:rsid w:val="004F4F4B"/>
    <w:rsid w:val="004F5052"/>
    <w:rsid w:val="004F5177"/>
    <w:rsid w:val="004F540D"/>
    <w:rsid w:val="004F5438"/>
    <w:rsid w:val="004F570B"/>
    <w:rsid w:val="004F570E"/>
    <w:rsid w:val="004F57AA"/>
    <w:rsid w:val="004F57CF"/>
    <w:rsid w:val="004F57E2"/>
    <w:rsid w:val="004F57EC"/>
    <w:rsid w:val="004F5C45"/>
    <w:rsid w:val="004F6063"/>
    <w:rsid w:val="004F617C"/>
    <w:rsid w:val="004F630C"/>
    <w:rsid w:val="004F6375"/>
    <w:rsid w:val="004F63BD"/>
    <w:rsid w:val="004F655F"/>
    <w:rsid w:val="004F65CD"/>
    <w:rsid w:val="004F67C8"/>
    <w:rsid w:val="004F68FE"/>
    <w:rsid w:val="004F6963"/>
    <w:rsid w:val="004F6967"/>
    <w:rsid w:val="004F6A9C"/>
    <w:rsid w:val="004F6B36"/>
    <w:rsid w:val="004F6C10"/>
    <w:rsid w:val="004F6CDF"/>
    <w:rsid w:val="004F6D70"/>
    <w:rsid w:val="004F6DA1"/>
    <w:rsid w:val="004F6E36"/>
    <w:rsid w:val="004F717E"/>
    <w:rsid w:val="004F725B"/>
    <w:rsid w:val="004F72EC"/>
    <w:rsid w:val="004F732F"/>
    <w:rsid w:val="004F736D"/>
    <w:rsid w:val="004F73D0"/>
    <w:rsid w:val="004F746E"/>
    <w:rsid w:val="004F7549"/>
    <w:rsid w:val="004F7793"/>
    <w:rsid w:val="004F77AF"/>
    <w:rsid w:val="004F796F"/>
    <w:rsid w:val="004F7B72"/>
    <w:rsid w:val="004F7CAA"/>
    <w:rsid w:val="004F7D31"/>
    <w:rsid w:val="004F7E66"/>
    <w:rsid w:val="004F7EA6"/>
    <w:rsid w:val="004F7EB9"/>
    <w:rsid w:val="004F7F10"/>
    <w:rsid w:val="004F7F43"/>
    <w:rsid w:val="00500007"/>
    <w:rsid w:val="005001AF"/>
    <w:rsid w:val="005003D9"/>
    <w:rsid w:val="00500467"/>
    <w:rsid w:val="0050059F"/>
    <w:rsid w:val="005005E0"/>
    <w:rsid w:val="0050069D"/>
    <w:rsid w:val="00500854"/>
    <w:rsid w:val="00500942"/>
    <w:rsid w:val="00500AC8"/>
    <w:rsid w:val="00500B6F"/>
    <w:rsid w:val="00500D68"/>
    <w:rsid w:val="00500DAF"/>
    <w:rsid w:val="00500E51"/>
    <w:rsid w:val="005010D2"/>
    <w:rsid w:val="0050138A"/>
    <w:rsid w:val="00501454"/>
    <w:rsid w:val="00501544"/>
    <w:rsid w:val="00501580"/>
    <w:rsid w:val="005015CF"/>
    <w:rsid w:val="00501635"/>
    <w:rsid w:val="005017C7"/>
    <w:rsid w:val="00501808"/>
    <w:rsid w:val="0050180B"/>
    <w:rsid w:val="00501855"/>
    <w:rsid w:val="00501A87"/>
    <w:rsid w:val="00501BF3"/>
    <w:rsid w:val="00501D44"/>
    <w:rsid w:val="00501E32"/>
    <w:rsid w:val="00501E8E"/>
    <w:rsid w:val="00501F48"/>
    <w:rsid w:val="005020A7"/>
    <w:rsid w:val="0050225B"/>
    <w:rsid w:val="00502327"/>
    <w:rsid w:val="0050235D"/>
    <w:rsid w:val="00502448"/>
    <w:rsid w:val="0050284D"/>
    <w:rsid w:val="005028C9"/>
    <w:rsid w:val="005029BA"/>
    <w:rsid w:val="005029C2"/>
    <w:rsid w:val="00502D76"/>
    <w:rsid w:val="00502EAC"/>
    <w:rsid w:val="00502F47"/>
    <w:rsid w:val="005030A7"/>
    <w:rsid w:val="005030BF"/>
    <w:rsid w:val="005030F4"/>
    <w:rsid w:val="0050315D"/>
    <w:rsid w:val="00503164"/>
    <w:rsid w:val="00503170"/>
    <w:rsid w:val="005032B6"/>
    <w:rsid w:val="00503313"/>
    <w:rsid w:val="005035BF"/>
    <w:rsid w:val="005035EB"/>
    <w:rsid w:val="00503623"/>
    <w:rsid w:val="00503720"/>
    <w:rsid w:val="005037B4"/>
    <w:rsid w:val="005038F5"/>
    <w:rsid w:val="00503B1B"/>
    <w:rsid w:val="00503BB4"/>
    <w:rsid w:val="00503D90"/>
    <w:rsid w:val="00503DF7"/>
    <w:rsid w:val="00503E0D"/>
    <w:rsid w:val="00503EEF"/>
    <w:rsid w:val="00504097"/>
    <w:rsid w:val="005042D3"/>
    <w:rsid w:val="005042F4"/>
    <w:rsid w:val="00504321"/>
    <w:rsid w:val="00504366"/>
    <w:rsid w:val="005043C5"/>
    <w:rsid w:val="00504473"/>
    <w:rsid w:val="00504A68"/>
    <w:rsid w:val="00504B60"/>
    <w:rsid w:val="00504D6C"/>
    <w:rsid w:val="00504E05"/>
    <w:rsid w:val="00504E06"/>
    <w:rsid w:val="00504EBD"/>
    <w:rsid w:val="00504FD0"/>
    <w:rsid w:val="00505014"/>
    <w:rsid w:val="00505048"/>
    <w:rsid w:val="005050CA"/>
    <w:rsid w:val="00505112"/>
    <w:rsid w:val="00505148"/>
    <w:rsid w:val="005051AC"/>
    <w:rsid w:val="005051AF"/>
    <w:rsid w:val="0050538A"/>
    <w:rsid w:val="00505564"/>
    <w:rsid w:val="00505597"/>
    <w:rsid w:val="00505612"/>
    <w:rsid w:val="00505857"/>
    <w:rsid w:val="005058B0"/>
    <w:rsid w:val="00505913"/>
    <w:rsid w:val="005059DF"/>
    <w:rsid w:val="00505BF3"/>
    <w:rsid w:val="00505D62"/>
    <w:rsid w:val="00505E83"/>
    <w:rsid w:val="00505EF0"/>
    <w:rsid w:val="00505F25"/>
    <w:rsid w:val="00505F86"/>
    <w:rsid w:val="00506019"/>
    <w:rsid w:val="0050611C"/>
    <w:rsid w:val="00506261"/>
    <w:rsid w:val="00506384"/>
    <w:rsid w:val="005063E1"/>
    <w:rsid w:val="005064A2"/>
    <w:rsid w:val="005064DE"/>
    <w:rsid w:val="00506591"/>
    <w:rsid w:val="005065AF"/>
    <w:rsid w:val="0050664B"/>
    <w:rsid w:val="005066E9"/>
    <w:rsid w:val="00506922"/>
    <w:rsid w:val="005069B0"/>
    <w:rsid w:val="005069CC"/>
    <w:rsid w:val="005069FB"/>
    <w:rsid w:val="00506A39"/>
    <w:rsid w:val="00506A3B"/>
    <w:rsid w:val="00506B48"/>
    <w:rsid w:val="00506B71"/>
    <w:rsid w:val="00506C9D"/>
    <w:rsid w:val="00506D60"/>
    <w:rsid w:val="00506DC4"/>
    <w:rsid w:val="00506F02"/>
    <w:rsid w:val="00507109"/>
    <w:rsid w:val="00507351"/>
    <w:rsid w:val="005073C7"/>
    <w:rsid w:val="005073F6"/>
    <w:rsid w:val="00507461"/>
    <w:rsid w:val="0050759A"/>
    <w:rsid w:val="0050760C"/>
    <w:rsid w:val="00507771"/>
    <w:rsid w:val="0050784A"/>
    <w:rsid w:val="00507967"/>
    <w:rsid w:val="00507AF2"/>
    <w:rsid w:val="00507B1C"/>
    <w:rsid w:val="00507B72"/>
    <w:rsid w:val="00507DE0"/>
    <w:rsid w:val="00507E8B"/>
    <w:rsid w:val="00507E94"/>
    <w:rsid w:val="00507FAA"/>
    <w:rsid w:val="005101B9"/>
    <w:rsid w:val="005103B2"/>
    <w:rsid w:val="005103F0"/>
    <w:rsid w:val="00510800"/>
    <w:rsid w:val="0051086D"/>
    <w:rsid w:val="00510992"/>
    <w:rsid w:val="00510B9A"/>
    <w:rsid w:val="00510BBB"/>
    <w:rsid w:val="00510DA9"/>
    <w:rsid w:val="00510EBA"/>
    <w:rsid w:val="00510F88"/>
    <w:rsid w:val="00510FA8"/>
    <w:rsid w:val="00510FE0"/>
    <w:rsid w:val="0051109D"/>
    <w:rsid w:val="00511138"/>
    <w:rsid w:val="005113FD"/>
    <w:rsid w:val="0051141F"/>
    <w:rsid w:val="005117E7"/>
    <w:rsid w:val="00511954"/>
    <w:rsid w:val="00511AFE"/>
    <w:rsid w:val="00511CAE"/>
    <w:rsid w:val="00511E4A"/>
    <w:rsid w:val="0051201F"/>
    <w:rsid w:val="00512023"/>
    <w:rsid w:val="005122FD"/>
    <w:rsid w:val="0051239B"/>
    <w:rsid w:val="005123FF"/>
    <w:rsid w:val="0051254C"/>
    <w:rsid w:val="00512620"/>
    <w:rsid w:val="00512759"/>
    <w:rsid w:val="0051293A"/>
    <w:rsid w:val="00512C71"/>
    <w:rsid w:val="00512C8E"/>
    <w:rsid w:val="00512CC0"/>
    <w:rsid w:val="00512DB4"/>
    <w:rsid w:val="00512DC5"/>
    <w:rsid w:val="00512E74"/>
    <w:rsid w:val="00512ECB"/>
    <w:rsid w:val="00512ED0"/>
    <w:rsid w:val="00512F69"/>
    <w:rsid w:val="00512FD9"/>
    <w:rsid w:val="00513233"/>
    <w:rsid w:val="0051345B"/>
    <w:rsid w:val="00513547"/>
    <w:rsid w:val="005135FE"/>
    <w:rsid w:val="00513652"/>
    <w:rsid w:val="0051368B"/>
    <w:rsid w:val="0051373A"/>
    <w:rsid w:val="00513A40"/>
    <w:rsid w:val="00513ABF"/>
    <w:rsid w:val="00513B48"/>
    <w:rsid w:val="00513D47"/>
    <w:rsid w:val="00513DC1"/>
    <w:rsid w:val="00513ECA"/>
    <w:rsid w:val="00513F25"/>
    <w:rsid w:val="00513FDB"/>
    <w:rsid w:val="00513FEB"/>
    <w:rsid w:val="00514015"/>
    <w:rsid w:val="0051402F"/>
    <w:rsid w:val="005140FB"/>
    <w:rsid w:val="00514131"/>
    <w:rsid w:val="00514325"/>
    <w:rsid w:val="005143D6"/>
    <w:rsid w:val="0051454A"/>
    <w:rsid w:val="0051457D"/>
    <w:rsid w:val="005145DE"/>
    <w:rsid w:val="00514629"/>
    <w:rsid w:val="00514655"/>
    <w:rsid w:val="005148E7"/>
    <w:rsid w:val="005149C7"/>
    <w:rsid w:val="00514BAD"/>
    <w:rsid w:val="00514CE8"/>
    <w:rsid w:val="00514CEC"/>
    <w:rsid w:val="00514DBF"/>
    <w:rsid w:val="00514E3D"/>
    <w:rsid w:val="0051500B"/>
    <w:rsid w:val="005153E6"/>
    <w:rsid w:val="00515471"/>
    <w:rsid w:val="005154BE"/>
    <w:rsid w:val="00515578"/>
    <w:rsid w:val="00515591"/>
    <w:rsid w:val="005155E7"/>
    <w:rsid w:val="005155FB"/>
    <w:rsid w:val="0051572E"/>
    <w:rsid w:val="0051577D"/>
    <w:rsid w:val="0051585F"/>
    <w:rsid w:val="00515956"/>
    <w:rsid w:val="00515BF8"/>
    <w:rsid w:val="00515DA7"/>
    <w:rsid w:val="00515F58"/>
    <w:rsid w:val="00515F5C"/>
    <w:rsid w:val="00516225"/>
    <w:rsid w:val="005162DC"/>
    <w:rsid w:val="00516580"/>
    <w:rsid w:val="005165BA"/>
    <w:rsid w:val="005167D5"/>
    <w:rsid w:val="00516824"/>
    <w:rsid w:val="0051693F"/>
    <w:rsid w:val="00516A5B"/>
    <w:rsid w:val="00516C59"/>
    <w:rsid w:val="00516C8B"/>
    <w:rsid w:val="00516F31"/>
    <w:rsid w:val="00517115"/>
    <w:rsid w:val="00517128"/>
    <w:rsid w:val="0051718C"/>
    <w:rsid w:val="005177C2"/>
    <w:rsid w:val="0051789B"/>
    <w:rsid w:val="00517901"/>
    <w:rsid w:val="00517997"/>
    <w:rsid w:val="00517C30"/>
    <w:rsid w:val="00517CA7"/>
    <w:rsid w:val="00517DD5"/>
    <w:rsid w:val="00517F62"/>
    <w:rsid w:val="00517F77"/>
    <w:rsid w:val="00520109"/>
    <w:rsid w:val="00520125"/>
    <w:rsid w:val="0052015A"/>
    <w:rsid w:val="0052018E"/>
    <w:rsid w:val="00520496"/>
    <w:rsid w:val="005205BC"/>
    <w:rsid w:val="005206FC"/>
    <w:rsid w:val="00520808"/>
    <w:rsid w:val="00520872"/>
    <w:rsid w:val="00520888"/>
    <w:rsid w:val="00520A2E"/>
    <w:rsid w:val="00520B0C"/>
    <w:rsid w:val="00520C76"/>
    <w:rsid w:val="00520D38"/>
    <w:rsid w:val="00520D3E"/>
    <w:rsid w:val="00520FAC"/>
    <w:rsid w:val="00521282"/>
    <w:rsid w:val="005214B2"/>
    <w:rsid w:val="005214E3"/>
    <w:rsid w:val="00521531"/>
    <w:rsid w:val="005216CF"/>
    <w:rsid w:val="0052170A"/>
    <w:rsid w:val="00521732"/>
    <w:rsid w:val="00521850"/>
    <w:rsid w:val="0052197A"/>
    <w:rsid w:val="00521BFB"/>
    <w:rsid w:val="00521C34"/>
    <w:rsid w:val="00521CA7"/>
    <w:rsid w:val="00521EB8"/>
    <w:rsid w:val="00521F45"/>
    <w:rsid w:val="005220B9"/>
    <w:rsid w:val="00522277"/>
    <w:rsid w:val="005222F4"/>
    <w:rsid w:val="005223AB"/>
    <w:rsid w:val="00522738"/>
    <w:rsid w:val="0052282C"/>
    <w:rsid w:val="00522A34"/>
    <w:rsid w:val="00522A82"/>
    <w:rsid w:val="00522AF1"/>
    <w:rsid w:val="00522B2B"/>
    <w:rsid w:val="00522B74"/>
    <w:rsid w:val="00522BC9"/>
    <w:rsid w:val="00522C9F"/>
    <w:rsid w:val="00522D16"/>
    <w:rsid w:val="00522D3D"/>
    <w:rsid w:val="00522E36"/>
    <w:rsid w:val="00522EB4"/>
    <w:rsid w:val="00522F7F"/>
    <w:rsid w:val="00522FAB"/>
    <w:rsid w:val="0052309F"/>
    <w:rsid w:val="005230DA"/>
    <w:rsid w:val="0052310F"/>
    <w:rsid w:val="005235BF"/>
    <w:rsid w:val="00523715"/>
    <w:rsid w:val="005237C5"/>
    <w:rsid w:val="00523826"/>
    <w:rsid w:val="005239BD"/>
    <w:rsid w:val="00523AB3"/>
    <w:rsid w:val="00523B22"/>
    <w:rsid w:val="00523C4D"/>
    <w:rsid w:val="00523CD5"/>
    <w:rsid w:val="00523DA1"/>
    <w:rsid w:val="00523DB3"/>
    <w:rsid w:val="00523F7D"/>
    <w:rsid w:val="0052402E"/>
    <w:rsid w:val="00524088"/>
    <w:rsid w:val="005240D7"/>
    <w:rsid w:val="00524125"/>
    <w:rsid w:val="00524165"/>
    <w:rsid w:val="00524217"/>
    <w:rsid w:val="00524272"/>
    <w:rsid w:val="005243F9"/>
    <w:rsid w:val="00524425"/>
    <w:rsid w:val="005244F1"/>
    <w:rsid w:val="0052481D"/>
    <w:rsid w:val="00524A2D"/>
    <w:rsid w:val="00524A98"/>
    <w:rsid w:val="00524B04"/>
    <w:rsid w:val="00524BAD"/>
    <w:rsid w:val="00524C47"/>
    <w:rsid w:val="00524C7D"/>
    <w:rsid w:val="00524CF8"/>
    <w:rsid w:val="00524D54"/>
    <w:rsid w:val="0052528A"/>
    <w:rsid w:val="0052566F"/>
    <w:rsid w:val="005257A0"/>
    <w:rsid w:val="00525832"/>
    <w:rsid w:val="00525AD8"/>
    <w:rsid w:val="00525B09"/>
    <w:rsid w:val="00525B59"/>
    <w:rsid w:val="00525EB5"/>
    <w:rsid w:val="00525F72"/>
    <w:rsid w:val="00525F8B"/>
    <w:rsid w:val="00526123"/>
    <w:rsid w:val="0052612E"/>
    <w:rsid w:val="0052615E"/>
    <w:rsid w:val="005261FE"/>
    <w:rsid w:val="00526322"/>
    <w:rsid w:val="0052635C"/>
    <w:rsid w:val="005264A6"/>
    <w:rsid w:val="00526586"/>
    <w:rsid w:val="005265EE"/>
    <w:rsid w:val="005266E2"/>
    <w:rsid w:val="005269E5"/>
    <w:rsid w:val="00526DB3"/>
    <w:rsid w:val="00526E0C"/>
    <w:rsid w:val="00526FC2"/>
    <w:rsid w:val="0052700E"/>
    <w:rsid w:val="0052702E"/>
    <w:rsid w:val="00527187"/>
    <w:rsid w:val="005272F8"/>
    <w:rsid w:val="00527375"/>
    <w:rsid w:val="0052756E"/>
    <w:rsid w:val="005278EF"/>
    <w:rsid w:val="005278F9"/>
    <w:rsid w:val="00527A2C"/>
    <w:rsid w:val="00527A4B"/>
    <w:rsid w:val="00527AF2"/>
    <w:rsid w:val="00527D3C"/>
    <w:rsid w:val="00527D7C"/>
    <w:rsid w:val="00527D98"/>
    <w:rsid w:val="00527DFE"/>
    <w:rsid w:val="00527E03"/>
    <w:rsid w:val="00527F55"/>
    <w:rsid w:val="00527FF0"/>
    <w:rsid w:val="005300DC"/>
    <w:rsid w:val="00530180"/>
    <w:rsid w:val="00530282"/>
    <w:rsid w:val="0053035A"/>
    <w:rsid w:val="0053055C"/>
    <w:rsid w:val="00530678"/>
    <w:rsid w:val="00530786"/>
    <w:rsid w:val="00530896"/>
    <w:rsid w:val="0053093F"/>
    <w:rsid w:val="00530AE8"/>
    <w:rsid w:val="00530C25"/>
    <w:rsid w:val="00530ED4"/>
    <w:rsid w:val="00530F9F"/>
    <w:rsid w:val="00530FA9"/>
    <w:rsid w:val="005313E7"/>
    <w:rsid w:val="00531608"/>
    <w:rsid w:val="005316C4"/>
    <w:rsid w:val="00531B9D"/>
    <w:rsid w:val="00531C9D"/>
    <w:rsid w:val="00531DA4"/>
    <w:rsid w:val="00531DE8"/>
    <w:rsid w:val="00531FD3"/>
    <w:rsid w:val="00532164"/>
    <w:rsid w:val="005321F6"/>
    <w:rsid w:val="00532272"/>
    <w:rsid w:val="00532448"/>
    <w:rsid w:val="0053260B"/>
    <w:rsid w:val="00532732"/>
    <w:rsid w:val="00532781"/>
    <w:rsid w:val="005329CE"/>
    <w:rsid w:val="00532A3F"/>
    <w:rsid w:val="00532AE4"/>
    <w:rsid w:val="00532D91"/>
    <w:rsid w:val="00532F33"/>
    <w:rsid w:val="00532F5C"/>
    <w:rsid w:val="00532F94"/>
    <w:rsid w:val="005330BA"/>
    <w:rsid w:val="005331A3"/>
    <w:rsid w:val="00533453"/>
    <w:rsid w:val="0053360E"/>
    <w:rsid w:val="00533672"/>
    <w:rsid w:val="005337FE"/>
    <w:rsid w:val="00533A3A"/>
    <w:rsid w:val="00533B85"/>
    <w:rsid w:val="00533C60"/>
    <w:rsid w:val="00533CA1"/>
    <w:rsid w:val="00533D7E"/>
    <w:rsid w:val="00534089"/>
    <w:rsid w:val="0053411B"/>
    <w:rsid w:val="005341EA"/>
    <w:rsid w:val="005342D1"/>
    <w:rsid w:val="0053431B"/>
    <w:rsid w:val="005346DE"/>
    <w:rsid w:val="005347BB"/>
    <w:rsid w:val="0053484C"/>
    <w:rsid w:val="0053495B"/>
    <w:rsid w:val="00534BDA"/>
    <w:rsid w:val="00534CD2"/>
    <w:rsid w:val="00534F1B"/>
    <w:rsid w:val="00535058"/>
    <w:rsid w:val="00535074"/>
    <w:rsid w:val="0053511C"/>
    <w:rsid w:val="005351EB"/>
    <w:rsid w:val="005352EC"/>
    <w:rsid w:val="005353A3"/>
    <w:rsid w:val="005353FD"/>
    <w:rsid w:val="00535484"/>
    <w:rsid w:val="005356C5"/>
    <w:rsid w:val="005357F0"/>
    <w:rsid w:val="005357FF"/>
    <w:rsid w:val="00535920"/>
    <w:rsid w:val="0053594E"/>
    <w:rsid w:val="005359AB"/>
    <w:rsid w:val="00535A03"/>
    <w:rsid w:val="00535A86"/>
    <w:rsid w:val="00535C1A"/>
    <w:rsid w:val="00535D82"/>
    <w:rsid w:val="00535E01"/>
    <w:rsid w:val="00535E7B"/>
    <w:rsid w:val="00535F1E"/>
    <w:rsid w:val="00535FA9"/>
    <w:rsid w:val="005360C2"/>
    <w:rsid w:val="005366CC"/>
    <w:rsid w:val="00536784"/>
    <w:rsid w:val="00536785"/>
    <w:rsid w:val="005368B6"/>
    <w:rsid w:val="005368CE"/>
    <w:rsid w:val="0053690D"/>
    <w:rsid w:val="00536970"/>
    <w:rsid w:val="00536A84"/>
    <w:rsid w:val="00536B08"/>
    <w:rsid w:val="00536B2B"/>
    <w:rsid w:val="00536B7C"/>
    <w:rsid w:val="00536D44"/>
    <w:rsid w:val="00536D97"/>
    <w:rsid w:val="00536DFF"/>
    <w:rsid w:val="00536EAD"/>
    <w:rsid w:val="00536FD9"/>
    <w:rsid w:val="00537073"/>
    <w:rsid w:val="0053724E"/>
    <w:rsid w:val="00537257"/>
    <w:rsid w:val="005372C9"/>
    <w:rsid w:val="005372D7"/>
    <w:rsid w:val="00537370"/>
    <w:rsid w:val="0053748F"/>
    <w:rsid w:val="00537553"/>
    <w:rsid w:val="005378B3"/>
    <w:rsid w:val="00537949"/>
    <w:rsid w:val="0053798B"/>
    <w:rsid w:val="005379A3"/>
    <w:rsid w:val="005379D6"/>
    <w:rsid w:val="00537E7A"/>
    <w:rsid w:val="0054009D"/>
    <w:rsid w:val="005400BB"/>
    <w:rsid w:val="005401C1"/>
    <w:rsid w:val="0054029C"/>
    <w:rsid w:val="005402D5"/>
    <w:rsid w:val="005402F7"/>
    <w:rsid w:val="005404C1"/>
    <w:rsid w:val="00540620"/>
    <w:rsid w:val="005408A1"/>
    <w:rsid w:val="005408EF"/>
    <w:rsid w:val="00540AF4"/>
    <w:rsid w:val="00540B52"/>
    <w:rsid w:val="00540BFB"/>
    <w:rsid w:val="00540C8E"/>
    <w:rsid w:val="00540F9F"/>
    <w:rsid w:val="00540FAE"/>
    <w:rsid w:val="005410BC"/>
    <w:rsid w:val="0054110F"/>
    <w:rsid w:val="00541298"/>
    <w:rsid w:val="005412D5"/>
    <w:rsid w:val="0054161A"/>
    <w:rsid w:val="005416E7"/>
    <w:rsid w:val="00541702"/>
    <w:rsid w:val="0054192F"/>
    <w:rsid w:val="00541956"/>
    <w:rsid w:val="00541B5F"/>
    <w:rsid w:val="00541BC0"/>
    <w:rsid w:val="00541E12"/>
    <w:rsid w:val="00541EDB"/>
    <w:rsid w:val="0054203B"/>
    <w:rsid w:val="0054270F"/>
    <w:rsid w:val="00542742"/>
    <w:rsid w:val="005427C8"/>
    <w:rsid w:val="00542809"/>
    <w:rsid w:val="00542886"/>
    <w:rsid w:val="005429FA"/>
    <w:rsid w:val="00542C22"/>
    <w:rsid w:val="00542C49"/>
    <w:rsid w:val="00542DD5"/>
    <w:rsid w:val="00542E55"/>
    <w:rsid w:val="00542F61"/>
    <w:rsid w:val="00542F76"/>
    <w:rsid w:val="005432C2"/>
    <w:rsid w:val="00543338"/>
    <w:rsid w:val="00543391"/>
    <w:rsid w:val="00543449"/>
    <w:rsid w:val="0054346E"/>
    <w:rsid w:val="0054368B"/>
    <w:rsid w:val="005436FA"/>
    <w:rsid w:val="00543730"/>
    <w:rsid w:val="00543783"/>
    <w:rsid w:val="005437DB"/>
    <w:rsid w:val="00543B92"/>
    <w:rsid w:val="00543C64"/>
    <w:rsid w:val="00543DFF"/>
    <w:rsid w:val="0054401D"/>
    <w:rsid w:val="005440F5"/>
    <w:rsid w:val="005441C1"/>
    <w:rsid w:val="005442A3"/>
    <w:rsid w:val="00544327"/>
    <w:rsid w:val="00544364"/>
    <w:rsid w:val="005445F5"/>
    <w:rsid w:val="00544839"/>
    <w:rsid w:val="00544936"/>
    <w:rsid w:val="005449F2"/>
    <w:rsid w:val="00544A38"/>
    <w:rsid w:val="00544E45"/>
    <w:rsid w:val="00544F23"/>
    <w:rsid w:val="00545160"/>
    <w:rsid w:val="0054519C"/>
    <w:rsid w:val="00545229"/>
    <w:rsid w:val="005452C2"/>
    <w:rsid w:val="00545495"/>
    <w:rsid w:val="005454AD"/>
    <w:rsid w:val="00545525"/>
    <w:rsid w:val="005455AB"/>
    <w:rsid w:val="0054578E"/>
    <w:rsid w:val="005457FE"/>
    <w:rsid w:val="00545918"/>
    <w:rsid w:val="00545A2C"/>
    <w:rsid w:val="00545ACF"/>
    <w:rsid w:val="00545B32"/>
    <w:rsid w:val="00545BBA"/>
    <w:rsid w:val="00545DB6"/>
    <w:rsid w:val="00545F78"/>
    <w:rsid w:val="00546264"/>
    <w:rsid w:val="0054628C"/>
    <w:rsid w:val="005464D7"/>
    <w:rsid w:val="005465C8"/>
    <w:rsid w:val="00546694"/>
    <w:rsid w:val="0054681D"/>
    <w:rsid w:val="005468E4"/>
    <w:rsid w:val="005469B1"/>
    <w:rsid w:val="00546A03"/>
    <w:rsid w:val="00546A7C"/>
    <w:rsid w:val="00546B0A"/>
    <w:rsid w:val="00546C0E"/>
    <w:rsid w:val="00546C43"/>
    <w:rsid w:val="00546C93"/>
    <w:rsid w:val="00546D76"/>
    <w:rsid w:val="00546E47"/>
    <w:rsid w:val="00546E7B"/>
    <w:rsid w:val="005470E9"/>
    <w:rsid w:val="00547141"/>
    <w:rsid w:val="00547206"/>
    <w:rsid w:val="00547263"/>
    <w:rsid w:val="00547436"/>
    <w:rsid w:val="0054763B"/>
    <w:rsid w:val="005478C1"/>
    <w:rsid w:val="0054793B"/>
    <w:rsid w:val="00547954"/>
    <w:rsid w:val="00547970"/>
    <w:rsid w:val="0054797A"/>
    <w:rsid w:val="00547B4A"/>
    <w:rsid w:val="00547BF6"/>
    <w:rsid w:val="00547D59"/>
    <w:rsid w:val="00547F7B"/>
    <w:rsid w:val="005500D3"/>
    <w:rsid w:val="005500DA"/>
    <w:rsid w:val="005502B2"/>
    <w:rsid w:val="0055035C"/>
    <w:rsid w:val="00550719"/>
    <w:rsid w:val="00550778"/>
    <w:rsid w:val="00550901"/>
    <w:rsid w:val="00550BDB"/>
    <w:rsid w:val="00550D2C"/>
    <w:rsid w:val="0055101A"/>
    <w:rsid w:val="005510A8"/>
    <w:rsid w:val="0055129F"/>
    <w:rsid w:val="005512AC"/>
    <w:rsid w:val="0055159F"/>
    <w:rsid w:val="005517FC"/>
    <w:rsid w:val="00551AAE"/>
    <w:rsid w:val="00551B8A"/>
    <w:rsid w:val="00551D41"/>
    <w:rsid w:val="0055212E"/>
    <w:rsid w:val="005523BB"/>
    <w:rsid w:val="005524E8"/>
    <w:rsid w:val="00552510"/>
    <w:rsid w:val="00552619"/>
    <w:rsid w:val="0055261F"/>
    <w:rsid w:val="0055265C"/>
    <w:rsid w:val="0055265F"/>
    <w:rsid w:val="00552892"/>
    <w:rsid w:val="005528F8"/>
    <w:rsid w:val="00552A04"/>
    <w:rsid w:val="00552A43"/>
    <w:rsid w:val="00552C19"/>
    <w:rsid w:val="00552FDD"/>
    <w:rsid w:val="0055317C"/>
    <w:rsid w:val="00553281"/>
    <w:rsid w:val="005532E3"/>
    <w:rsid w:val="00553320"/>
    <w:rsid w:val="0055337B"/>
    <w:rsid w:val="00553544"/>
    <w:rsid w:val="00553633"/>
    <w:rsid w:val="00553636"/>
    <w:rsid w:val="005536C2"/>
    <w:rsid w:val="0055378D"/>
    <w:rsid w:val="0055389B"/>
    <w:rsid w:val="005539D9"/>
    <w:rsid w:val="00553A88"/>
    <w:rsid w:val="00553CEE"/>
    <w:rsid w:val="00553EE6"/>
    <w:rsid w:val="005544D4"/>
    <w:rsid w:val="005544EF"/>
    <w:rsid w:val="005545C6"/>
    <w:rsid w:val="005545EB"/>
    <w:rsid w:val="0055469F"/>
    <w:rsid w:val="0055478A"/>
    <w:rsid w:val="0055499D"/>
    <w:rsid w:val="00554C0C"/>
    <w:rsid w:val="00554CDD"/>
    <w:rsid w:val="00554D12"/>
    <w:rsid w:val="00554D4E"/>
    <w:rsid w:val="00554D6A"/>
    <w:rsid w:val="00554EE1"/>
    <w:rsid w:val="00554FD4"/>
    <w:rsid w:val="00555082"/>
    <w:rsid w:val="005551F9"/>
    <w:rsid w:val="00555210"/>
    <w:rsid w:val="00555394"/>
    <w:rsid w:val="00555541"/>
    <w:rsid w:val="00555674"/>
    <w:rsid w:val="005558E8"/>
    <w:rsid w:val="0055593F"/>
    <w:rsid w:val="005559BD"/>
    <w:rsid w:val="00555CAC"/>
    <w:rsid w:val="00555E77"/>
    <w:rsid w:val="00555EA7"/>
    <w:rsid w:val="00555FDB"/>
    <w:rsid w:val="0055613B"/>
    <w:rsid w:val="00556239"/>
    <w:rsid w:val="00556251"/>
    <w:rsid w:val="00556459"/>
    <w:rsid w:val="005564E4"/>
    <w:rsid w:val="00556517"/>
    <w:rsid w:val="00556563"/>
    <w:rsid w:val="005565BE"/>
    <w:rsid w:val="00556719"/>
    <w:rsid w:val="00556765"/>
    <w:rsid w:val="0055676D"/>
    <w:rsid w:val="00556835"/>
    <w:rsid w:val="00556B06"/>
    <w:rsid w:val="00556B08"/>
    <w:rsid w:val="00556C10"/>
    <w:rsid w:val="00556D04"/>
    <w:rsid w:val="00556DB2"/>
    <w:rsid w:val="0055702B"/>
    <w:rsid w:val="005570BC"/>
    <w:rsid w:val="00557311"/>
    <w:rsid w:val="00557482"/>
    <w:rsid w:val="005574DF"/>
    <w:rsid w:val="00557569"/>
    <w:rsid w:val="00557578"/>
    <w:rsid w:val="0055780F"/>
    <w:rsid w:val="00557882"/>
    <w:rsid w:val="0055796B"/>
    <w:rsid w:val="00557A16"/>
    <w:rsid w:val="00557B13"/>
    <w:rsid w:val="00557B5A"/>
    <w:rsid w:val="00557B67"/>
    <w:rsid w:val="00557B95"/>
    <w:rsid w:val="00557C8C"/>
    <w:rsid w:val="00557CDA"/>
    <w:rsid w:val="0056008E"/>
    <w:rsid w:val="005600CB"/>
    <w:rsid w:val="0056018E"/>
    <w:rsid w:val="00560201"/>
    <w:rsid w:val="005602C9"/>
    <w:rsid w:val="0056032D"/>
    <w:rsid w:val="00560411"/>
    <w:rsid w:val="0056047C"/>
    <w:rsid w:val="005605DB"/>
    <w:rsid w:val="005606B1"/>
    <w:rsid w:val="0056090C"/>
    <w:rsid w:val="005609A1"/>
    <w:rsid w:val="005609B1"/>
    <w:rsid w:val="00560B03"/>
    <w:rsid w:val="00560B81"/>
    <w:rsid w:val="00560EA1"/>
    <w:rsid w:val="00561010"/>
    <w:rsid w:val="00561073"/>
    <w:rsid w:val="005611BA"/>
    <w:rsid w:val="0056141D"/>
    <w:rsid w:val="0056146D"/>
    <w:rsid w:val="005614E6"/>
    <w:rsid w:val="0056164D"/>
    <w:rsid w:val="00561761"/>
    <w:rsid w:val="00561B40"/>
    <w:rsid w:val="00561BE6"/>
    <w:rsid w:val="00561E6C"/>
    <w:rsid w:val="00561E89"/>
    <w:rsid w:val="00561F2B"/>
    <w:rsid w:val="00561F99"/>
    <w:rsid w:val="00562103"/>
    <w:rsid w:val="00562697"/>
    <w:rsid w:val="005626A9"/>
    <w:rsid w:val="005626FB"/>
    <w:rsid w:val="00562708"/>
    <w:rsid w:val="0056270C"/>
    <w:rsid w:val="00562776"/>
    <w:rsid w:val="00562904"/>
    <w:rsid w:val="0056295A"/>
    <w:rsid w:val="005629A7"/>
    <w:rsid w:val="00562AE6"/>
    <w:rsid w:val="00562CD9"/>
    <w:rsid w:val="00562EE9"/>
    <w:rsid w:val="00562F1D"/>
    <w:rsid w:val="00562F27"/>
    <w:rsid w:val="00563025"/>
    <w:rsid w:val="005630B4"/>
    <w:rsid w:val="00563402"/>
    <w:rsid w:val="0056344D"/>
    <w:rsid w:val="00563573"/>
    <w:rsid w:val="005635B0"/>
    <w:rsid w:val="0056360A"/>
    <w:rsid w:val="0056367A"/>
    <w:rsid w:val="005636F3"/>
    <w:rsid w:val="005636FC"/>
    <w:rsid w:val="0056379A"/>
    <w:rsid w:val="005637B0"/>
    <w:rsid w:val="005638BF"/>
    <w:rsid w:val="00563AF8"/>
    <w:rsid w:val="00563BA5"/>
    <w:rsid w:val="00563BDD"/>
    <w:rsid w:val="00563D0C"/>
    <w:rsid w:val="00563EDE"/>
    <w:rsid w:val="00563FF3"/>
    <w:rsid w:val="00564015"/>
    <w:rsid w:val="0056410B"/>
    <w:rsid w:val="00564204"/>
    <w:rsid w:val="00564335"/>
    <w:rsid w:val="00564412"/>
    <w:rsid w:val="00564569"/>
    <w:rsid w:val="00564607"/>
    <w:rsid w:val="00564746"/>
    <w:rsid w:val="005649FF"/>
    <w:rsid w:val="00564CA8"/>
    <w:rsid w:val="00564CB9"/>
    <w:rsid w:val="00564CD1"/>
    <w:rsid w:val="00564DD6"/>
    <w:rsid w:val="005650B6"/>
    <w:rsid w:val="005651A5"/>
    <w:rsid w:val="00565390"/>
    <w:rsid w:val="005653B4"/>
    <w:rsid w:val="0056552A"/>
    <w:rsid w:val="00565555"/>
    <w:rsid w:val="0056555E"/>
    <w:rsid w:val="005655C4"/>
    <w:rsid w:val="005655F4"/>
    <w:rsid w:val="00565662"/>
    <w:rsid w:val="005657AA"/>
    <w:rsid w:val="00565963"/>
    <w:rsid w:val="00565CDF"/>
    <w:rsid w:val="00565D33"/>
    <w:rsid w:val="00565FFC"/>
    <w:rsid w:val="0056617C"/>
    <w:rsid w:val="0056618E"/>
    <w:rsid w:val="005663EE"/>
    <w:rsid w:val="00566559"/>
    <w:rsid w:val="0056667F"/>
    <w:rsid w:val="0056697A"/>
    <w:rsid w:val="00567073"/>
    <w:rsid w:val="005670F1"/>
    <w:rsid w:val="00567118"/>
    <w:rsid w:val="0056724D"/>
    <w:rsid w:val="005672B3"/>
    <w:rsid w:val="005673B1"/>
    <w:rsid w:val="0056762B"/>
    <w:rsid w:val="0056773F"/>
    <w:rsid w:val="0056777B"/>
    <w:rsid w:val="00567785"/>
    <w:rsid w:val="0056780E"/>
    <w:rsid w:val="00567846"/>
    <w:rsid w:val="00567965"/>
    <w:rsid w:val="00567C21"/>
    <w:rsid w:val="00567CB0"/>
    <w:rsid w:val="00567D29"/>
    <w:rsid w:val="00567DDB"/>
    <w:rsid w:val="00567DFD"/>
    <w:rsid w:val="005700C7"/>
    <w:rsid w:val="005702A5"/>
    <w:rsid w:val="00570439"/>
    <w:rsid w:val="0057061D"/>
    <w:rsid w:val="0057064A"/>
    <w:rsid w:val="00570679"/>
    <w:rsid w:val="00570729"/>
    <w:rsid w:val="0057074E"/>
    <w:rsid w:val="00570788"/>
    <w:rsid w:val="00570941"/>
    <w:rsid w:val="00570BCD"/>
    <w:rsid w:val="00570CE6"/>
    <w:rsid w:val="00570D18"/>
    <w:rsid w:val="00570E1E"/>
    <w:rsid w:val="00570EC5"/>
    <w:rsid w:val="00571115"/>
    <w:rsid w:val="0057128E"/>
    <w:rsid w:val="00571429"/>
    <w:rsid w:val="005714D3"/>
    <w:rsid w:val="005718DA"/>
    <w:rsid w:val="00571ABA"/>
    <w:rsid w:val="00571AF4"/>
    <w:rsid w:val="00571C1D"/>
    <w:rsid w:val="00571C6E"/>
    <w:rsid w:val="00571D48"/>
    <w:rsid w:val="00571D68"/>
    <w:rsid w:val="00571DCD"/>
    <w:rsid w:val="005722B4"/>
    <w:rsid w:val="00572350"/>
    <w:rsid w:val="005723AC"/>
    <w:rsid w:val="00572689"/>
    <w:rsid w:val="0057276E"/>
    <w:rsid w:val="005727DF"/>
    <w:rsid w:val="00572991"/>
    <w:rsid w:val="00572A12"/>
    <w:rsid w:val="00572A90"/>
    <w:rsid w:val="00572DA1"/>
    <w:rsid w:val="00572E02"/>
    <w:rsid w:val="00572E1A"/>
    <w:rsid w:val="0057301F"/>
    <w:rsid w:val="0057312D"/>
    <w:rsid w:val="0057352A"/>
    <w:rsid w:val="0057376E"/>
    <w:rsid w:val="00573785"/>
    <w:rsid w:val="00573856"/>
    <w:rsid w:val="0057386C"/>
    <w:rsid w:val="0057399A"/>
    <w:rsid w:val="00573A84"/>
    <w:rsid w:val="00573BC1"/>
    <w:rsid w:val="00573C5D"/>
    <w:rsid w:val="00573D41"/>
    <w:rsid w:val="00573D9B"/>
    <w:rsid w:val="00573E20"/>
    <w:rsid w:val="00573E9C"/>
    <w:rsid w:val="00573EF2"/>
    <w:rsid w:val="00574007"/>
    <w:rsid w:val="005740B6"/>
    <w:rsid w:val="005740CC"/>
    <w:rsid w:val="00574129"/>
    <w:rsid w:val="0057414A"/>
    <w:rsid w:val="005742CA"/>
    <w:rsid w:val="005745E1"/>
    <w:rsid w:val="005747E5"/>
    <w:rsid w:val="005747F5"/>
    <w:rsid w:val="00574885"/>
    <w:rsid w:val="005748C5"/>
    <w:rsid w:val="005749AA"/>
    <w:rsid w:val="00574B0A"/>
    <w:rsid w:val="00574BAF"/>
    <w:rsid w:val="00575124"/>
    <w:rsid w:val="00575219"/>
    <w:rsid w:val="005754A4"/>
    <w:rsid w:val="005754D6"/>
    <w:rsid w:val="0057551F"/>
    <w:rsid w:val="005755FA"/>
    <w:rsid w:val="00575626"/>
    <w:rsid w:val="005756D7"/>
    <w:rsid w:val="00575890"/>
    <w:rsid w:val="005758EA"/>
    <w:rsid w:val="00575B38"/>
    <w:rsid w:val="00575CC9"/>
    <w:rsid w:val="00575D10"/>
    <w:rsid w:val="00576019"/>
    <w:rsid w:val="00576086"/>
    <w:rsid w:val="005761A5"/>
    <w:rsid w:val="005761F3"/>
    <w:rsid w:val="0057624F"/>
    <w:rsid w:val="00576252"/>
    <w:rsid w:val="0057643A"/>
    <w:rsid w:val="005765BC"/>
    <w:rsid w:val="005765EA"/>
    <w:rsid w:val="00576630"/>
    <w:rsid w:val="00576644"/>
    <w:rsid w:val="0057675F"/>
    <w:rsid w:val="0057689B"/>
    <w:rsid w:val="005768EF"/>
    <w:rsid w:val="00576A92"/>
    <w:rsid w:val="00576AE3"/>
    <w:rsid w:val="00576B72"/>
    <w:rsid w:val="00576E07"/>
    <w:rsid w:val="00576F3E"/>
    <w:rsid w:val="00577177"/>
    <w:rsid w:val="00577208"/>
    <w:rsid w:val="00577264"/>
    <w:rsid w:val="00577279"/>
    <w:rsid w:val="00577379"/>
    <w:rsid w:val="0057746D"/>
    <w:rsid w:val="0057767E"/>
    <w:rsid w:val="005777F9"/>
    <w:rsid w:val="00577849"/>
    <w:rsid w:val="00577AB6"/>
    <w:rsid w:val="00577AF7"/>
    <w:rsid w:val="00577BE0"/>
    <w:rsid w:val="00577CBA"/>
    <w:rsid w:val="00577EF6"/>
    <w:rsid w:val="00580110"/>
    <w:rsid w:val="00580133"/>
    <w:rsid w:val="00580134"/>
    <w:rsid w:val="0058021F"/>
    <w:rsid w:val="00580262"/>
    <w:rsid w:val="0058033F"/>
    <w:rsid w:val="0058057C"/>
    <w:rsid w:val="00580681"/>
    <w:rsid w:val="0058068A"/>
    <w:rsid w:val="005806BE"/>
    <w:rsid w:val="00580AA6"/>
    <w:rsid w:val="00580AE1"/>
    <w:rsid w:val="00580B09"/>
    <w:rsid w:val="00580B99"/>
    <w:rsid w:val="00580BA5"/>
    <w:rsid w:val="00580C23"/>
    <w:rsid w:val="00580D8E"/>
    <w:rsid w:val="00580E16"/>
    <w:rsid w:val="00581090"/>
    <w:rsid w:val="00581162"/>
    <w:rsid w:val="00581252"/>
    <w:rsid w:val="005812D5"/>
    <w:rsid w:val="005812F1"/>
    <w:rsid w:val="005813E0"/>
    <w:rsid w:val="00581446"/>
    <w:rsid w:val="0058159A"/>
    <w:rsid w:val="005815F2"/>
    <w:rsid w:val="0058162C"/>
    <w:rsid w:val="0058163E"/>
    <w:rsid w:val="005816D1"/>
    <w:rsid w:val="005816D3"/>
    <w:rsid w:val="005816E9"/>
    <w:rsid w:val="00581863"/>
    <w:rsid w:val="00581947"/>
    <w:rsid w:val="00581994"/>
    <w:rsid w:val="00581BDB"/>
    <w:rsid w:val="00581D25"/>
    <w:rsid w:val="00581D34"/>
    <w:rsid w:val="00581D6E"/>
    <w:rsid w:val="00581DE9"/>
    <w:rsid w:val="00581F05"/>
    <w:rsid w:val="00582012"/>
    <w:rsid w:val="005820F7"/>
    <w:rsid w:val="00582155"/>
    <w:rsid w:val="0058229D"/>
    <w:rsid w:val="005823B3"/>
    <w:rsid w:val="005824C9"/>
    <w:rsid w:val="005824F4"/>
    <w:rsid w:val="00582774"/>
    <w:rsid w:val="00582783"/>
    <w:rsid w:val="005827F6"/>
    <w:rsid w:val="00582862"/>
    <w:rsid w:val="00582BED"/>
    <w:rsid w:val="00582DCD"/>
    <w:rsid w:val="00582F57"/>
    <w:rsid w:val="0058318A"/>
    <w:rsid w:val="00583256"/>
    <w:rsid w:val="00583258"/>
    <w:rsid w:val="005832B0"/>
    <w:rsid w:val="00583500"/>
    <w:rsid w:val="0058376C"/>
    <w:rsid w:val="0058378F"/>
    <w:rsid w:val="00583809"/>
    <w:rsid w:val="005838A2"/>
    <w:rsid w:val="00583961"/>
    <w:rsid w:val="00583B88"/>
    <w:rsid w:val="005840E5"/>
    <w:rsid w:val="005840F1"/>
    <w:rsid w:val="00584122"/>
    <w:rsid w:val="005841C3"/>
    <w:rsid w:val="00584318"/>
    <w:rsid w:val="00584543"/>
    <w:rsid w:val="00584569"/>
    <w:rsid w:val="005847BE"/>
    <w:rsid w:val="005847C6"/>
    <w:rsid w:val="00584912"/>
    <w:rsid w:val="0058499E"/>
    <w:rsid w:val="00584BB6"/>
    <w:rsid w:val="00584F36"/>
    <w:rsid w:val="00584FB6"/>
    <w:rsid w:val="00584FD1"/>
    <w:rsid w:val="00585013"/>
    <w:rsid w:val="00585142"/>
    <w:rsid w:val="00585298"/>
    <w:rsid w:val="00585312"/>
    <w:rsid w:val="005855A3"/>
    <w:rsid w:val="005858D6"/>
    <w:rsid w:val="005858EF"/>
    <w:rsid w:val="00585AF5"/>
    <w:rsid w:val="00585B1F"/>
    <w:rsid w:val="00585C58"/>
    <w:rsid w:val="00585CD3"/>
    <w:rsid w:val="00585D32"/>
    <w:rsid w:val="00585F8F"/>
    <w:rsid w:val="00585F9C"/>
    <w:rsid w:val="00586134"/>
    <w:rsid w:val="00586285"/>
    <w:rsid w:val="00586400"/>
    <w:rsid w:val="00586534"/>
    <w:rsid w:val="005865B1"/>
    <w:rsid w:val="00586640"/>
    <w:rsid w:val="0058698F"/>
    <w:rsid w:val="00586B3B"/>
    <w:rsid w:val="00586C2F"/>
    <w:rsid w:val="00586C60"/>
    <w:rsid w:val="00586F6B"/>
    <w:rsid w:val="00586F72"/>
    <w:rsid w:val="00587078"/>
    <w:rsid w:val="0058710A"/>
    <w:rsid w:val="00587310"/>
    <w:rsid w:val="005873A7"/>
    <w:rsid w:val="00587589"/>
    <w:rsid w:val="005875C2"/>
    <w:rsid w:val="005875DB"/>
    <w:rsid w:val="005875F8"/>
    <w:rsid w:val="0058767A"/>
    <w:rsid w:val="00587770"/>
    <w:rsid w:val="00587963"/>
    <w:rsid w:val="005879BF"/>
    <w:rsid w:val="00587BC5"/>
    <w:rsid w:val="00587C17"/>
    <w:rsid w:val="00587D8C"/>
    <w:rsid w:val="00590054"/>
    <w:rsid w:val="005900B0"/>
    <w:rsid w:val="005900F0"/>
    <w:rsid w:val="005900FC"/>
    <w:rsid w:val="005901A2"/>
    <w:rsid w:val="00590209"/>
    <w:rsid w:val="0059026D"/>
    <w:rsid w:val="005902B1"/>
    <w:rsid w:val="005902F7"/>
    <w:rsid w:val="005904F3"/>
    <w:rsid w:val="0059056D"/>
    <w:rsid w:val="00590589"/>
    <w:rsid w:val="00590602"/>
    <w:rsid w:val="0059095B"/>
    <w:rsid w:val="00590989"/>
    <w:rsid w:val="00590A75"/>
    <w:rsid w:val="00590BC9"/>
    <w:rsid w:val="00590D10"/>
    <w:rsid w:val="00590E5D"/>
    <w:rsid w:val="00590F25"/>
    <w:rsid w:val="00590FEA"/>
    <w:rsid w:val="00591030"/>
    <w:rsid w:val="005911BC"/>
    <w:rsid w:val="00591237"/>
    <w:rsid w:val="005912BB"/>
    <w:rsid w:val="005912D6"/>
    <w:rsid w:val="00591621"/>
    <w:rsid w:val="00591804"/>
    <w:rsid w:val="00591AB6"/>
    <w:rsid w:val="00591AE6"/>
    <w:rsid w:val="00591D74"/>
    <w:rsid w:val="00591DD0"/>
    <w:rsid w:val="00591EA1"/>
    <w:rsid w:val="00592240"/>
    <w:rsid w:val="0059229C"/>
    <w:rsid w:val="005923E0"/>
    <w:rsid w:val="00592547"/>
    <w:rsid w:val="00592563"/>
    <w:rsid w:val="005926DF"/>
    <w:rsid w:val="00592BB2"/>
    <w:rsid w:val="00592E10"/>
    <w:rsid w:val="00592F9A"/>
    <w:rsid w:val="00593103"/>
    <w:rsid w:val="00593172"/>
    <w:rsid w:val="005932DA"/>
    <w:rsid w:val="00593374"/>
    <w:rsid w:val="00593387"/>
    <w:rsid w:val="00593395"/>
    <w:rsid w:val="005933A4"/>
    <w:rsid w:val="00593449"/>
    <w:rsid w:val="00593472"/>
    <w:rsid w:val="0059364A"/>
    <w:rsid w:val="0059364D"/>
    <w:rsid w:val="00593705"/>
    <w:rsid w:val="0059379A"/>
    <w:rsid w:val="0059396A"/>
    <w:rsid w:val="00593B2F"/>
    <w:rsid w:val="00593B48"/>
    <w:rsid w:val="00593C45"/>
    <w:rsid w:val="00593E41"/>
    <w:rsid w:val="00593F55"/>
    <w:rsid w:val="00593FD8"/>
    <w:rsid w:val="0059402A"/>
    <w:rsid w:val="00594106"/>
    <w:rsid w:val="005941DE"/>
    <w:rsid w:val="005943C9"/>
    <w:rsid w:val="00594453"/>
    <w:rsid w:val="00594776"/>
    <w:rsid w:val="00594A35"/>
    <w:rsid w:val="00594A6D"/>
    <w:rsid w:val="00594BEF"/>
    <w:rsid w:val="00594C6E"/>
    <w:rsid w:val="00594E1A"/>
    <w:rsid w:val="00594FDF"/>
    <w:rsid w:val="005950AC"/>
    <w:rsid w:val="00595188"/>
    <w:rsid w:val="005952D6"/>
    <w:rsid w:val="005954FA"/>
    <w:rsid w:val="0059556F"/>
    <w:rsid w:val="005956D5"/>
    <w:rsid w:val="005957BB"/>
    <w:rsid w:val="0059584E"/>
    <w:rsid w:val="0059588C"/>
    <w:rsid w:val="0059594D"/>
    <w:rsid w:val="00595BF3"/>
    <w:rsid w:val="00595C18"/>
    <w:rsid w:val="00595DA3"/>
    <w:rsid w:val="00595E87"/>
    <w:rsid w:val="00595E8A"/>
    <w:rsid w:val="00595EE9"/>
    <w:rsid w:val="00595EFD"/>
    <w:rsid w:val="00595F82"/>
    <w:rsid w:val="00595FB2"/>
    <w:rsid w:val="0059601A"/>
    <w:rsid w:val="005962E9"/>
    <w:rsid w:val="00596325"/>
    <w:rsid w:val="005963A4"/>
    <w:rsid w:val="005963DB"/>
    <w:rsid w:val="0059653D"/>
    <w:rsid w:val="005965B2"/>
    <w:rsid w:val="00596A39"/>
    <w:rsid w:val="00596B1F"/>
    <w:rsid w:val="00596B2C"/>
    <w:rsid w:val="00596CDD"/>
    <w:rsid w:val="00596D62"/>
    <w:rsid w:val="00596E96"/>
    <w:rsid w:val="00596EC1"/>
    <w:rsid w:val="00596F09"/>
    <w:rsid w:val="00596F91"/>
    <w:rsid w:val="0059707B"/>
    <w:rsid w:val="005970AE"/>
    <w:rsid w:val="005970EA"/>
    <w:rsid w:val="0059710E"/>
    <w:rsid w:val="00597195"/>
    <w:rsid w:val="005971DE"/>
    <w:rsid w:val="00597319"/>
    <w:rsid w:val="005975E0"/>
    <w:rsid w:val="005975F8"/>
    <w:rsid w:val="0059765D"/>
    <w:rsid w:val="00597B0B"/>
    <w:rsid w:val="00597BF3"/>
    <w:rsid w:val="00597D90"/>
    <w:rsid w:val="00597E2D"/>
    <w:rsid w:val="005A0054"/>
    <w:rsid w:val="005A00A7"/>
    <w:rsid w:val="005A03B0"/>
    <w:rsid w:val="005A0440"/>
    <w:rsid w:val="005A052E"/>
    <w:rsid w:val="005A0744"/>
    <w:rsid w:val="005A08DD"/>
    <w:rsid w:val="005A09BF"/>
    <w:rsid w:val="005A09EE"/>
    <w:rsid w:val="005A109D"/>
    <w:rsid w:val="005A1118"/>
    <w:rsid w:val="005A12D1"/>
    <w:rsid w:val="005A1497"/>
    <w:rsid w:val="005A163D"/>
    <w:rsid w:val="005A1672"/>
    <w:rsid w:val="005A1685"/>
    <w:rsid w:val="005A1758"/>
    <w:rsid w:val="005A199E"/>
    <w:rsid w:val="005A19F8"/>
    <w:rsid w:val="005A1A0E"/>
    <w:rsid w:val="005A1A26"/>
    <w:rsid w:val="005A1A4E"/>
    <w:rsid w:val="005A1B55"/>
    <w:rsid w:val="005A1B9E"/>
    <w:rsid w:val="005A1C01"/>
    <w:rsid w:val="005A1D07"/>
    <w:rsid w:val="005A1DAC"/>
    <w:rsid w:val="005A1DBD"/>
    <w:rsid w:val="005A1E54"/>
    <w:rsid w:val="005A1E61"/>
    <w:rsid w:val="005A2187"/>
    <w:rsid w:val="005A24F3"/>
    <w:rsid w:val="005A27C6"/>
    <w:rsid w:val="005A2826"/>
    <w:rsid w:val="005A28C8"/>
    <w:rsid w:val="005A2C61"/>
    <w:rsid w:val="005A2DC5"/>
    <w:rsid w:val="005A2DEB"/>
    <w:rsid w:val="005A30C3"/>
    <w:rsid w:val="005A3106"/>
    <w:rsid w:val="005A31B1"/>
    <w:rsid w:val="005A3224"/>
    <w:rsid w:val="005A32F9"/>
    <w:rsid w:val="005A33C1"/>
    <w:rsid w:val="005A34BB"/>
    <w:rsid w:val="005A34FA"/>
    <w:rsid w:val="005A3832"/>
    <w:rsid w:val="005A3944"/>
    <w:rsid w:val="005A3B6B"/>
    <w:rsid w:val="005A3D51"/>
    <w:rsid w:val="005A3E11"/>
    <w:rsid w:val="005A4001"/>
    <w:rsid w:val="005A43E7"/>
    <w:rsid w:val="005A44DE"/>
    <w:rsid w:val="005A4598"/>
    <w:rsid w:val="005A45B9"/>
    <w:rsid w:val="005A466C"/>
    <w:rsid w:val="005A4684"/>
    <w:rsid w:val="005A4788"/>
    <w:rsid w:val="005A49A5"/>
    <w:rsid w:val="005A49D9"/>
    <w:rsid w:val="005A49E2"/>
    <w:rsid w:val="005A4AA4"/>
    <w:rsid w:val="005A4B35"/>
    <w:rsid w:val="005A4B77"/>
    <w:rsid w:val="005A4B8E"/>
    <w:rsid w:val="005A4D2C"/>
    <w:rsid w:val="005A4DEF"/>
    <w:rsid w:val="005A4E69"/>
    <w:rsid w:val="005A4E86"/>
    <w:rsid w:val="005A5238"/>
    <w:rsid w:val="005A526C"/>
    <w:rsid w:val="005A530F"/>
    <w:rsid w:val="005A5380"/>
    <w:rsid w:val="005A5484"/>
    <w:rsid w:val="005A554A"/>
    <w:rsid w:val="005A55B0"/>
    <w:rsid w:val="005A58BB"/>
    <w:rsid w:val="005A59C7"/>
    <w:rsid w:val="005A5A02"/>
    <w:rsid w:val="005A5A46"/>
    <w:rsid w:val="005A5B59"/>
    <w:rsid w:val="005A5BE9"/>
    <w:rsid w:val="005A5C26"/>
    <w:rsid w:val="005A5C6A"/>
    <w:rsid w:val="005A5D8E"/>
    <w:rsid w:val="005A60C8"/>
    <w:rsid w:val="005A6183"/>
    <w:rsid w:val="005A62D5"/>
    <w:rsid w:val="005A6371"/>
    <w:rsid w:val="005A6408"/>
    <w:rsid w:val="005A6535"/>
    <w:rsid w:val="005A6566"/>
    <w:rsid w:val="005A66CD"/>
    <w:rsid w:val="005A6742"/>
    <w:rsid w:val="005A6793"/>
    <w:rsid w:val="005A6A1C"/>
    <w:rsid w:val="005A6B39"/>
    <w:rsid w:val="005A6B61"/>
    <w:rsid w:val="005A6BF9"/>
    <w:rsid w:val="005A6C4E"/>
    <w:rsid w:val="005A6C72"/>
    <w:rsid w:val="005A6DC6"/>
    <w:rsid w:val="005A6DE0"/>
    <w:rsid w:val="005A6E2F"/>
    <w:rsid w:val="005A6E38"/>
    <w:rsid w:val="005A6F32"/>
    <w:rsid w:val="005A7539"/>
    <w:rsid w:val="005A7695"/>
    <w:rsid w:val="005A7733"/>
    <w:rsid w:val="005A77F0"/>
    <w:rsid w:val="005A7B63"/>
    <w:rsid w:val="005A7C88"/>
    <w:rsid w:val="005A7CDE"/>
    <w:rsid w:val="005A7EFA"/>
    <w:rsid w:val="005B0296"/>
    <w:rsid w:val="005B02CA"/>
    <w:rsid w:val="005B03EE"/>
    <w:rsid w:val="005B044C"/>
    <w:rsid w:val="005B04A8"/>
    <w:rsid w:val="005B0528"/>
    <w:rsid w:val="005B0631"/>
    <w:rsid w:val="005B06A8"/>
    <w:rsid w:val="005B0953"/>
    <w:rsid w:val="005B0C59"/>
    <w:rsid w:val="005B0CAD"/>
    <w:rsid w:val="005B0D9F"/>
    <w:rsid w:val="005B0DAE"/>
    <w:rsid w:val="005B0ED1"/>
    <w:rsid w:val="005B0FED"/>
    <w:rsid w:val="005B1316"/>
    <w:rsid w:val="005B13E3"/>
    <w:rsid w:val="005B1413"/>
    <w:rsid w:val="005B162D"/>
    <w:rsid w:val="005B1631"/>
    <w:rsid w:val="005B1676"/>
    <w:rsid w:val="005B1736"/>
    <w:rsid w:val="005B1751"/>
    <w:rsid w:val="005B1953"/>
    <w:rsid w:val="005B19EC"/>
    <w:rsid w:val="005B1B8E"/>
    <w:rsid w:val="005B1C4D"/>
    <w:rsid w:val="005B1DB7"/>
    <w:rsid w:val="005B20F4"/>
    <w:rsid w:val="005B210D"/>
    <w:rsid w:val="005B21F7"/>
    <w:rsid w:val="005B2246"/>
    <w:rsid w:val="005B233E"/>
    <w:rsid w:val="005B2358"/>
    <w:rsid w:val="005B24A0"/>
    <w:rsid w:val="005B2604"/>
    <w:rsid w:val="005B27C4"/>
    <w:rsid w:val="005B2946"/>
    <w:rsid w:val="005B2A16"/>
    <w:rsid w:val="005B2A32"/>
    <w:rsid w:val="005B2A51"/>
    <w:rsid w:val="005B2A82"/>
    <w:rsid w:val="005B2B28"/>
    <w:rsid w:val="005B2C6D"/>
    <w:rsid w:val="005B2C9E"/>
    <w:rsid w:val="005B2D6D"/>
    <w:rsid w:val="005B2E67"/>
    <w:rsid w:val="005B2EEF"/>
    <w:rsid w:val="005B2FCB"/>
    <w:rsid w:val="005B3097"/>
    <w:rsid w:val="005B30B6"/>
    <w:rsid w:val="005B326E"/>
    <w:rsid w:val="005B3532"/>
    <w:rsid w:val="005B3570"/>
    <w:rsid w:val="005B364B"/>
    <w:rsid w:val="005B3857"/>
    <w:rsid w:val="005B38BB"/>
    <w:rsid w:val="005B39E5"/>
    <w:rsid w:val="005B3A23"/>
    <w:rsid w:val="005B3A2B"/>
    <w:rsid w:val="005B3B38"/>
    <w:rsid w:val="005B3C23"/>
    <w:rsid w:val="005B3EDA"/>
    <w:rsid w:val="005B3FDF"/>
    <w:rsid w:val="005B3FE3"/>
    <w:rsid w:val="005B420B"/>
    <w:rsid w:val="005B4261"/>
    <w:rsid w:val="005B43C0"/>
    <w:rsid w:val="005B4423"/>
    <w:rsid w:val="005B448B"/>
    <w:rsid w:val="005B4597"/>
    <w:rsid w:val="005B46F7"/>
    <w:rsid w:val="005B47BE"/>
    <w:rsid w:val="005B4839"/>
    <w:rsid w:val="005B4894"/>
    <w:rsid w:val="005B4A17"/>
    <w:rsid w:val="005B4A4D"/>
    <w:rsid w:val="005B4B23"/>
    <w:rsid w:val="005B4B7E"/>
    <w:rsid w:val="005B4DBB"/>
    <w:rsid w:val="005B4E59"/>
    <w:rsid w:val="005B503B"/>
    <w:rsid w:val="005B503C"/>
    <w:rsid w:val="005B504B"/>
    <w:rsid w:val="005B5114"/>
    <w:rsid w:val="005B51C7"/>
    <w:rsid w:val="005B54A6"/>
    <w:rsid w:val="005B55FE"/>
    <w:rsid w:val="005B564F"/>
    <w:rsid w:val="005B58B5"/>
    <w:rsid w:val="005B5AA8"/>
    <w:rsid w:val="005B5C2D"/>
    <w:rsid w:val="005B5C91"/>
    <w:rsid w:val="005B5E2E"/>
    <w:rsid w:val="005B5E5F"/>
    <w:rsid w:val="005B5E93"/>
    <w:rsid w:val="005B5FA7"/>
    <w:rsid w:val="005B62DB"/>
    <w:rsid w:val="005B641F"/>
    <w:rsid w:val="005B650E"/>
    <w:rsid w:val="005B65F6"/>
    <w:rsid w:val="005B66A8"/>
    <w:rsid w:val="005B66F1"/>
    <w:rsid w:val="005B6709"/>
    <w:rsid w:val="005B6728"/>
    <w:rsid w:val="005B674F"/>
    <w:rsid w:val="005B6824"/>
    <w:rsid w:val="005B690D"/>
    <w:rsid w:val="005B69D3"/>
    <w:rsid w:val="005B6B38"/>
    <w:rsid w:val="005B6B4E"/>
    <w:rsid w:val="005B6B90"/>
    <w:rsid w:val="005B6BA3"/>
    <w:rsid w:val="005B6C05"/>
    <w:rsid w:val="005B6C3A"/>
    <w:rsid w:val="005B6D3D"/>
    <w:rsid w:val="005B6DB1"/>
    <w:rsid w:val="005B7170"/>
    <w:rsid w:val="005B7188"/>
    <w:rsid w:val="005B7213"/>
    <w:rsid w:val="005B7258"/>
    <w:rsid w:val="005B728C"/>
    <w:rsid w:val="005B7499"/>
    <w:rsid w:val="005B75B7"/>
    <w:rsid w:val="005B75BB"/>
    <w:rsid w:val="005B7873"/>
    <w:rsid w:val="005B7968"/>
    <w:rsid w:val="005B7A1A"/>
    <w:rsid w:val="005B7B4B"/>
    <w:rsid w:val="005B7B60"/>
    <w:rsid w:val="005B7BB3"/>
    <w:rsid w:val="005B7CC4"/>
    <w:rsid w:val="005B7CCE"/>
    <w:rsid w:val="005B7F52"/>
    <w:rsid w:val="005C001B"/>
    <w:rsid w:val="005C0263"/>
    <w:rsid w:val="005C033B"/>
    <w:rsid w:val="005C0349"/>
    <w:rsid w:val="005C0365"/>
    <w:rsid w:val="005C0518"/>
    <w:rsid w:val="005C06A0"/>
    <w:rsid w:val="005C080E"/>
    <w:rsid w:val="005C0895"/>
    <w:rsid w:val="005C0A96"/>
    <w:rsid w:val="005C0AD6"/>
    <w:rsid w:val="005C0B5A"/>
    <w:rsid w:val="005C0E8D"/>
    <w:rsid w:val="005C0EAB"/>
    <w:rsid w:val="005C0EFB"/>
    <w:rsid w:val="005C10A8"/>
    <w:rsid w:val="005C10CF"/>
    <w:rsid w:val="005C1101"/>
    <w:rsid w:val="005C121A"/>
    <w:rsid w:val="005C1345"/>
    <w:rsid w:val="005C13C0"/>
    <w:rsid w:val="005C144D"/>
    <w:rsid w:val="005C14EE"/>
    <w:rsid w:val="005C14F0"/>
    <w:rsid w:val="005C1664"/>
    <w:rsid w:val="005C167B"/>
    <w:rsid w:val="005C180B"/>
    <w:rsid w:val="005C1850"/>
    <w:rsid w:val="005C19EF"/>
    <w:rsid w:val="005C1AFC"/>
    <w:rsid w:val="005C1B50"/>
    <w:rsid w:val="005C1D40"/>
    <w:rsid w:val="005C1D93"/>
    <w:rsid w:val="005C1E88"/>
    <w:rsid w:val="005C1F4A"/>
    <w:rsid w:val="005C1F81"/>
    <w:rsid w:val="005C2063"/>
    <w:rsid w:val="005C2125"/>
    <w:rsid w:val="005C21BF"/>
    <w:rsid w:val="005C2273"/>
    <w:rsid w:val="005C24E3"/>
    <w:rsid w:val="005C24E9"/>
    <w:rsid w:val="005C2514"/>
    <w:rsid w:val="005C2559"/>
    <w:rsid w:val="005C26B0"/>
    <w:rsid w:val="005C2A2C"/>
    <w:rsid w:val="005C2D08"/>
    <w:rsid w:val="005C2EF0"/>
    <w:rsid w:val="005C30FB"/>
    <w:rsid w:val="005C310F"/>
    <w:rsid w:val="005C3118"/>
    <w:rsid w:val="005C3185"/>
    <w:rsid w:val="005C31D2"/>
    <w:rsid w:val="005C32B0"/>
    <w:rsid w:val="005C3483"/>
    <w:rsid w:val="005C3496"/>
    <w:rsid w:val="005C3509"/>
    <w:rsid w:val="005C373B"/>
    <w:rsid w:val="005C38B3"/>
    <w:rsid w:val="005C3B51"/>
    <w:rsid w:val="005C3BBA"/>
    <w:rsid w:val="005C3D82"/>
    <w:rsid w:val="005C3EBA"/>
    <w:rsid w:val="005C3EE9"/>
    <w:rsid w:val="005C402F"/>
    <w:rsid w:val="005C41F4"/>
    <w:rsid w:val="005C4251"/>
    <w:rsid w:val="005C4459"/>
    <w:rsid w:val="005C45DA"/>
    <w:rsid w:val="005C48CC"/>
    <w:rsid w:val="005C4914"/>
    <w:rsid w:val="005C4958"/>
    <w:rsid w:val="005C49F4"/>
    <w:rsid w:val="005C4A20"/>
    <w:rsid w:val="005C4ACC"/>
    <w:rsid w:val="005C4D73"/>
    <w:rsid w:val="005C4F2A"/>
    <w:rsid w:val="005C5113"/>
    <w:rsid w:val="005C51DA"/>
    <w:rsid w:val="005C523F"/>
    <w:rsid w:val="005C54F7"/>
    <w:rsid w:val="005C5724"/>
    <w:rsid w:val="005C57EC"/>
    <w:rsid w:val="005C58B2"/>
    <w:rsid w:val="005C58C8"/>
    <w:rsid w:val="005C591E"/>
    <w:rsid w:val="005C5ABE"/>
    <w:rsid w:val="005C5CD7"/>
    <w:rsid w:val="005C5D55"/>
    <w:rsid w:val="005C60EC"/>
    <w:rsid w:val="005C6152"/>
    <w:rsid w:val="005C6184"/>
    <w:rsid w:val="005C6272"/>
    <w:rsid w:val="005C6379"/>
    <w:rsid w:val="005C64CB"/>
    <w:rsid w:val="005C64FA"/>
    <w:rsid w:val="005C6508"/>
    <w:rsid w:val="005C6595"/>
    <w:rsid w:val="005C68D3"/>
    <w:rsid w:val="005C6A25"/>
    <w:rsid w:val="005C6B90"/>
    <w:rsid w:val="005C6C1A"/>
    <w:rsid w:val="005C6D66"/>
    <w:rsid w:val="005C6D74"/>
    <w:rsid w:val="005C6DCD"/>
    <w:rsid w:val="005C6E88"/>
    <w:rsid w:val="005C6F04"/>
    <w:rsid w:val="005C6FA4"/>
    <w:rsid w:val="005C701B"/>
    <w:rsid w:val="005C70FB"/>
    <w:rsid w:val="005C725A"/>
    <w:rsid w:val="005C75D6"/>
    <w:rsid w:val="005C770F"/>
    <w:rsid w:val="005C77C3"/>
    <w:rsid w:val="005C7948"/>
    <w:rsid w:val="005C79A8"/>
    <w:rsid w:val="005C79A9"/>
    <w:rsid w:val="005C7B72"/>
    <w:rsid w:val="005C7BC0"/>
    <w:rsid w:val="005C7C36"/>
    <w:rsid w:val="005C7E8D"/>
    <w:rsid w:val="005D00A5"/>
    <w:rsid w:val="005D02E4"/>
    <w:rsid w:val="005D03AA"/>
    <w:rsid w:val="005D0425"/>
    <w:rsid w:val="005D0544"/>
    <w:rsid w:val="005D05CA"/>
    <w:rsid w:val="005D05D6"/>
    <w:rsid w:val="005D05FF"/>
    <w:rsid w:val="005D0674"/>
    <w:rsid w:val="005D06FF"/>
    <w:rsid w:val="005D0A12"/>
    <w:rsid w:val="005D0BCD"/>
    <w:rsid w:val="005D0BE5"/>
    <w:rsid w:val="005D0DD0"/>
    <w:rsid w:val="005D0F67"/>
    <w:rsid w:val="005D10C8"/>
    <w:rsid w:val="005D12A5"/>
    <w:rsid w:val="005D13BF"/>
    <w:rsid w:val="005D13F8"/>
    <w:rsid w:val="005D14FC"/>
    <w:rsid w:val="005D153B"/>
    <w:rsid w:val="005D15BB"/>
    <w:rsid w:val="005D15EB"/>
    <w:rsid w:val="005D16BE"/>
    <w:rsid w:val="005D175C"/>
    <w:rsid w:val="005D1779"/>
    <w:rsid w:val="005D183F"/>
    <w:rsid w:val="005D19B9"/>
    <w:rsid w:val="005D19F7"/>
    <w:rsid w:val="005D1C77"/>
    <w:rsid w:val="005D1E8F"/>
    <w:rsid w:val="005D1EB0"/>
    <w:rsid w:val="005D21D5"/>
    <w:rsid w:val="005D2482"/>
    <w:rsid w:val="005D248A"/>
    <w:rsid w:val="005D255B"/>
    <w:rsid w:val="005D2607"/>
    <w:rsid w:val="005D27BB"/>
    <w:rsid w:val="005D2834"/>
    <w:rsid w:val="005D288D"/>
    <w:rsid w:val="005D2937"/>
    <w:rsid w:val="005D2948"/>
    <w:rsid w:val="005D29A3"/>
    <w:rsid w:val="005D29B8"/>
    <w:rsid w:val="005D29D1"/>
    <w:rsid w:val="005D2ADD"/>
    <w:rsid w:val="005D30B6"/>
    <w:rsid w:val="005D3165"/>
    <w:rsid w:val="005D3574"/>
    <w:rsid w:val="005D35BD"/>
    <w:rsid w:val="005D3ACA"/>
    <w:rsid w:val="005D3AF5"/>
    <w:rsid w:val="005D3B9E"/>
    <w:rsid w:val="005D3E11"/>
    <w:rsid w:val="005D3EEF"/>
    <w:rsid w:val="005D3FDA"/>
    <w:rsid w:val="005D4155"/>
    <w:rsid w:val="005D4167"/>
    <w:rsid w:val="005D42DD"/>
    <w:rsid w:val="005D441A"/>
    <w:rsid w:val="005D4456"/>
    <w:rsid w:val="005D4498"/>
    <w:rsid w:val="005D453D"/>
    <w:rsid w:val="005D45D8"/>
    <w:rsid w:val="005D4760"/>
    <w:rsid w:val="005D4BF4"/>
    <w:rsid w:val="005D4C71"/>
    <w:rsid w:val="005D4C7D"/>
    <w:rsid w:val="005D4CF4"/>
    <w:rsid w:val="005D4D2F"/>
    <w:rsid w:val="005D4DB6"/>
    <w:rsid w:val="005D4E99"/>
    <w:rsid w:val="005D5194"/>
    <w:rsid w:val="005D5208"/>
    <w:rsid w:val="005D538C"/>
    <w:rsid w:val="005D53B6"/>
    <w:rsid w:val="005D546B"/>
    <w:rsid w:val="005D5503"/>
    <w:rsid w:val="005D5727"/>
    <w:rsid w:val="005D57AE"/>
    <w:rsid w:val="005D58FD"/>
    <w:rsid w:val="005D5AC8"/>
    <w:rsid w:val="005D5D0E"/>
    <w:rsid w:val="005D5F97"/>
    <w:rsid w:val="005D618D"/>
    <w:rsid w:val="005D628C"/>
    <w:rsid w:val="005D64AB"/>
    <w:rsid w:val="005D64CC"/>
    <w:rsid w:val="005D655C"/>
    <w:rsid w:val="005D66A1"/>
    <w:rsid w:val="005D67CE"/>
    <w:rsid w:val="005D67E4"/>
    <w:rsid w:val="005D6A66"/>
    <w:rsid w:val="005D6B95"/>
    <w:rsid w:val="005D6C5F"/>
    <w:rsid w:val="005D6D31"/>
    <w:rsid w:val="005D6D73"/>
    <w:rsid w:val="005D6DA2"/>
    <w:rsid w:val="005D6E1E"/>
    <w:rsid w:val="005D6F97"/>
    <w:rsid w:val="005D6FE1"/>
    <w:rsid w:val="005D712F"/>
    <w:rsid w:val="005D718F"/>
    <w:rsid w:val="005D7249"/>
    <w:rsid w:val="005D72ED"/>
    <w:rsid w:val="005D7385"/>
    <w:rsid w:val="005D75FC"/>
    <w:rsid w:val="005D770A"/>
    <w:rsid w:val="005D7725"/>
    <w:rsid w:val="005D7742"/>
    <w:rsid w:val="005D77FD"/>
    <w:rsid w:val="005D7870"/>
    <w:rsid w:val="005D7878"/>
    <w:rsid w:val="005D7A6F"/>
    <w:rsid w:val="005D7B8A"/>
    <w:rsid w:val="005D7D66"/>
    <w:rsid w:val="005E01BE"/>
    <w:rsid w:val="005E03A6"/>
    <w:rsid w:val="005E03A7"/>
    <w:rsid w:val="005E042C"/>
    <w:rsid w:val="005E0507"/>
    <w:rsid w:val="005E05E4"/>
    <w:rsid w:val="005E0621"/>
    <w:rsid w:val="005E064F"/>
    <w:rsid w:val="005E06E6"/>
    <w:rsid w:val="005E0724"/>
    <w:rsid w:val="005E0769"/>
    <w:rsid w:val="005E08BB"/>
    <w:rsid w:val="005E091A"/>
    <w:rsid w:val="005E09C7"/>
    <w:rsid w:val="005E0A05"/>
    <w:rsid w:val="005E0D04"/>
    <w:rsid w:val="005E0D0C"/>
    <w:rsid w:val="005E0D26"/>
    <w:rsid w:val="005E0D77"/>
    <w:rsid w:val="005E0FC3"/>
    <w:rsid w:val="005E0FC8"/>
    <w:rsid w:val="005E0FEC"/>
    <w:rsid w:val="005E10E5"/>
    <w:rsid w:val="005E128D"/>
    <w:rsid w:val="005E1353"/>
    <w:rsid w:val="005E136C"/>
    <w:rsid w:val="005E17B3"/>
    <w:rsid w:val="005E183E"/>
    <w:rsid w:val="005E1970"/>
    <w:rsid w:val="005E1975"/>
    <w:rsid w:val="005E1AD2"/>
    <w:rsid w:val="005E1AD5"/>
    <w:rsid w:val="005E1BD2"/>
    <w:rsid w:val="005E1C16"/>
    <w:rsid w:val="005E1CE8"/>
    <w:rsid w:val="005E1D1C"/>
    <w:rsid w:val="005E1D36"/>
    <w:rsid w:val="005E1DEA"/>
    <w:rsid w:val="005E1E0C"/>
    <w:rsid w:val="005E1E17"/>
    <w:rsid w:val="005E1E98"/>
    <w:rsid w:val="005E2031"/>
    <w:rsid w:val="005E2137"/>
    <w:rsid w:val="005E2209"/>
    <w:rsid w:val="005E2264"/>
    <w:rsid w:val="005E2456"/>
    <w:rsid w:val="005E246C"/>
    <w:rsid w:val="005E26CC"/>
    <w:rsid w:val="005E29CA"/>
    <w:rsid w:val="005E29E2"/>
    <w:rsid w:val="005E2A04"/>
    <w:rsid w:val="005E2AA6"/>
    <w:rsid w:val="005E2BE8"/>
    <w:rsid w:val="005E2C76"/>
    <w:rsid w:val="005E2C7B"/>
    <w:rsid w:val="005E2EB4"/>
    <w:rsid w:val="005E2F4C"/>
    <w:rsid w:val="005E2FDF"/>
    <w:rsid w:val="005E30B4"/>
    <w:rsid w:val="005E3490"/>
    <w:rsid w:val="005E34F7"/>
    <w:rsid w:val="005E3588"/>
    <w:rsid w:val="005E35F1"/>
    <w:rsid w:val="005E369F"/>
    <w:rsid w:val="005E36EB"/>
    <w:rsid w:val="005E37F0"/>
    <w:rsid w:val="005E382D"/>
    <w:rsid w:val="005E38EE"/>
    <w:rsid w:val="005E3908"/>
    <w:rsid w:val="005E3B95"/>
    <w:rsid w:val="005E3BB8"/>
    <w:rsid w:val="005E3C00"/>
    <w:rsid w:val="005E3D77"/>
    <w:rsid w:val="005E3E2B"/>
    <w:rsid w:val="005E3F42"/>
    <w:rsid w:val="005E41C5"/>
    <w:rsid w:val="005E43AB"/>
    <w:rsid w:val="005E44B5"/>
    <w:rsid w:val="005E457E"/>
    <w:rsid w:val="005E4699"/>
    <w:rsid w:val="005E497F"/>
    <w:rsid w:val="005E4B0C"/>
    <w:rsid w:val="005E4E50"/>
    <w:rsid w:val="005E50CE"/>
    <w:rsid w:val="005E52F0"/>
    <w:rsid w:val="005E5331"/>
    <w:rsid w:val="005E53EE"/>
    <w:rsid w:val="005E54A0"/>
    <w:rsid w:val="005E54F8"/>
    <w:rsid w:val="005E5571"/>
    <w:rsid w:val="005E5602"/>
    <w:rsid w:val="005E561C"/>
    <w:rsid w:val="005E5620"/>
    <w:rsid w:val="005E56B9"/>
    <w:rsid w:val="005E58A7"/>
    <w:rsid w:val="005E5A4C"/>
    <w:rsid w:val="005E5BF3"/>
    <w:rsid w:val="005E5D0C"/>
    <w:rsid w:val="005E5D7E"/>
    <w:rsid w:val="005E5DD1"/>
    <w:rsid w:val="005E60A4"/>
    <w:rsid w:val="005E6160"/>
    <w:rsid w:val="005E61C1"/>
    <w:rsid w:val="005E6303"/>
    <w:rsid w:val="005E634D"/>
    <w:rsid w:val="005E63D9"/>
    <w:rsid w:val="005E64E6"/>
    <w:rsid w:val="005E665A"/>
    <w:rsid w:val="005E67DD"/>
    <w:rsid w:val="005E692E"/>
    <w:rsid w:val="005E69EA"/>
    <w:rsid w:val="005E6B7D"/>
    <w:rsid w:val="005E6CCC"/>
    <w:rsid w:val="005E6DC3"/>
    <w:rsid w:val="005E6FDA"/>
    <w:rsid w:val="005E7066"/>
    <w:rsid w:val="005E7242"/>
    <w:rsid w:val="005E7407"/>
    <w:rsid w:val="005E75B8"/>
    <w:rsid w:val="005E7722"/>
    <w:rsid w:val="005E7773"/>
    <w:rsid w:val="005E7908"/>
    <w:rsid w:val="005E7B45"/>
    <w:rsid w:val="005E7DB2"/>
    <w:rsid w:val="005E7EE0"/>
    <w:rsid w:val="005E7FDD"/>
    <w:rsid w:val="005F0165"/>
    <w:rsid w:val="005F02E1"/>
    <w:rsid w:val="005F05C8"/>
    <w:rsid w:val="005F079D"/>
    <w:rsid w:val="005F09B9"/>
    <w:rsid w:val="005F0A81"/>
    <w:rsid w:val="005F0D68"/>
    <w:rsid w:val="005F0D98"/>
    <w:rsid w:val="005F0FC7"/>
    <w:rsid w:val="005F1127"/>
    <w:rsid w:val="005F11BE"/>
    <w:rsid w:val="005F13A1"/>
    <w:rsid w:val="005F13A2"/>
    <w:rsid w:val="005F15C9"/>
    <w:rsid w:val="005F15F3"/>
    <w:rsid w:val="005F16D9"/>
    <w:rsid w:val="005F17AC"/>
    <w:rsid w:val="005F1855"/>
    <w:rsid w:val="005F186A"/>
    <w:rsid w:val="005F187E"/>
    <w:rsid w:val="005F194D"/>
    <w:rsid w:val="005F1B98"/>
    <w:rsid w:val="005F1CC5"/>
    <w:rsid w:val="005F1CDA"/>
    <w:rsid w:val="005F1DC1"/>
    <w:rsid w:val="005F1E1B"/>
    <w:rsid w:val="005F1FCD"/>
    <w:rsid w:val="005F205B"/>
    <w:rsid w:val="005F21CC"/>
    <w:rsid w:val="005F21E3"/>
    <w:rsid w:val="005F22AA"/>
    <w:rsid w:val="005F2609"/>
    <w:rsid w:val="005F2714"/>
    <w:rsid w:val="005F2776"/>
    <w:rsid w:val="005F29EF"/>
    <w:rsid w:val="005F2AF1"/>
    <w:rsid w:val="005F2CCD"/>
    <w:rsid w:val="005F2EAD"/>
    <w:rsid w:val="005F2F85"/>
    <w:rsid w:val="005F2FE6"/>
    <w:rsid w:val="005F31F5"/>
    <w:rsid w:val="005F354D"/>
    <w:rsid w:val="005F3642"/>
    <w:rsid w:val="005F3673"/>
    <w:rsid w:val="005F36DB"/>
    <w:rsid w:val="005F3877"/>
    <w:rsid w:val="005F38C1"/>
    <w:rsid w:val="005F3D5C"/>
    <w:rsid w:val="005F3E6E"/>
    <w:rsid w:val="005F3E88"/>
    <w:rsid w:val="005F3EC7"/>
    <w:rsid w:val="005F3EDC"/>
    <w:rsid w:val="005F3F0D"/>
    <w:rsid w:val="005F3FEC"/>
    <w:rsid w:val="005F40CB"/>
    <w:rsid w:val="005F41A9"/>
    <w:rsid w:val="005F42CB"/>
    <w:rsid w:val="005F431D"/>
    <w:rsid w:val="005F441F"/>
    <w:rsid w:val="005F4506"/>
    <w:rsid w:val="005F45B4"/>
    <w:rsid w:val="005F46A5"/>
    <w:rsid w:val="005F4730"/>
    <w:rsid w:val="005F48EE"/>
    <w:rsid w:val="005F4D5C"/>
    <w:rsid w:val="005F4E8E"/>
    <w:rsid w:val="005F504D"/>
    <w:rsid w:val="005F5052"/>
    <w:rsid w:val="005F513A"/>
    <w:rsid w:val="005F5176"/>
    <w:rsid w:val="005F51A3"/>
    <w:rsid w:val="005F5268"/>
    <w:rsid w:val="005F534A"/>
    <w:rsid w:val="005F5446"/>
    <w:rsid w:val="005F54CC"/>
    <w:rsid w:val="005F561C"/>
    <w:rsid w:val="005F5631"/>
    <w:rsid w:val="005F5693"/>
    <w:rsid w:val="005F575A"/>
    <w:rsid w:val="005F5825"/>
    <w:rsid w:val="005F5921"/>
    <w:rsid w:val="005F5927"/>
    <w:rsid w:val="005F5A98"/>
    <w:rsid w:val="005F5C6A"/>
    <w:rsid w:val="005F5D2C"/>
    <w:rsid w:val="005F5E3D"/>
    <w:rsid w:val="005F5FCA"/>
    <w:rsid w:val="005F60A9"/>
    <w:rsid w:val="005F60B2"/>
    <w:rsid w:val="005F619A"/>
    <w:rsid w:val="005F62B1"/>
    <w:rsid w:val="005F6497"/>
    <w:rsid w:val="005F656A"/>
    <w:rsid w:val="005F6801"/>
    <w:rsid w:val="005F686B"/>
    <w:rsid w:val="005F68B1"/>
    <w:rsid w:val="005F6925"/>
    <w:rsid w:val="005F6A78"/>
    <w:rsid w:val="005F6D0E"/>
    <w:rsid w:val="005F6D47"/>
    <w:rsid w:val="005F6F49"/>
    <w:rsid w:val="005F6FF5"/>
    <w:rsid w:val="005F70D3"/>
    <w:rsid w:val="005F7150"/>
    <w:rsid w:val="005F71E0"/>
    <w:rsid w:val="005F731B"/>
    <w:rsid w:val="005F7325"/>
    <w:rsid w:val="005F7361"/>
    <w:rsid w:val="005F738F"/>
    <w:rsid w:val="005F7399"/>
    <w:rsid w:val="005F7562"/>
    <w:rsid w:val="005F766E"/>
    <w:rsid w:val="005F77DB"/>
    <w:rsid w:val="005F77DF"/>
    <w:rsid w:val="005F7891"/>
    <w:rsid w:val="005F7920"/>
    <w:rsid w:val="005F7923"/>
    <w:rsid w:val="005F796C"/>
    <w:rsid w:val="005F7CD6"/>
    <w:rsid w:val="005F7D19"/>
    <w:rsid w:val="005F7D32"/>
    <w:rsid w:val="005F7F28"/>
    <w:rsid w:val="00600081"/>
    <w:rsid w:val="006001E5"/>
    <w:rsid w:val="006001E7"/>
    <w:rsid w:val="00600320"/>
    <w:rsid w:val="0060035A"/>
    <w:rsid w:val="006003E0"/>
    <w:rsid w:val="0060046D"/>
    <w:rsid w:val="006004C7"/>
    <w:rsid w:val="0060055E"/>
    <w:rsid w:val="006007B1"/>
    <w:rsid w:val="006007C9"/>
    <w:rsid w:val="00600854"/>
    <w:rsid w:val="006008B2"/>
    <w:rsid w:val="0060096F"/>
    <w:rsid w:val="00600A1D"/>
    <w:rsid w:val="00600A4D"/>
    <w:rsid w:val="00600A5F"/>
    <w:rsid w:val="00600B4C"/>
    <w:rsid w:val="00600BD2"/>
    <w:rsid w:val="00600CD9"/>
    <w:rsid w:val="00600E29"/>
    <w:rsid w:val="00600EC2"/>
    <w:rsid w:val="00601079"/>
    <w:rsid w:val="006010E6"/>
    <w:rsid w:val="006011CC"/>
    <w:rsid w:val="0060138E"/>
    <w:rsid w:val="006013D9"/>
    <w:rsid w:val="006014A2"/>
    <w:rsid w:val="006015CB"/>
    <w:rsid w:val="00601616"/>
    <w:rsid w:val="0060187A"/>
    <w:rsid w:val="00601953"/>
    <w:rsid w:val="006019B0"/>
    <w:rsid w:val="00601B09"/>
    <w:rsid w:val="00601C98"/>
    <w:rsid w:val="00601D94"/>
    <w:rsid w:val="00601DB9"/>
    <w:rsid w:val="00601EEC"/>
    <w:rsid w:val="00601F73"/>
    <w:rsid w:val="00602044"/>
    <w:rsid w:val="00602560"/>
    <w:rsid w:val="00602600"/>
    <w:rsid w:val="006026E6"/>
    <w:rsid w:val="0060271E"/>
    <w:rsid w:val="006027CD"/>
    <w:rsid w:val="006028AA"/>
    <w:rsid w:val="006028E4"/>
    <w:rsid w:val="00602A4B"/>
    <w:rsid w:val="00602ADF"/>
    <w:rsid w:val="00602C7C"/>
    <w:rsid w:val="00602D38"/>
    <w:rsid w:val="00602E67"/>
    <w:rsid w:val="00602F5E"/>
    <w:rsid w:val="00602F9A"/>
    <w:rsid w:val="0060307A"/>
    <w:rsid w:val="006030E9"/>
    <w:rsid w:val="00603190"/>
    <w:rsid w:val="00603287"/>
    <w:rsid w:val="006032CF"/>
    <w:rsid w:val="006033F8"/>
    <w:rsid w:val="00603815"/>
    <w:rsid w:val="00603A8C"/>
    <w:rsid w:val="00603CA1"/>
    <w:rsid w:val="00603CD5"/>
    <w:rsid w:val="00603CFE"/>
    <w:rsid w:val="00603DD6"/>
    <w:rsid w:val="00603FD7"/>
    <w:rsid w:val="00604096"/>
    <w:rsid w:val="0060411E"/>
    <w:rsid w:val="00604131"/>
    <w:rsid w:val="006042D3"/>
    <w:rsid w:val="00604568"/>
    <w:rsid w:val="006045FC"/>
    <w:rsid w:val="00604628"/>
    <w:rsid w:val="006046CC"/>
    <w:rsid w:val="00604852"/>
    <w:rsid w:val="00604B4F"/>
    <w:rsid w:val="00604BAB"/>
    <w:rsid w:val="00604CA0"/>
    <w:rsid w:val="00604D88"/>
    <w:rsid w:val="00604DB1"/>
    <w:rsid w:val="00604DDA"/>
    <w:rsid w:val="00604F17"/>
    <w:rsid w:val="00604F8D"/>
    <w:rsid w:val="0060512B"/>
    <w:rsid w:val="00605188"/>
    <w:rsid w:val="006052BF"/>
    <w:rsid w:val="006052EC"/>
    <w:rsid w:val="00605339"/>
    <w:rsid w:val="00605397"/>
    <w:rsid w:val="006053B5"/>
    <w:rsid w:val="006053F5"/>
    <w:rsid w:val="006055F5"/>
    <w:rsid w:val="0060561D"/>
    <w:rsid w:val="006058CA"/>
    <w:rsid w:val="006058CF"/>
    <w:rsid w:val="00605921"/>
    <w:rsid w:val="00605AF3"/>
    <w:rsid w:val="00605B3A"/>
    <w:rsid w:val="00605B5E"/>
    <w:rsid w:val="00605BE6"/>
    <w:rsid w:val="00605E47"/>
    <w:rsid w:val="00605EFA"/>
    <w:rsid w:val="00605F3B"/>
    <w:rsid w:val="00606264"/>
    <w:rsid w:val="006062A7"/>
    <w:rsid w:val="0060634A"/>
    <w:rsid w:val="00606639"/>
    <w:rsid w:val="006066B0"/>
    <w:rsid w:val="006068AE"/>
    <w:rsid w:val="00606A43"/>
    <w:rsid w:val="00606B65"/>
    <w:rsid w:val="00606B86"/>
    <w:rsid w:val="00606DF2"/>
    <w:rsid w:val="00606F6D"/>
    <w:rsid w:val="006070A3"/>
    <w:rsid w:val="006072EE"/>
    <w:rsid w:val="00607327"/>
    <w:rsid w:val="00607413"/>
    <w:rsid w:val="00607440"/>
    <w:rsid w:val="0060746C"/>
    <w:rsid w:val="00607479"/>
    <w:rsid w:val="006074BF"/>
    <w:rsid w:val="00607546"/>
    <w:rsid w:val="00607566"/>
    <w:rsid w:val="006075F3"/>
    <w:rsid w:val="006077D6"/>
    <w:rsid w:val="00607A0B"/>
    <w:rsid w:val="00607BA0"/>
    <w:rsid w:val="00607C45"/>
    <w:rsid w:val="00607C92"/>
    <w:rsid w:val="00607CAC"/>
    <w:rsid w:val="00607D56"/>
    <w:rsid w:val="00607F44"/>
    <w:rsid w:val="00607F9B"/>
    <w:rsid w:val="00607FD6"/>
    <w:rsid w:val="00610025"/>
    <w:rsid w:val="006101D2"/>
    <w:rsid w:val="006103D1"/>
    <w:rsid w:val="006104B6"/>
    <w:rsid w:val="006108B5"/>
    <w:rsid w:val="00610A83"/>
    <w:rsid w:val="00610B01"/>
    <w:rsid w:val="00610B02"/>
    <w:rsid w:val="00610B8E"/>
    <w:rsid w:val="00610EBE"/>
    <w:rsid w:val="00610F16"/>
    <w:rsid w:val="00610F3E"/>
    <w:rsid w:val="00611057"/>
    <w:rsid w:val="0061109C"/>
    <w:rsid w:val="006114B1"/>
    <w:rsid w:val="0061151C"/>
    <w:rsid w:val="006117B3"/>
    <w:rsid w:val="00611A82"/>
    <w:rsid w:val="00611AAB"/>
    <w:rsid w:val="00611ABC"/>
    <w:rsid w:val="00611ADF"/>
    <w:rsid w:val="00611B01"/>
    <w:rsid w:val="00611D1E"/>
    <w:rsid w:val="00611D31"/>
    <w:rsid w:val="00611EFC"/>
    <w:rsid w:val="0061217C"/>
    <w:rsid w:val="00612764"/>
    <w:rsid w:val="00612943"/>
    <w:rsid w:val="0061296F"/>
    <w:rsid w:val="00612AD8"/>
    <w:rsid w:val="00612D05"/>
    <w:rsid w:val="00612D28"/>
    <w:rsid w:val="00612DB8"/>
    <w:rsid w:val="00612DE9"/>
    <w:rsid w:val="00612F73"/>
    <w:rsid w:val="00613130"/>
    <w:rsid w:val="006132A4"/>
    <w:rsid w:val="006132B1"/>
    <w:rsid w:val="006132EB"/>
    <w:rsid w:val="006135BA"/>
    <w:rsid w:val="006135C2"/>
    <w:rsid w:val="006136CC"/>
    <w:rsid w:val="00613763"/>
    <w:rsid w:val="00613912"/>
    <w:rsid w:val="00613AD6"/>
    <w:rsid w:val="00613B2F"/>
    <w:rsid w:val="00613D81"/>
    <w:rsid w:val="00613EE9"/>
    <w:rsid w:val="00613F83"/>
    <w:rsid w:val="00614028"/>
    <w:rsid w:val="00614256"/>
    <w:rsid w:val="006142CC"/>
    <w:rsid w:val="0061462B"/>
    <w:rsid w:val="006146AB"/>
    <w:rsid w:val="00614810"/>
    <w:rsid w:val="00614829"/>
    <w:rsid w:val="006148E9"/>
    <w:rsid w:val="00614948"/>
    <w:rsid w:val="00614A08"/>
    <w:rsid w:val="00614C63"/>
    <w:rsid w:val="00614DC8"/>
    <w:rsid w:val="00614E8F"/>
    <w:rsid w:val="0061514B"/>
    <w:rsid w:val="006155BC"/>
    <w:rsid w:val="006155FE"/>
    <w:rsid w:val="0061583C"/>
    <w:rsid w:val="0061587A"/>
    <w:rsid w:val="00615881"/>
    <w:rsid w:val="00615903"/>
    <w:rsid w:val="00615A29"/>
    <w:rsid w:val="00615A53"/>
    <w:rsid w:val="00615B3E"/>
    <w:rsid w:val="00615BF1"/>
    <w:rsid w:val="00615CB0"/>
    <w:rsid w:val="00615DAD"/>
    <w:rsid w:val="00615DBB"/>
    <w:rsid w:val="00615EFF"/>
    <w:rsid w:val="00615F79"/>
    <w:rsid w:val="006161D6"/>
    <w:rsid w:val="00616223"/>
    <w:rsid w:val="006163BE"/>
    <w:rsid w:val="00616410"/>
    <w:rsid w:val="006165AF"/>
    <w:rsid w:val="006166A5"/>
    <w:rsid w:val="00616736"/>
    <w:rsid w:val="006167B9"/>
    <w:rsid w:val="006167BF"/>
    <w:rsid w:val="00616915"/>
    <w:rsid w:val="00616BA2"/>
    <w:rsid w:val="00616C36"/>
    <w:rsid w:val="00616C9B"/>
    <w:rsid w:val="00616D57"/>
    <w:rsid w:val="00616EE3"/>
    <w:rsid w:val="00616F8A"/>
    <w:rsid w:val="00617017"/>
    <w:rsid w:val="00617083"/>
    <w:rsid w:val="00617144"/>
    <w:rsid w:val="006171CA"/>
    <w:rsid w:val="0061727A"/>
    <w:rsid w:val="0061732C"/>
    <w:rsid w:val="00617467"/>
    <w:rsid w:val="006174E3"/>
    <w:rsid w:val="0061750E"/>
    <w:rsid w:val="00617663"/>
    <w:rsid w:val="006176FD"/>
    <w:rsid w:val="0061772C"/>
    <w:rsid w:val="006177F7"/>
    <w:rsid w:val="00617983"/>
    <w:rsid w:val="006179B7"/>
    <w:rsid w:val="006179E1"/>
    <w:rsid w:val="00617CBB"/>
    <w:rsid w:val="00617CC2"/>
    <w:rsid w:val="00617CEB"/>
    <w:rsid w:val="00617D26"/>
    <w:rsid w:val="00617E9D"/>
    <w:rsid w:val="00617EA1"/>
    <w:rsid w:val="00617F37"/>
    <w:rsid w:val="00617F99"/>
    <w:rsid w:val="00620158"/>
    <w:rsid w:val="00620195"/>
    <w:rsid w:val="006201BA"/>
    <w:rsid w:val="006202F3"/>
    <w:rsid w:val="00620379"/>
    <w:rsid w:val="006203C7"/>
    <w:rsid w:val="006203FB"/>
    <w:rsid w:val="006205E3"/>
    <w:rsid w:val="00620658"/>
    <w:rsid w:val="0062066A"/>
    <w:rsid w:val="00620869"/>
    <w:rsid w:val="006208D1"/>
    <w:rsid w:val="006209A5"/>
    <w:rsid w:val="00620ACB"/>
    <w:rsid w:val="00620B79"/>
    <w:rsid w:val="00620C1A"/>
    <w:rsid w:val="00620C92"/>
    <w:rsid w:val="00620DE5"/>
    <w:rsid w:val="00620E70"/>
    <w:rsid w:val="00620EDD"/>
    <w:rsid w:val="00620F08"/>
    <w:rsid w:val="00621341"/>
    <w:rsid w:val="00621450"/>
    <w:rsid w:val="0062167F"/>
    <w:rsid w:val="006217D3"/>
    <w:rsid w:val="0062187B"/>
    <w:rsid w:val="00621C06"/>
    <w:rsid w:val="00621C79"/>
    <w:rsid w:val="00621DC3"/>
    <w:rsid w:val="00621E5A"/>
    <w:rsid w:val="00621E8C"/>
    <w:rsid w:val="00621EA1"/>
    <w:rsid w:val="00621F60"/>
    <w:rsid w:val="00621FAB"/>
    <w:rsid w:val="00621FB6"/>
    <w:rsid w:val="00621FDE"/>
    <w:rsid w:val="006220C9"/>
    <w:rsid w:val="006222F5"/>
    <w:rsid w:val="00622468"/>
    <w:rsid w:val="00622596"/>
    <w:rsid w:val="006227A4"/>
    <w:rsid w:val="006228C7"/>
    <w:rsid w:val="00622946"/>
    <w:rsid w:val="00622AD4"/>
    <w:rsid w:val="00622B6B"/>
    <w:rsid w:val="00622C16"/>
    <w:rsid w:val="00622C28"/>
    <w:rsid w:val="00622C32"/>
    <w:rsid w:val="00622CE1"/>
    <w:rsid w:val="00622D95"/>
    <w:rsid w:val="00622E94"/>
    <w:rsid w:val="00622F18"/>
    <w:rsid w:val="00623107"/>
    <w:rsid w:val="0062311D"/>
    <w:rsid w:val="006232B1"/>
    <w:rsid w:val="0062334B"/>
    <w:rsid w:val="0062338B"/>
    <w:rsid w:val="006236C1"/>
    <w:rsid w:val="006237AF"/>
    <w:rsid w:val="006237E0"/>
    <w:rsid w:val="006237F2"/>
    <w:rsid w:val="00623910"/>
    <w:rsid w:val="00623A22"/>
    <w:rsid w:val="00623A26"/>
    <w:rsid w:val="00623ABB"/>
    <w:rsid w:val="00623BFF"/>
    <w:rsid w:val="00623C93"/>
    <w:rsid w:val="00623E5B"/>
    <w:rsid w:val="00623FBA"/>
    <w:rsid w:val="006240B0"/>
    <w:rsid w:val="006241E3"/>
    <w:rsid w:val="006245C4"/>
    <w:rsid w:val="0062485F"/>
    <w:rsid w:val="00624900"/>
    <w:rsid w:val="00624F71"/>
    <w:rsid w:val="00625557"/>
    <w:rsid w:val="0062564E"/>
    <w:rsid w:val="006257E8"/>
    <w:rsid w:val="00625954"/>
    <w:rsid w:val="00625A63"/>
    <w:rsid w:val="00625B8D"/>
    <w:rsid w:val="00625D65"/>
    <w:rsid w:val="00625E5B"/>
    <w:rsid w:val="0062605E"/>
    <w:rsid w:val="006260A5"/>
    <w:rsid w:val="00626241"/>
    <w:rsid w:val="00626383"/>
    <w:rsid w:val="006263E5"/>
    <w:rsid w:val="00626440"/>
    <w:rsid w:val="00626464"/>
    <w:rsid w:val="00626596"/>
    <w:rsid w:val="006265CA"/>
    <w:rsid w:val="00626686"/>
    <w:rsid w:val="00626714"/>
    <w:rsid w:val="006267CF"/>
    <w:rsid w:val="006269A8"/>
    <w:rsid w:val="00626B77"/>
    <w:rsid w:val="00626C5C"/>
    <w:rsid w:val="00626EBB"/>
    <w:rsid w:val="00626F1D"/>
    <w:rsid w:val="00626F5A"/>
    <w:rsid w:val="00627296"/>
    <w:rsid w:val="0062732B"/>
    <w:rsid w:val="00627372"/>
    <w:rsid w:val="0062745D"/>
    <w:rsid w:val="00627527"/>
    <w:rsid w:val="0062774A"/>
    <w:rsid w:val="00627853"/>
    <w:rsid w:val="00627874"/>
    <w:rsid w:val="006278AB"/>
    <w:rsid w:val="006279C9"/>
    <w:rsid w:val="00627BB0"/>
    <w:rsid w:val="00627BCD"/>
    <w:rsid w:val="00627BD8"/>
    <w:rsid w:val="00627BE4"/>
    <w:rsid w:val="00627C2D"/>
    <w:rsid w:val="00627C43"/>
    <w:rsid w:val="00627CD6"/>
    <w:rsid w:val="00627D04"/>
    <w:rsid w:val="00627DD5"/>
    <w:rsid w:val="00627F26"/>
    <w:rsid w:val="00627F8F"/>
    <w:rsid w:val="006301A4"/>
    <w:rsid w:val="006301D4"/>
    <w:rsid w:val="00630286"/>
    <w:rsid w:val="006305BF"/>
    <w:rsid w:val="00630611"/>
    <w:rsid w:val="0063063C"/>
    <w:rsid w:val="006308D2"/>
    <w:rsid w:val="00630923"/>
    <w:rsid w:val="00630A11"/>
    <w:rsid w:val="00630A40"/>
    <w:rsid w:val="00630B54"/>
    <w:rsid w:val="00630D4A"/>
    <w:rsid w:val="00630E9D"/>
    <w:rsid w:val="00630F52"/>
    <w:rsid w:val="00631058"/>
    <w:rsid w:val="006311ED"/>
    <w:rsid w:val="00631219"/>
    <w:rsid w:val="00631449"/>
    <w:rsid w:val="00631516"/>
    <w:rsid w:val="00631551"/>
    <w:rsid w:val="00631591"/>
    <w:rsid w:val="006315B1"/>
    <w:rsid w:val="0063190E"/>
    <w:rsid w:val="00631AA4"/>
    <w:rsid w:val="00631AA5"/>
    <w:rsid w:val="00631AE8"/>
    <w:rsid w:val="00631AFC"/>
    <w:rsid w:val="00631BA0"/>
    <w:rsid w:val="00631DBB"/>
    <w:rsid w:val="00631F27"/>
    <w:rsid w:val="00631F77"/>
    <w:rsid w:val="00631F92"/>
    <w:rsid w:val="00631FE8"/>
    <w:rsid w:val="00632045"/>
    <w:rsid w:val="006320C5"/>
    <w:rsid w:val="006321B7"/>
    <w:rsid w:val="006322B7"/>
    <w:rsid w:val="006322C2"/>
    <w:rsid w:val="006324A7"/>
    <w:rsid w:val="00632775"/>
    <w:rsid w:val="006328C8"/>
    <w:rsid w:val="006329EF"/>
    <w:rsid w:val="00632BC9"/>
    <w:rsid w:val="00632E34"/>
    <w:rsid w:val="00632E91"/>
    <w:rsid w:val="00632F50"/>
    <w:rsid w:val="00632F9E"/>
    <w:rsid w:val="006331C4"/>
    <w:rsid w:val="00633325"/>
    <w:rsid w:val="006333FA"/>
    <w:rsid w:val="0063343F"/>
    <w:rsid w:val="00633547"/>
    <w:rsid w:val="006339BA"/>
    <w:rsid w:val="00633A7C"/>
    <w:rsid w:val="00633B90"/>
    <w:rsid w:val="00633CFB"/>
    <w:rsid w:val="00633D09"/>
    <w:rsid w:val="00633D6F"/>
    <w:rsid w:val="00633F72"/>
    <w:rsid w:val="0063400E"/>
    <w:rsid w:val="006341CD"/>
    <w:rsid w:val="00634209"/>
    <w:rsid w:val="0063426F"/>
    <w:rsid w:val="00634289"/>
    <w:rsid w:val="00634344"/>
    <w:rsid w:val="0063440B"/>
    <w:rsid w:val="0063466D"/>
    <w:rsid w:val="00634785"/>
    <w:rsid w:val="006348B3"/>
    <w:rsid w:val="006349AC"/>
    <w:rsid w:val="00634A98"/>
    <w:rsid w:val="00634AE5"/>
    <w:rsid w:val="00634C30"/>
    <w:rsid w:val="00634C4D"/>
    <w:rsid w:val="00634E4A"/>
    <w:rsid w:val="00634E68"/>
    <w:rsid w:val="00634F3B"/>
    <w:rsid w:val="00634F4F"/>
    <w:rsid w:val="00634FB3"/>
    <w:rsid w:val="006350F1"/>
    <w:rsid w:val="0063535B"/>
    <w:rsid w:val="006353E4"/>
    <w:rsid w:val="0063554B"/>
    <w:rsid w:val="00635579"/>
    <w:rsid w:val="006355D9"/>
    <w:rsid w:val="00635975"/>
    <w:rsid w:val="006359B5"/>
    <w:rsid w:val="00635B00"/>
    <w:rsid w:val="00635B04"/>
    <w:rsid w:val="00635C07"/>
    <w:rsid w:val="00635D01"/>
    <w:rsid w:val="00635D58"/>
    <w:rsid w:val="00635F69"/>
    <w:rsid w:val="00635FB2"/>
    <w:rsid w:val="00636271"/>
    <w:rsid w:val="0063643D"/>
    <w:rsid w:val="006364D8"/>
    <w:rsid w:val="00636520"/>
    <w:rsid w:val="00636564"/>
    <w:rsid w:val="006365A0"/>
    <w:rsid w:val="006365B1"/>
    <w:rsid w:val="006365D6"/>
    <w:rsid w:val="00636616"/>
    <w:rsid w:val="006368C7"/>
    <w:rsid w:val="00636977"/>
    <w:rsid w:val="0063698A"/>
    <w:rsid w:val="00636CD2"/>
    <w:rsid w:val="00636DC0"/>
    <w:rsid w:val="00636FAC"/>
    <w:rsid w:val="00637010"/>
    <w:rsid w:val="006370EB"/>
    <w:rsid w:val="0063717A"/>
    <w:rsid w:val="00637269"/>
    <w:rsid w:val="00637383"/>
    <w:rsid w:val="006373A7"/>
    <w:rsid w:val="0063758A"/>
    <w:rsid w:val="0063768C"/>
    <w:rsid w:val="0063775E"/>
    <w:rsid w:val="00637948"/>
    <w:rsid w:val="00637DD7"/>
    <w:rsid w:val="00640084"/>
    <w:rsid w:val="0064015D"/>
    <w:rsid w:val="00640305"/>
    <w:rsid w:val="0064051A"/>
    <w:rsid w:val="00640581"/>
    <w:rsid w:val="006405CC"/>
    <w:rsid w:val="006405E4"/>
    <w:rsid w:val="006409C4"/>
    <w:rsid w:val="006409CF"/>
    <w:rsid w:val="00640A73"/>
    <w:rsid w:val="00640AE7"/>
    <w:rsid w:val="00640BBD"/>
    <w:rsid w:val="00640D0B"/>
    <w:rsid w:val="00640D8A"/>
    <w:rsid w:val="0064108D"/>
    <w:rsid w:val="00641221"/>
    <w:rsid w:val="00641327"/>
    <w:rsid w:val="006413A8"/>
    <w:rsid w:val="0064140E"/>
    <w:rsid w:val="00641412"/>
    <w:rsid w:val="00641417"/>
    <w:rsid w:val="00641760"/>
    <w:rsid w:val="00641885"/>
    <w:rsid w:val="006419E5"/>
    <w:rsid w:val="00641A21"/>
    <w:rsid w:val="00641CDA"/>
    <w:rsid w:val="00641DDA"/>
    <w:rsid w:val="00641E33"/>
    <w:rsid w:val="00641F1A"/>
    <w:rsid w:val="0064210C"/>
    <w:rsid w:val="0064224F"/>
    <w:rsid w:val="00642343"/>
    <w:rsid w:val="006424A3"/>
    <w:rsid w:val="00642516"/>
    <w:rsid w:val="006425B3"/>
    <w:rsid w:val="006426BC"/>
    <w:rsid w:val="006426F6"/>
    <w:rsid w:val="0064276C"/>
    <w:rsid w:val="006427AA"/>
    <w:rsid w:val="006427CF"/>
    <w:rsid w:val="00642982"/>
    <w:rsid w:val="00642C6D"/>
    <w:rsid w:val="00642DFB"/>
    <w:rsid w:val="00642F61"/>
    <w:rsid w:val="00643011"/>
    <w:rsid w:val="00643151"/>
    <w:rsid w:val="0064326F"/>
    <w:rsid w:val="0064332A"/>
    <w:rsid w:val="0064366A"/>
    <w:rsid w:val="0064369A"/>
    <w:rsid w:val="006436B3"/>
    <w:rsid w:val="006436FA"/>
    <w:rsid w:val="00643710"/>
    <w:rsid w:val="0064373D"/>
    <w:rsid w:val="00643AE8"/>
    <w:rsid w:val="00643D4B"/>
    <w:rsid w:val="00643E5C"/>
    <w:rsid w:val="00643ED8"/>
    <w:rsid w:val="00643F8B"/>
    <w:rsid w:val="00643FA2"/>
    <w:rsid w:val="00643FFA"/>
    <w:rsid w:val="00644004"/>
    <w:rsid w:val="00644161"/>
    <w:rsid w:val="00644224"/>
    <w:rsid w:val="00644282"/>
    <w:rsid w:val="006444F8"/>
    <w:rsid w:val="006445D4"/>
    <w:rsid w:val="0064478D"/>
    <w:rsid w:val="00644834"/>
    <w:rsid w:val="00644869"/>
    <w:rsid w:val="0064488A"/>
    <w:rsid w:val="00644894"/>
    <w:rsid w:val="0064490D"/>
    <w:rsid w:val="0064491D"/>
    <w:rsid w:val="00644967"/>
    <w:rsid w:val="006449EC"/>
    <w:rsid w:val="00644DF4"/>
    <w:rsid w:val="00644EAB"/>
    <w:rsid w:val="00644ED9"/>
    <w:rsid w:val="00644F8A"/>
    <w:rsid w:val="00644F95"/>
    <w:rsid w:val="00645310"/>
    <w:rsid w:val="006454F4"/>
    <w:rsid w:val="00645537"/>
    <w:rsid w:val="006455C8"/>
    <w:rsid w:val="00645633"/>
    <w:rsid w:val="0064567B"/>
    <w:rsid w:val="006456B1"/>
    <w:rsid w:val="0064572D"/>
    <w:rsid w:val="0064573B"/>
    <w:rsid w:val="00645AC0"/>
    <w:rsid w:val="00645B37"/>
    <w:rsid w:val="00645CB7"/>
    <w:rsid w:val="00645CC9"/>
    <w:rsid w:val="00645FCD"/>
    <w:rsid w:val="006460A3"/>
    <w:rsid w:val="0064614C"/>
    <w:rsid w:val="00646344"/>
    <w:rsid w:val="0064639F"/>
    <w:rsid w:val="006464CC"/>
    <w:rsid w:val="00646799"/>
    <w:rsid w:val="006467A0"/>
    <w:rsid w:val="006467EC"/>
    <w:rsid w:val="00646853"/>
    <w:rsid w:val="00646870"/>
    <w:rsid w:val="006468B3"/>
    <w:rsid w:val="0064694B"/>
    <w:rsid w:val="00646BDD"/>
    <w:rsid w:val="00646CB5"/>
    <w:rsid w:val="00646D70"/>
    <w:rsid w:val="00646D99"/>
    <w:rsid w:val="00646F38"/>
    <w:rsid w:val="00646FC1"/>
    <w:rsid w:val="00646FC6"/>
    <w:rsid w:val="006470F5"/>
    <w:rsid w:val="006471A5"/>
    <w:rsid w:val="0064726E"/>
    <w:rsid w:val="006472AF"/>
    <w:rsid w:val="0064763D"/>
    <w:rsid w:val="006477C2"/>
    <w:rsid w:val="006477CA"/>
    <w:rsid w:val="00647A98"/>
    <w:rsid w:val="00647BE5"/>
    <w:rsid w:val="00647DCB"/>
    <w:rsid w:val="00647E19"/>
    <w:rsid w:val="00647F36"/>
    <w:rsid w:val="0065010C"/>
    <w:rsid w:val="0065029A"/>
    <w:rsid w:val="00650466"/>
    <w:rsid w:val="00650628"/>
    <w:rsid w:val="0065062C"/>
    <w:rsid w:val="00650806"/>
    <w:rsid w:val="00650866"/>
    <w:rsid w:val="006508C4"/>
    <w:rsid w:val="006509E3"/>
    <w:rsid w:val="006509ED"/>
    <w:rsid w:val="00650BA3"/>
    <w:rsid w:val="00650BB6"/>
    <w:rsid w:val="00650C39"/>
    <w:rsid w:val="00650CE9"/>
    <w:rsid w:val="00650EB5"/>
    <w:rsid w:val="00650FA7"/>
    <w:rsid w:val="00651124"/>
    <w:rsid w:val="0065135D"/>
    <w:rsid w:val="006516DA"/>
    <w:rsid w:val="00651A42"/>
    <w:rsid w:val="00651B4F"/>
    <w:rsid w:val="00651B5F"/>
    <w:rsid w:val="00651B8D"/>
    <w:rsid w:val="00651BB8"/>
    <w:rsid w:val="00651C52"/>
    <w:rsid w:val="00651CAC"/>
    <w:rsid w:val="00651D72"/>
    <w:rsid w:val="00651E84"/>
    <w:rsid w:val="00651EF7"/>
    <w:rsid w:val="00651FB2"/>
    <w:rsid w:val="006522E1"/>
    <w:rsid w:val="00652379"/>
    <w:rsid w:val="00652405"/>
    <w:rsid w:val="00652437"/>
    <w:rsid w:val="006525E9"/>
    <w:rsid w:val="0065295D"/>
    <w:rsid w:val="00652A08"/>
    <w:rsid w:val="00652A8B"/>
    <w:rsid w:val="00652ADA"/>
    <w:rsid w:val="00652AFD"/>
    <w:rsid w:val="00652BE4"/>
    <w:rsid w:val="00652CB3"/>
    <w:rsid w:val="00652CC5"/>
    <w:rsid w:val="00652D18"/>
    <w:rsid w:val="00652D73"/>
    <w:rsid w:val="00652D7D"/>
    <w:rsid w:val="00652D82"/>
    <w:rsid w:val="00653567"/>
    <w:rsid w:val="006536CA"/>
    <w:rsid w:val="006539F7"/>
    <w:rsid w:val="00653B74"/>
    <w:rsid w:val="00653D75"/>
    <w:rsid w:val="00653E52"/>
    <w:rsid w:val="00653E9B"/>
    <w:rsid w:val="00654032"/>
    <w:rsid w:val="00654195"/>
    <w:rsid w:val="006541A2"/>
    <w:rsid w:val="006541AD"/>
    <w:rsid w:val="0065420E"/>
    <w:rsid w:val="006543BA"/>
    <w:rsid w:val="006543CB"/>
    <w:rsid w:val="006543D7"/>
    <w:rsid w:val="006544E8"/>
    <w:rsid w:val="006549D6"/>
    <w:rsid w:val="00654AE4"/>
    <w:rsid w:val="00654B66"/>
    <w:rsid w:val="00654BB9"/>
    <w:rsid w:val="00654BDF"/>
    <w:rsid w:val="00654CC9"/>
    <w:rsid w:val="00654E3C"/>
    <w:rsid w:val="00654EF8"/>
    <w:rsid w:val="0065504D"/>
    <w:rsid w:val="00655064"/>
    <w:rsid w:val="0065506E"/>
    <w:rsid w:val="006551CC"/>
    <w:rsid w:val="006551CD"/>
    <w:rsid w:val="00655238"/>
    <w:rsid w:val="006554CA"/>
    <w:rsid w:val="00655711"/>
    <w:rsid w:val="0065578A"/>
    <w:rsid w:val="00655897"/>
    <w:rsid w:val="006558B0"/>
    <w:rsid w:val="00655BC6"/>
    <w:rsid w:val="00655D96"/>
    <w:rsid w:val="00655DF1"/>
    <w:rsid w:val="00655ED7"/>
    <w:rsid w:val="00655EE5"/>
    <w:rsid w:val="006560E1"/>
    <w:rsid w:val="006561E4"/>
    <w:rsid w:val="00656434"/>
    <w:rsid w:val="006564B9"/>
    <w:rsid w:val="00656515"/>
    <w:rsid w:val="006566AE"/>
    <w:rsid w:val="006568A4"/>
    <w:rsid w:val="00656A92"/>
    <w:rsid w:val="00656AEF"/>
    <w:rsid w:val="00656B75"/>
    <w:rsid w:val="00656B8A"/>
    <w:rsid w:val="00656C59"/>
    <w:rsid w:val="00656D0E"/>
    <w:rsid w:val="00656E68"/>
    <w:rsid w:val="006570CA"/>
    <w:rsid w:val="00657280"/>
    <w:rsid w:val="00657438"/>
    <w:rsid w:val="00657485"/>
    <w:rsid w:val="006576ED"/>
    <w:rsid w:val="00657974"/>
    <w:rsid w:val="006579D7"/>
    <w:rsid w:val="00657AB7"/>
    <w:rsid w:val="00657C73"/>
    <w:rsid w:val="00657DAE"/>
    <w:rsid w:val="00657E4D"/>
    <w:rsid w:val="00657F29"/>
    <w:rsid w:val="0066004B"/>
    <w:rsid w:val="006601A9"/>
    <w:rsid w:val="00660255"/>
    <w:rsid w:val="00660287"/>
    <w:rsid w:val="006602F5"/>
    <w:rsid w:val="0066030E"/>
    <w:rsid w:val="006603D4"/>
    <w:rsid w:val="00660440"/>
    <w:rsid w:val="0066051B"/>
    <w:rsid w:val="00660723"/>
    <w:rsid w:val="00660A36"/>
    <w:rsid w:val="00660A71"/>
    <w:rsid w:val="00660BE6"/>
    <w:rsid w:val="00660C71"/>
    <w:rsid w:val="00660CC2"/>
    <w:rsid w:val="00660CD7"/>
    <w:rsid w:val="00660D31"/>
    <w:rsid w:val="00660D5B"/>
    <w:rsid w:val="00660D6F"/>
    <w:rsid w:val="00660D95"/>
    <w:rsid w:val="00660DE2"/>
    <w:rsid w:val="00660E25"/>
    <w:rsid w:val="00660EA1"/>
    <w:rsid w:val="0066111B"/>
    <w:rsid w:val="00661161"/>
    <w:rsid w:val="00661231"/>
    <w:rsid w:val="006613C4"/>
    <w:rsid w:val="006613CF"/>
    <w:rsid w:val="0066157C"/>
    <w:rsid w:val="00661593"/>
    <w:rsid w:val="006615EE"/>
    <w:rsid w:val="00661757"/>
    <w:rsid w:val="006617C5"/>
    <w:rsid w:val="00661805"/>
    <w:rsid w:val="00661A5D"/>
    <w:rsid w:val="00661A61"/>
    <w:rsid w:val="00661AAD"/>
    <w:rsid w:val="00661B41"/>
    <w:rsid w:val="00661CAB"/>
    <w:rsid w:val="00661D5F"/>
    <w:rsid w:val="00661D62"/>
    <w:rsid w:val="00661D76"/>
    <w:rsid w:val="00661EA4"/>
    <w:rsid w:val="006621A5"/>
    <w:rsid w:val="006621BD"/>
    <w:rsid w:val="006621CA"/>
    <w:rsid w:val="00662275"/>
    <w:rsid w:val="006622C3"/>
    <w:rsid w:val="0066254F"/>
    <w:rsid w:val="006625FF"/>
    <w:rsid w:val="00662678"/>
    <w:rsid w:val="0066269C"/>
    <w:rsid w:val="00662A47"/>
    <w:rsid w:val="00662B33"/>
    <w:rsid w:val="00662C48"/>
    <w:rsid w:val="00662C97"/>
    <w:rsid w:val="00662D73"/>
    <w:rsid w:val="00662DC8"/>
    <w:rsid w:val="00662EE6"/>
    <w:rsid w:val="00662FCC"/>
    <w:rsid w:val="00662FF1"/>
    <w:rsid w:val="00663018"/>
    <w:rsid w:val="00663105"/>
    <w:rsid w:val="00663216"/>
    <w:rsid w:val="006632C4"/>
    <w:rsid w:val="00663394"/>
    <w:rsid w:val="0066341C"/>
    <w:rsid w:val="006635C1"/>
    <w:rsid w:val="006636B1"/>
    <w:rsid w:val="0066371F"/>
    <w:rsid w:val="0066373B"/>
    <w:rsid w:val="006637D6"/>
    <w:rsid w:val="00663813"/>
    <w:rsid w:val="0066386A"/>
    <w:rsid w:val="00663B06"/>
    <w:rsid w:val="00663B65"/>
    <w:rsid w:val="00663D11"/>
    <w:rsid w:val="00663E8B"/>
    <w:rsid w:val="00663EA5"/>
    <w:rsid w:val="00663EF5"/>
    <w:rsid w:val="0066400B"/>
    <w:rsid w:val="006640C2"/>
    <w:rsid w:val="006640D1"/>
    <w:rsid w:val="00664193"/>
    <w:rsid w:val="00664314"/>
    <w:rsid w:val="006643E8"/>
    <w:rsid w:val="0066448E"/>
    <w:rsid w:val="00664588"/>
    <w:rsid w:val="00664699"/>
    <w:rsid w:val="006646BD"/>
    <w:rsid w:val="0066497D"/>
    <w:rsid w:val="00664B15"/>
    <w:rsid w:val="00664C1C"/>
    <w:rsid w:val="00664E39"/>
    <w:rsid w:val="00664EE7"/>
    <w:rsid w:val="0066510E"/>
    <w:rsid w:val="006652BE"/>
    <w:rsid w:val="00665309"/>
    <w:rsid w:val="00665322"/>
    <w:rsid w:val="00665556"/>
    <w:rsid w:val="00665592"/>
    <w:rsid w:val="006655D5"/>
    <w:rsid w:val="006655F1"/>
    <w:rsid w:val="006655F2"/>
    <w:rsid w:val="0066563E"/>
    <w:rsid w:val="00665755"/>
    <w:rsid w:val="00665826"/>
    <w:rsid w:val="006659AE"/>
    <w:rsid w:val="00665A34"/>
    <w:rsid w:val="00665AF0"/>
    <w:rsid w:val="00665D23"/>
    <w:rsid w:val="00665F76"/>
    <w:rsid w:val="006664DD"/>
    <w:rsid w:val="006665BA"/>
    <w:rsid w:val="00666614"/>
    <w:rsid w:val="006666AD"/>
    <w:rsid w:val="006667ED"/>
    <w:rsid w:val="0066687E"/>
    <w:rsid w:val="00666B2D"/>
    <w:rsid w:val="00666B59"/>
    <w:rsid w:val="00666D65"/>
    <w:rsid w:val="00666DF9"/>
    <w:rsid w:val="00666ED2"/>
    <w:rsid w:val="00666EFD"/>
    <w:rsid w:val="00667063"/>
    <w:rsid w:val="00667117"/>
    <w:rsid w:val="0066715B"/>
    <w:rsid w:val="00667197"/>
    <w:rsid w:val="006673B6"/>
    <w:rsid w:val="006673DC"/>
    <w:rsid w:val="00667494"/>
    <w:rsid w:val="0066763A"/>
    <w:rsid w:val="00667691"/>
    <w:rsid w:val="00667C63"/>
    <w:rsid w:val="00667CDB"/>
    <w:rsid w:val="00667D7E"/>
    <w:rsid w:val="00667FE5"/>
    <w:rsid w:val="006700AB"/>
    <w:rsid w:val="006703AD"/>
    <w:rsid w:val="006703B7"/>
    <w:rsid w:val="006704E6"/>
    <w:rsid w:val="00670843"/>
    <w:rsid w:val="0067088D"/>
    <w:rsid w:val="0067090A"/>
    <w:rsid w:val="00670DF6"/>
    <w:rsid w:val="00670E17"/>
    <w:rsid w:val="00670E8D"/>
    <w:rsid w:val="0067117F"/>
    <w:rsid w:val="00671409"/>
    <w:rsid w:val="0067156A"/>
    <w:rsid w:val="006715D0"/>
    <w:rsid w:val="00671666"/>
    <w:rsid w:val="00671673"/>
    <w:rsid w:val="00671712"/>
    <w:rsid w:val="0067181A"/>
    <w:rsid w:val="006718A6"/>
    <w:rsid w:val="00671928"/>
    <w:rsid w:val="00671967"/>
    <w:rsid w:val="00671AE4"/>
    <w:rsid w:val="00671B22"/>
    <w:rsid w:val="00671B47"/>
    <w:rsid w:val="00671BBA"/>
    <w:rsid w:val="00671BF0"/>
    <w:rsid w:val="00671C07"/>
    <w:rsid w:val="00671CD3"/>
    <w:rsid w:val="00671E33"/>
    <w:rsid w:val="00671EC0"/>
    <w:rsid w:val="00672186"/>
    <w:rsid w:val="0067227B"/>
    <w:rsid w:val="006727A3"/>
    <w:rsid w:val="0067287E"/>
    <w:rsid w:val="00672948"/>
    <w:rsid w:val="00672A9F"/>
    <w:rsid w:val="00672CB8"/>
    <w:rsid w:val="00672D17"/>
    <w:rsid w:val="006732F8"/>
    <w:rsid w:val="0067330E"/>
    <w:rsid w:val="00673315"/>
    <w:rsid w:val="0067346A"/>
    <w:rsid w:val="00673555"/>
    <w:rsid w:val="0067359C"/>
    <w:rsid w:val="006735BA"/>
    <w:rsid w:val="00673652"/>
    <w:rsid w:val="00673763"/>
    <w:rsid w:val="00673836"/>
    <w:rsid w:val="006739D5"/>
    <w:rsid w:val="00673C4B"/>
    <w:rsid w:val="00673C61"/>
    <w:rsid w:val="00673C79"/>
    <w:rsid w:val="00673CE4"/>
    <w:rsid w:val="00673D35"/>
    <w:rsid w:val="00673D71"/>
    <w:rsid w:val="00673E12"/>
    <w:rsid w:val="006741AB"/>
    <w:rsid w:val="00674383"/>
    <w:rsid w:val="006743B3"/>
    <w:rsid w:val="00674407"/>
    <w:rsid w:val="00674416"/>
    <w:rsid w:val="006744F6"/>
    <w:rsid w:val="00674570"/>
    <w:rsid w:val="0067469C"/>
    <w:rsid w:val="0067475B"/>
    <w:rsid w:val="00674862"/>
    <w:rsid w:val="006748B2"/>
    <w:rsid w:val="00674B45"/>
    <w:rsid w:val="00674B6C"/>
    <w:rsid w:val="00674E65"/>
    <w:rsid w:val="00674F59"/>
    <w:rsid w:val="00674FC4"/>
    <w:rsid w:val="00675180"/>
    <w:rsid w:val="00675336"/>
    <w:rsid w:val="00675358"/>
    <w:rsid w:val="0067540C"/>
    <w:rsid w:val="0067546A"/>
    <w:rsid w:val="0067546F"/>
    <w:rsid w:val="00675486"/>
    <w:rsid w:val="006754BE"/>
    <w:rsid w:val="00675512"/>
    <w:rsid w:val="006755AE"/>
    <w:rsid w:val="006756D6"/>
    <w:rsid w:val="00675889"/>
    <w:rsid w:val="006758E2"/>
    <w:rsid w:val="0067597D"/>
    <w:rsid w:val="00675AF0"/>
    <w:rsid w:val="00675C0C"/>
    <w:rsid w:val="00675DBA"/>
    <w:rsid w:val="00675F5E"/>
    <w:rsid w:val="0067630A"/>
    <w:rsid w:val="006765CE"/>
    <w:rsid w:val="00676615"/>
    <w:rsid w:val="006766C1"/>
    <w:rsid w:val="00676797"/>
    <w:rsid w:val="00676AAB"/>
    <w:rsid w:val="00676BBE"/>
    <w:rsid w:val="00676C4F"/>
    <w:rsid w:val="00676D41"/>
    <w:rsid w:val="00676D8B"/>
    <w:rsid w:val="006770C9"/>
    <w:rsid w:val="00677192"/>
    <w:rsid w:val="00677199"/>
    <w:rsid w:val="0067721E"/>
    <w:rsid w:val="00677228"/>
    <w:rsid w:val="00677276"/>
    <w:rsid w:val="00677403"/>
    <w:rsid w:val="00677471"/>
    <w:rsid w:val="0067752B"/>
    <w:rsid w:val="006776CB"/>
    <w:rsid w:val="00677724"/>
    <w:rsid w:val="006778B4"/>
    <w:rsid w:val="006778BC"/>
    <w:rsid w:val="00677A07"/>
    <w:rsid w:val="00677A65"/>
    <w:rsid w:val="00677D0A"/>
    <w:rsid w:val="00677D1C"/>
    <w:rsid w:val="00677DAA"/>
    <w:rsid w:val="00677E4E"/>
    <w:rsid w:val="00677F0E"/>
    <w:rsid w:val="00677F7A"/>
    <w:rsid w:val="006800FD"/>
    <w:rsid w:val="006803F0"/>
    <w:rsid w:val="00680445"/>
    <w:rsid w:val="006805D5"/>
    <w:rsid w:val="006808B1"/>
    <w:rsid w:val="006808E7"/>
    <w:rsid w:val="00680A12"/>
    <w:rsid w:val="00680AB1"/>
    <w:rsid w:val="00680F2F"/>
    <w:rsid w:val="00680F56"/>
    <w:rsid w:val="006810D5"/>
    <w:rsid w:val="006810F3"/>
    <w:rsid w:val="00681138"/>
    <w:rsid w:val="00681171"/>
    <w:rsid w:val="006811B2"/>
    <w:rsid w:val="00681459"/>
    <w:rsid w:val="006816CB"/>
    <w:rsid w:val="00681747"/>
    <w:rsid w:val="0068177E"/>
    <w:rsid w:val="00681959"/>
    <w:rsid w:val="00681AFF"/>
    <w:rsid w:val="00681D9F"/>
    <w:rsid w:val="00681F58"/>
    <w:rsid w:val="00681F82"/>
    <w:rsid w:val="00681FD6"/>
    <w:rsid w:val="00682016"/>
    <w:rsid w:val="0068222A"/>
    <w:rsid w:val="006823A4"/>
    <w:rsid w:val="00682453"/>
    <w:rsid w:val="00682495"/>
    <w:rsid w:val="0068250B"/>
    <w:rsid w:val="00682570"/>
    <w:rsid w:val="006825DC"/>
    <w:rsid w:val="006827B4"/>
    <w:rsid w:val="006827FC"/>
    <w:rsid w:val="00682ACA"/>
    <w:rsid w:val="00682BC3"/>
    <w:rsid w:val="00682C67"/>
    <w:rsid w:val="00682CE2"/>
    <w:rsid w:val="00682E17"/>
    <w:rsid w:val="00682E6B"/>
    <w:rsid w:val="00683060"/>
    <w:rsid w:val="006830B7"/>
    <w:rsid w:val="006830D9"/>
    <w:rsid w:val="006830F4"/>
    <w:rsid w:val="006832DF"/>
    <w:rsid w:val="00683372"/>
    <w:rsid w:val="006833FE"/>
    <w:rsid w:val="0068342F"/>
    <w:rsid w:val="00683604"/>
    <w:rsid w:val="0068360A"/>
    <w:rsid w:val="00683867"/>
    <w:rsid w:val="0068396E"/>
    <w:rsid w:val="00683A77"/>
    <w:rsid w:val="00683E31"/>
    <w:rsid w:val="00684033"/>
    <w:rsid w:val="006841D5"/>
    <w:rsid w:val="00684290"/>
    <w:rsid w:val="00684385"/>
    <w:rsid w:val="0068468F"/>
    <w:rsid w:val="00684735"/>
    <w:rsid w:val="006847C4"/>
    <w:rsid w:val="006847C6"/>
    <w:rsid w:val="00684A1E"/>
    <w:rsid w:val="00684BEF"/>
    <w:rsid w:val="00684C58"/>
    <w:rsid w:val="00684D9A"/>
    <w:rsid w:val="00684DE7"/>
    <w:rsid w:val="00684F03"/>
    <w:rsid w:val="006850F8"/>
    <w:rsid w:val="00685142"/>
    <w:rsid w:val="00685186"/>
    <w:rsid w:val="00685237"/>
    <w:rsid w:val="006852AB"/>
    <w:rsid w:val="0068532E"/>
    <w:rsid w:val="00685370"/>
    <w:rsid w:val="0068539F"/>
    <w:rsid w:val="006853C7"/>
    <w:rsid w:val="0068553F"/>
    <w:rsid w:val="0068564E"/>
    <w:rsid w:val="00685779"/>
    <w:rsid w:val="006858DE"/>
    <w:rsid w:val="006859D7"/>
    <w:rsid w:val="00685BD0"/>
    <w:rsid w:val="00685C0E"/>
    <w:rsid w:val="00685C2A"/>
    <w:rsid w:val="00685C93"/>
    <w:rsid w:val="00685CC1"/>
    <w:rsid w:val="00685E59"/>
    <w:rsid w:val="00685F43"/>
    <w:rsid w:val="00685F8D"/>
    <w:rsid w:val="00686261"/>
    <w:rsid w:val="0068643C"/>
    <w:rsid w:val="006865AA"/>
    <w:rsid w:val="00686715"/>
    <w:rsid w:val="0068675D"/>
    <w:rsid w:val="006867A7"/>
    <w:rsid w:val="006867EE"/>
    <w:rsid w:val="0068682A"/>
    <w:rsid w:val="00686930"/>
    <w:rsid w:val="00686963"/>
    <w:rsid w:val="00686C4C"/>
    <w:rsid w:val="00686C93"/>
    <w:rsid w:val="00686CB9"/>
    <w:rsid w:val="00686E94"/>
    <w:rsid w:val="00686ECC"/>
    <w:rsid w:val="00686ECF"/>
    <w:rsid w:val="00686FB2"/>
    <w:rsid w:val="00686FDE"/>
    <w:rsid w:val="00687023"/>
    <w:rsid w:val="006870B8"/>
    <w:rsid w:val="00687262"/>
    <w:rsid w:val="006873E6"/>
    <w:rsid w:val="00687411"/>
    <w:rsid w:val="0068741A"/>
    <w:rsid w:val="0068747B"/>
    <w:rsid w:val="00687480"/>
    <w:rsid w:val="0068765A"/>
    <w:rsid w:val="006876EA"/>
    <w:rsid w:val="00687736"/>
    <w:rsid w:val="00687907"/>
    <w:rsid w:val="00687B46"/>
    <w:rsid w:val="00687B48"/>
    <w:rsid w:val="00687F77"/>
    <w:rsid w:val="00687F7A"/>
    <w:rsid w:val="00687F92"/>
    <w:rsid w:val="0069008F"/>
    <w:rsid w:val="006900CD"/>
    <w:rsid w:val="0069013A"/>
    <w:rsid w:val="00690790"/>
    <w:rsid w:val="00690831"/>
    <w:rsid w:val="00690ABD"/>
    <w:rsid w:val="00690AC5"/>
    <w:rsid w:val="00690BF7"/>
    <w:rsid w:val="00690BF9"/>
    <w:rsid w:val="00690D7E"/>
    <w:rsid w:val="00690DA9"/>
    <w:rsid w:val="00690EE2"/>
    <w:rsid w:val="006910A2"/>
    <w:rsid w:val="00691110"/>
    <w:rsid w:val="00691118"/>
    <w:rsid w:val="00691205"/>
    <w:rsid w:val="006912D9"/>
    <w:rsid w:val="006913F8"/>
    <w:rsid w:val="006914B0"/>
    <w:rsid w:val="00691706"/>
    <w:rsid w:val="0069178A"/>
    <w:rsid w:val="006917EB"/>
    <w:rsid w:val="00691958"/>
    <w:rsid w:val="006919CA"/>
    <w:rsid w:val="006919F4"/>
    <w:rsid w:val="00691B94"/>
    <w:rsid w:val="00691BCA"/>
    <w:rsid w:val="00691C14"/>
    <w:rsid w:val="00691C5D"/>
    <w:rsid w:val="00691DB6"/>
    <w:rsid w:val="00691F62"/>
    <w:rsid w:val="00692089"/>
    <w:rsid w:val="006923A6"/>
    <w:rsid w:val="0069241F"/>
    <w:rsid w:val="0069243C"/>
    <w:rsid w:val="00692488"/>
    <w:rsid w:val="00692538"/>
    <w:rsid w:val="006925AA"/>
    <w:rsid w:val="00692843"/>
    <w:rsid w:val="006929A1"/>
    <w:rsid w:val="00692AE4"/>
    <w:rsid w:val="00692B3C"/>
    <w:rsid w:val="00692D64"/>
    <w:rsid w:val="00692D6D"/>
    <w:rsid w:val="00692F53"/>
    <w:rsid w:val="006931EB"/>
    <w:rsid w:val="006932A9"/>
    <w:rsid w:val="006932B5"/>
    <w:rsid w:val="0069349B"/>
    <w:rsid w:val="00693595"/>
    <w:rsid w:val="0069359E"/>
    <w:rsid w:val="00693675"/>
    <w:rsid w:val="00693797"/>
    <w:rsid w:val="006937B0"/>
    <w:rsid w:val="006937C6"/>
    <w:rsid w:val="0069384F"/>
    <w:rsid w:val="00693AE5"/>
    <w:rsid w:val="00693C76"/>
    <w:rsid w:val="00693D2F"/>
    <w:rsid w:val="00693E89"/>
    <w:rsid w:val="00694037"/>
    <w:rsid w:val="0069405F"/>
    <w:rsid w:val="00694108"/>
    <w:rsid w:val="006941DA"/>
    <w:rsid w:val="006942AD"/>
    <w:rsid w:val="006942C3"/>
    <w:rsid w:val="00694376"/>
    <w:rsid w:val="006943DA"/>
    <w:rsid w:val="00694693"/>
    <w:rsid w:val="006946FF"/>
    <w:rsid w:val="0069472A"/>
    <w:rsid w:val="0069477B"/>
    <w:rsid w:val="006948BD"/>
    <w:rsid w:val="00694AF3"/>
    <w:rsid w:val="00694B19"/>
    <w:rsid w:val="00694C33"/>
    <w:rsid w:val="00694CA1"/>
    <w:rsid w:val="00694CEC"/>
    <w:rsid w:val="00694DA1"/>
    <w:rsid w:val="00694DAA"/>
    <w:rsid w:val="00694DD0"/>
    <w:rsid w:val="00694DEF"/>
    <w:rsid w:val="00694EB1"/>
    <w:rsid w:val="00694EF4"/>
    <w:rsid w:val="00695042"/>
    <w:rsid w:val="00695052"/>
    <w:rsid w:val="0069517A"/>
    <w:rsid w:val="00695338"/>
    <w:rsid w:val="00695386"/>
    <w:rsid w:val="00695400"/>
    <w:rsid w:val="006955B6"/>
    <w:rsid w:val="0069592A"/>
    <w:rsid w:val="006959A9"/>
    <w:rsid w:val="00695A39"/>
    <w:rsid w:val="00695AAD"/>
    <w:rsid w:val="00695B3A"/>
    <w:rsid w:val="00695B5F"/>
    <w:rsid w:val="00695C1D"/>
    <w:rsid w:val="00695CBC"/>
    <w:rsid w:val="00695CFA"/>
    <w:rsid w:val="00695F71"/>
    <w:rsid w:val="00696073"/>
    <w:rsid w:val="0069614F"/>
    <w:rsid w:val="006961BC"/>
    <w:rsid w:val="006962F6"/>
    <w:rsid w:val="006965C5"/>
    <w:rsid w:val="006965D5"/>
    <w:rsid w:val="00696720"/>
    <w:rsid w:val="00696860"/>
    <w:rsid w:val="00696967"/>
    <w:rsid w:val="00696A5C"/>
    <w:rsid w:val="00696AF8"/>
    <w:rsid w:val="00696DF9"/>
    <w:rsid w:val="00696F48"/>
    <w:rsid w:val="006973C8"/>
    <w:rsid w:val="0069764A"/>
    <w:rsid w:val="00697687"/>
    <w:rsid w:val="00697740"/>
    <w:rsid w:val="006977D5"/>
    <w:rsid w:val="006978BC"/>
    <w:rsid w:val="0069794A"/>
    <w:rsid w:val="006979B4"/>
    <w:rsid w:val="006979B6"/>
    <w:rsid w:val="00697AF1"/>
    <w:rsid w:val="00697B50"/>
    <w:rsid w:val="00697BE3"/>
    <w:rsid w:val="00697C1F"/>
    <w:rsid w:val="00697C9A"/>
    <w:rsid w:val="00697D73"/>
    <w:rsid w:val="00697E8B"/>
    <w:rsid w:val="00697F64"/>
    <w:rsid w:val="006A0057"/>
    <w:rsid w:val="006A0473"/>
    <w:rsid w:val="006A04B5"/>
    <w:rsid w:val="006A064E"/>
    <w:rsid w:val="006A06CE"/>
    <w:rsid w:val="006A071D"/>
    <w:rsid w:val="006A0829"/>
    <w:rsid w:val="006A0842"/>
    <w:rsid w:val="006A0DA2"/>
    <w:rsid w:val="006A0FC2"/>
    <w:rsid w:val="006A10E1"/>
    <w:rsid w:val="006A11BF"/>
    <w:rsid w:val="006A1378"/>
    <w:rsid w:val="006A1651"/>
    <w:rsid w:val="006A16BD"/>
    <w:rsid w:val="006A1836"/>
    <w:rsid w:val="006A1897"/>
    <w:rsid w:val="006A18A0"/>
    <w:rsid w:val="006A197D"/>
    <w:rsid w:val="006A19B5"/>
    <w:rsid w:val="006A19DF"/>
    <w:rsid w:val="006A1B66"/>
    <w:rsid w:val="006A1D33"/>
    <w:rsid w:val="006A1DAF"/>
    <w:rsid w:val="006A1E79"/>
    <w:rsid w:val="006A1EC6"/>
    <w:rsid w:val="006A1F26"/>
    <w:rsid w:val="006A1F63"/>
    <w:rsid w:val="006A20FF"/>
    <w:rsid w:val="006A2123"/>
    <w:rsid w:val="006A217C"/>
    <w:rsid w:val="006A22A5"/>
    <w:rsid w:val="006A2774"/>
    <w:rsid w:val="006A27C5"/>
    <w:rsid w:val="006A2B09"/>
    <w:rsid w:val="006A2C41"/>
    <w:rsid w:val="006A2C81"/>
    <w:rsid w:val="006A2DD0"/>
    <w:rsid w:val="006A2E0F"/>
    <w:rsid w:val="006A2E6B"/>
    <w:rsid w:val="006A2F00"/>
    <w:rsid w:val="006A3006"/>
    <w:rsid w:val="006A30A6"/>
    <w:rsid w:val="006A32A0"/>
    <w:rsid w:val="006A32AB"/>
    <w:rsid w:val="006A32C0"/>
    <w:rsid w:val="006A331E"/>
    <w:rsid w:val="006A3443"/>
    <w:rsid w:val="006A3471"/>
    <w:rsid w:val="006A387F"/>
    <w:rsid w:val="006A3883"/>
    <w:rsid w:val="006A3CD3"/>
    <w:rsid w:val="006A3CD4"/>
    <w:rsid w:val="006A3D04"/>
    <w:rsid w:val="006A407F"/>
    <w:rsid w:val="006A416A"/>
    <w:rsid w:val="006A41F1"/>
    <w:rsid w:val="006A4311"/>
    <w:rsid w:val="006A452F"/>
    <w:rsid w:val="006A454E"/>
    <w:rsid w:val="006A478A"/>
    <w:rsid w:val="006A495E"/>
    <w:rsid w:val="006A49FC"/>
    <w:rsid w:val="006A4A48"/>
    <w:rsid w:val="006A4AEE"/>
    <w:rsid w:val="006A4DEE"/>
    <w:rsid w:val="006A4FC4"/>
    <w:rsid w:val="006A50FC"/>
    <w:rsid w:val="006A5270"/>
    <w:rsid w:val="006A52FE"/>
    <w:rsid w:val="006A5767"/>
    <w:rsid w:val="006A5B78"/>
    <w:rsid w:val="006A5C5A"/>
    <w:rsid w:val="006A5DF5"/>
    <w:rsid w:val="006A5EAF"/>
    <w:rsid w:val="006A6056"/>
    <w:rsid w:val="006A6059"/>
    <w:rsid w:val="006A6183"/>
    <w:rsid w:val="006A6190"/>
    <w:rsid w:val="006A61A1"/>
    <w:rsid w:val="006A635D"/>
    <w:rsid w:val="006A639E"/>
    <w:rsid w:val="006A64C7"/>
    <w:rsid w:val="006A656E"/>
    <w:rsid w:val="006A65DC"/>
    <w:rsid w:val="006A6781"/>
    <w:rsid w:val="006A67EE"/>
    <w:rsid w:val="006A6903"/>
    <w:rsid w:val="006A6A53"/>
    <w:rsid w:val="006A6A82"/>
    <w:rsid w:val="006A6A97"/>
    <w:rsid w:val="006A6B87"/>
    <w:rsid w:val="006A6BC1"/>
    <w:rsid w:val="006A6C42"/>
    <w:rsid w:val="006A6C70"/>
    <w:rsid w:val="006A6C94"/>
    <w:rsid w:val="006A6DF6"/>
    <w:rsid w:val="006A6DFB"/>
    <w:rsid w:val="006A6E94"/>
    <w:rsid w:val="006A7180"/>
    <w:rsid w:val="006A72B9"/>
    <w:rsid w:val="006A738B"/>
    <w:rsid w:val="006A744D"/>
    <w:rsid w:val="006A746C"/>
    <w:rsid w:val="006A7489"/>
    <w:rsid w:val="006A7530"/>
    <w:rsid w:val="006A75C6"/>
    <w:rsid w:val="006A764C"/>
    <w:rsid w:val="006A769B"/>
    <w:rsid w:val="006A7731"/>
    <w:rsid w:val="006A7998"/>
    <w:rsid w:val="006A7A7D"/>
    <w:rsid w:val="006A7A96"/>
    <w:rsid w:val="006A7BFE"/>
    <w:rsid w:val="006A7BFF"/>
    <w:rsid w:val="006A7CFD"/>
    <w:rsid w:val="006A7D45"/>
    <w:rsid w:val="006A7D6F"/>
    <w:rsid w:val="006A7E10"/>
    <w:rsid w:val="006A7F0A"/>
    <w:rsid w:val="006B00A9"/>
    <w:rsid w:val="006B0348"/>
    <w:rsid w:val="006B0369"/>
    <w:rsid w:val="006B058A"/>
    <w:rsid w:val="006B06FE"/>
    <w:rsid w:val="006B08F2"/>
    <w:rsid w:val="006B09BB"/>
    <w:rsid w:val="006B09DE"/>
    <w:rsid w:val="006B0A6E"/>
    <w:rsid w:val="006B0CE2"/>
    <w:rsid w:val="006B0D3B"/>
    <w:rsid w:val="006B0DBB"/>
    <w:rsid w:val="006B10B9"/>
    <w:rsid w:val="006B10F5"/>
    <w:rsid w:val="006B117C"/>
    <w:rsid w:val="006B12E2"/>
    <w:rsid w:val="006B13AD"/>
    <w:rsid w:val="006B1455"/>
    <w:rsid w:val="006B1528"/>
    <w:rsid w:val="006B18A2"/>
    <w:rsid w:val="006B19EC"/>
    <w:rsid w:val="006B1A15"/>
    <w:rsid w:val="006B1A44"/>
    <w:rsid w:val="006B1A5F"/>
    <w:rsid w:val="006B1AE2"/>
    <w:rsid w:val="006B1AE7"/>
    <w:rsid w:val="006B1C0D"/>
    <w:rsid w:val="006B1DCF"/>
    <w:rsid w:val="006B1E51"/>
    <w:rsid w:val="006B214B"/>
    <w:rsid w:val="006B23CE"/>
    <w:rsid w:val="006B252B"/>
    <w:rsid w:val="006B2616"/>
    <w:rsid w:val="006B26C2"/>
    <w:rsid w:val="006B26CA"/>
    <w:rsid w:val="006B274B"/>
    <w:rsid w:val="006B285E"/>
    <w:rsid w:val="006B293A"/>
    <w:rsid w:val="006B29A6"/>
    <w:rsid w:val="006B2A0C"/>
    <w:rsid w:val="006B2B03"/>
    <w:rsid w:val="006B2B65"/>
    <w:rsid w:val="006B2C7D"/>
    <w:rsid w:val="006B2CBD"/>
    <w:rsid w:val="006B3014"/>
    <w:rsid w:val="006B3110"/>
    <w:rsid w:val="006B3257"/>
    <w:rsid w:val="006B330A"/>
    <w:rsid w:val="006B337E"/>
    <w:rsid w:val="006B369C"/>
    <w:rsid w:val="006B36C9"/>
    <w:rsid w:val="006B377B"/>
    <w:rsid w:val="006B3A30"/>
    <w:rsid w:val="006B3B48"/>
    <w:rsid w:val="006B3B7C"/>
    <w:rsid w:val="006B3C2F"/>
    <w:rsid w:val="006B3CE6"/>
    <w:rsid w:val="006B3D6F"/>
    <w:rsid w:val="006B3D9D"/>
    <w:rsid w:val="006B3E01"/>
    <w:rsid w:val="006B3E3E"/>
    <w:rsid w:val="006B3E74"/>
    <w:rsid w:val="006B4144"/>
    <w:rsid w:val="006B42BE"/>
    <w:rsid w:val="006B42F6"/>
    <w:rsid w:val="006B436A"/>
    <w:rsid w:val="006B4414"/>
    <w:rsid w:val="006B477C"/>
    <w:rsid w:val="006B477E"/>
    <w:rsid w:val="006B4933"/>
    <w:rsid w:val="006B4981"/>
    <w:rsid w:val="006B4C4B"/>
    <w:rsid w:val="006B4E30"/>
    <w:rsid w:val="006B4F22"/>
    <w:rsid w:val="006B4F35"/>
    <w:rsid w:val="006B4F40"/>
    <w:rsid w:val="006B4F90"/>
    <w:rsid w:val="006B4FC8"/>
    <w:rsid w:val="006B521E"/>
    <w:rsid w:val="006B548E"/>
    <w:rsid w:val="006B550B"/>
    <w:rsid w:val="006B57A3"/>
    <w:rsid w:val="006B5A9E"/>
    <w:rsid w:val="006B5B40"/>
    <w:rsid w:val="006B5BB4"/>
    <w:rsid w:val="006B5BF3"/>
    <w:rsid w:val="006B604C"/>
    <w:rsid w:val="006B608E"/>
    <w:rsid w:val="006B62CA"/>
    <w:rsid w:val="006B62E9"/>
    <w:rsid w:val="006B6357"/>
    <w:rsid w:val="006B6372"/>
    <w:rsid w:val="006B66A1"/>
    <w:rsid w:val="006B66CC"/>
    <w:rsid w:val="006B6784"/>
    <w:rsid w:val="006B67AA"/>
    <w:rsid w:val="006B68B5"/>
    <w:rsid w:val="006B68D9"/>
    <w:rsid w:val="006B69BC"/>
    <w:rsid w:val="006B69D4"/>
    <w:rsid w:val="006B6A70"/>
    <w:rsid w:val="006B6C4D"/>
    <w:rsid w:val="006B6E75"/>
    <w:rsid w:val="006B6F8A"/>
    <w:rsid w:val="006B71A3"/>
    <w:rsid w:val="006B71B9"/>
    <w:rsid w:val="006B75A2"/>
    <w:rsid w:val="006B77E6"/>
    <w:rsid w:val="006B7834"/>
    <w:rsid w:val="006B79AE"/>
    <w:rsid w:val="006B79FC"/>
    <w:rsid w:val="006C020D"/>
    <w:rsid w:val="006C02F8"/>
    <w:rsid w:val="006C0308"/>
    <w:rsid w:val="006C034A"/>
    <w:rsid w:val="006C03EE"/>
    <w:rsid w:val="006C043C"/>
    <w:rsid w:val="006C0598"/>
    <w:rsid w:val="006C0847"/>
    <w:rsid w:val="006C099B"/>
    <w:rsid w:val="006C09BE"/>
    <w:rsid w:val="006C0A8D"/>
    <w:rsid w:val="006C0EC4"/>
    <w:rsid w:val="006C0F61"/>
    <w:rsid w:val="006C1017"/>
    <w:rsid w:val="006C1092"/>
    <w:rsid w:val="006C121C"/>
    <w:rsid w:val="006C12A2"/>
    <w:rsid w:val="006C12F4"/>
    <w:rsid w:val="006C15AE"/>
    <w:rsid w:val="006C1642"/>
    <w:rsid w:val="006C1849"/>
    <w:rsid w:val="006C1A36"/>
    <w:rsid w:val="006C1C87"/>
    <w:rsid w:val="006C1D01"/>
    <w:rsid w:val="006C1D58"/>
    <w:rsid w:val="006C1DF3"/>
    <w:rsid w:val="006C1E57"/>
    <w:rsid w:val="006C1F76"/>
    <w:rsid w:val="006C208A"/>
    <w:rsid w:val="006C22C5"/>
    <w:rsid w:val="006C22D6"/>
    <w:rsid w:val="006C236B"/>
    <w:rsid w:val="006C23AA"/>
    <w:rsid w:val="006C257E"/>
    <w:rsid w:val="006C2601"/>
    <w:rsid w:val="006C3027"/>
    <w:rsid w:val="006C3063"/>
    <w:rsid w:val="006C32F4"/>
    <w:rsid w:val="006C34D3"/>
    <w:rsid w:val="006C3519"/>
    <w:rsid w:val="006C359A"/>
    <w:rsid w:val="006C3632"/>
    <w:rsid w:val="006C3896"/>
    <w:rsid w:val="006C3ABD"/>
    <w:rsid w:val="006C3AFD"/>
    <w:rsid w:val="006C3C32"/>
    <w:rsid w:val="006C3CE4"/>
    <w:rsid w:val="006C3DCD"/>
    <w:rsid w:val="006C3EC6"/>
    <w:rsid w:val="006C3FFD"/>
    <w:rsid w:val="006C40D8"/>
    <w:rsid w:val="006C461C"/>
    <w:rsid w:val="006C477E"/>
    <w:rsid w:val="006C48DA"/>
    <w:rsid w:val="006C48FE"/>
    <w:rsid w:val="006C496F"/>
    <w:rsid w:val="006C497C"/>
    <w:rsid w:val="006C4A7B"/>
    <w:rsid w:val="006C4B2E"/>
    <w:rsid w:val="006C4C13"/>
    <w:rsid w:val="006C4C65"/>
    <w:rsid w:val="006C4C8E"/>
    <w:rsid w:val="006C4CCD"/>
    <w:rsid w:val="006C4D0F"/>
    <w:rsid w:val="006C4E28"/>
    <w:rsid w:val="006C506C"/>
    <w:rsid w:val="006C51AB"/>
    <w:rsid w:val="006C5216"/>
    <w:rsid w:val="006C52A1"/>
    <w:rsid w:val="006C54DF"/>
    <w:rsid w:val="006C5550"/>
    <w:rsid w:val="006C557D"/>
    <w:rsid w:val="006C558F"/>
    <w:rsid w:val="006C5590"/>
    <w:rsid w:val="006C55FC"/>
    <w:rsid w:val="006C568F"/>
    <w:rsid w:val="006C5818"/>
    <w:rsid w:val="006C593B"/>
    <w:rsid w:val="006C594A"/>
    <w:rsid w:val="006C59A2"/>
    <w:rsid w:val="006C59CA"/>
    <w:rsid w:val="006C59DB"/>
    <w:rsid w:val="006C5A10"/>
    <w:rsid w:val="006C5C15"/>
    <w:rsid w:val="006C5E25"/>
    <w:rsid w:val="006C6023"/>
    <w:rsid w:val="006C602D"/>
    <w:rsid w:val="006C604C"/>
    <w:rsid w:val="006C60B1"/>
    <w:rsid w:val="006C6210"/>
    <w:rsid w:val="006C63FF"/>
    <w:rsid w:val="006C6768"/>
    <w:rsid w:val="006C6A3F"/>
    <w:rsid w:val="006C6A49"/>
    <w:rsid w:val="006C6CAB"/>
    <w:rsid w:val="006C6CF3"/>
    <w:rsid w:val="006C6E7E"/>
    <w:rsid w:val="006C6F64"/>
    <w:rsid w:val="006C6FBA"/>
    <w:rsid w:val="006C71F3"/>
    <w:rsid w:val="006C721A"/>
    <w:rsid w:val="006C72DC"/>
    <w:rsid w:val="006C740D"/>
    <w:rsid w:val="006C7603"/>
    <w:rsid w:val="006C76BE"/>
    <w:rsid w:val="006C7726"/>
    <w:rsid w:val="006C79C1"/>
    <w:rsid w:val="006C7A33"/>
    <w:rsid w:val="006C7E88"/>
    <w:rsid w:val="006C7FF2"/>
    <w:rsid w:val="006D03A0"/>
    <w:rsid w:val="006D048B"/>
    <w:rsid w:val="006D0677"/>
    <w:rsid w:val="006D074D"/>
    <w:rsid w:val="006D0857"/>
    <w:rsid w:val="006D0A7E"/>
    <w:rsid w:val="006D0ACE"/>
    <w:rsid w:val="006D0AF6"/>
    <w:rsid w:val="006D0BBB"/>
    <w:rsid w:val="006D0C44"/>
    <w:rsid w:val="006D0C7C"/>
    <w:rsid w:val="006D0E29"/>
    <w:rsid w:val="006D0EF4"/>
    <w:rsid w:val="006D0F56"/>
    <w:rsid w:val="006D11A4"/>
    <w:rsid w:val="006D11F8"/>
    <w:rsid w:val="006D1327"/>
    <w:rsid w:val="006D13C2"/>
    <w:rsid w:val="006D1567"/>
    <w:rsid w:val="006D17AF"/>
    <w:rsid w:val="006D1A5B"/>
    <w:rsid w:val="006D1B18"/>
    <w:rsid w:val="006D1B83"/>
    <w:rsid w:val="006D1C96"/>
    <w:rsid w:val="006D1CDC"/>
    <w:rsid w:val="006D1D34"/>
    <w:rsid w:val="006D1D55"/>
    <w:rsid w:val="006D1D62"/>
    <w:rsid w:val="006D1D9E"/>
    <w:rsid w:val="006D1DD6"/>
    <w:rsid w:val="006D1DF0"/>
    <w:rsid w:val="006D1EBF"/>
    <w:rsid w:val="006D1F33"/>
    <w:rsid w:val="006D1F38"/>
    <w:rsid w:val="006D1FF8"/>
    <w:rsid w:val="006D22E9"/>
    <w:rsid w:val="006D2540"/>
    <w:rsid w:val="006D2550"/>
    <w:rsid w:val="006D265C"/>
    <w:rsid w:val="006D2841"/>
    <w:rsid w:val="006D287E"/>
    <w:rsid w:val="006D2BCD"/>
    <w:rsid w:val="006D2C6B"/>
    <w:rsid w:val="006D2CDE"/>
    <w:rsid w:val="006D2F2A"/>
    <w:rsid w:val="006D2F77"/>
    <w:rsid w:val="006D3000"/>
    <w:rsid w:val="006D333E"/>
    <w:rsid w:val="006D3343"/>
    <w:rsid w:val="006D33E4"/>
    <w:rsid w:val="006D3453"/>
    <w:rsid w:val="006D3647"/>
    <w:rsid w:val="006D3952"/>
    <w:rsid w:val="006D3CE5"/>
    <w:rsid w:val="006D3E42"/>
    <w:rsid w:val="006D3E68"/>
    <w:rsid w:val="006D3E6F"/>
    <w:rsid w:val="006D41D6"/>
    <w:rsid w:val="006D4223"/>
    <w:rsid w:val="006D43E3"/>
    <w:rsid w:val="006D43ED"/>
    <w:rsid w:val="006D45EC"/>
    <w:rsid w:val="006D4A3D"/>
    <w:rsid w:val="006D4A67"/>
    <w:rsid w:val="006D4A6E"/>
    <w:rsid w:val="006D4C36"/>
    <w:rsid w:val="006D4C40"/>
    <w:rsid w:val="006D4C66"/>
    <w:rsid w:val="006D4EAB"/>
    <w:rsid w:val="006D4F11"/>
    <w:rsid w:val="006D4F38"/>
    <w:rsid w:val="006D4F85"/>
    <w:rsid w:val="006D501E"/>
    <w:rsid w:val="006D50AA"/>
    <w:rsid w:val="006D5214"/>
    <w:rsid w:val="006D5232"/>
    <w:rsid w:val="006D525E"/>
    <w:rsid w:val="006D5464"/>
    <w:rsid w:val="006D54FB"/>
    <w:rsid w:val="006D553F"/>
    <w:rsid w:val="006D5629"/>
    <w:rsid w:val="006D5AAE"/>
    <w:rsid w:val="006D5C7C"/>
    <w:rsid w:val="006D5D31"/>
    <w:rsid w:val="006D5D3F"/>
    <w:rsid w:val="006D5E66"/>
    <w:rsid w:val="006D61CD"/>
    <w:rsid w:val="006D61D6"/>
    <w:rsid w:val="006D6360"/>
    <w:rsid w:val="006D659C"/>
    <w:rsid w:val="006D65AD"/>
    <w:rsid w:val="006D65F2"/>
    <w:rsid w:val="006D675D"/>
    <w:rsid w:val="006D67B3"/>
    <w:rsid w:val="006D67B6"/>
    <w:rsid w:val="006D67E5"/>
    <w:rsid w:val="006D6853"/>
    <w:rsid w:val="006D6B48"/>
    <w:rsid w:val="006D6B4F"/>
    <w:rsid w:val="006D6BEE"/>
    <w:rsid w:val="006D6C9C"/>
    <w:rsid w:val="006D6CA0"/>
    <w:rsid w:val="006D6CBD"/>
    <w:rsid w:val="006D6CD3"/>
    <w:rsid w:val="006D6E89"/>
    <w:rsid w:val="006D6F27"/>
    <w:rsid w:val="006D6F47"/>
    <w:rsid w:val="006D712C"/>
    <w:rsid w:val="006D7198"/>
    <w:rsid w:val="006D7239"/>
    <w:rsid w:val="006D7475"/>
    <w:rsid w:val="006D754C"/>
    <w:rsid w:val="006D77B7"/>
    <w:rsid w:val="006D77C4"/>
    <w:rsid w:val="006D780A"/>
    <w:rsid w:val="006D785A"/>
    <w:rsid w:val="006D7861"/>
    <w:rsid w:val="006D7908"/>
    <w:rsid w:val="006D79CF"/>
    <w:rsid w:val="006D7BFD"/>
    <w:rsid w:val="006D7CFB"/>
    <w:rsid w:val="006D7D86"/>
    <w:rsid w:val="006D7E42"/>
    <w:rsid w:val="006D7E6B"/>
    <w:rsid w:val="006D7EB9"/>
    <w:rsid w:val="006D7EC8"/>
    <w:rsid w:val="006D7EE8"/>
    <w:rsid w:val="006E0116"/>
    <w:rsid w:val="006E023C"/>
    <w:rsid w:val="006E02F3"/>
    <w:rsid w:val="006E0412"/>
    <w:rsid w:val="006E0994"/>
    <w:rsid w:val="006E0A1D"/>
    <w:rsid w:val="006E0A4F"/>
    <w:rsid w:val="006E0AEB"/>
    <w:rsid w:val="006E0B04"/>
    <w:rsid w:val="006E0B3C"/>
    <w:rsid w:val="006E0C1E"/>
    <w:rsid w:val="006E0CA0"/>
    <w:rsid w:val="006E0D09"/>
    <w:rsid w:val="006E0D32"/>
    <w:rsid w:val="006E0E54"/>
    <w:rsid w:val="006E1224"/>
    <w:rsid w:val="006E1282"/>
    <w:rsid w:val="006E12D7"/>
    <w:rsid w:val="006E14CA"/>
    <w:rsid w:val="006E1670"/>
    <w:rsid w:val="006E196F"/>
    <w:rsid w:val="006E1AD1"/>
    <w:rsid w:val="006E1C41"/>
    <w:rsid w:val="006E1F0C"/>
    <w:rsid w:val="006E1F1A"/>
    <w:rsid w:val="006E1F49"/>
    <w:rsid w:val="006E1F64"/>
    <w:rsid w:val="006E203D"/>
    <w:rsid w:val="006E2075"/>
    <w:rsid w:val="006E208C"/>
    <w:rsid w:val="006E216F"/>
    <w:rsid w:val="006E24F1"/>
    <w:rsid w:val="006E2546"/>
    <w:rsid w:val="006E258C"/>
    <w:rsid w:val="006E2627"/>
    <w:rsid w:val="006E2748"/>
    <w:rsid w:val="006E2941"/>
    <w:rsid w:val="006E297A"/>
    <w:rsid w:val="006E2C38"/>
    <w:rsid w:val="006E2C90"/>
    <w:rsid w:val="006E2D35"/>
    <w:rsid w:val="006E2DBC"/>
    <w:rsid w:val="006E2DE3"/>
    <w:rsid w:val="006E2E93"/>
    <w:rsid w:val="006E2F13"/>
    <w:rsid w:val="006E2F9D"/>
    <w:rsid w:val="006E2FD0"/>
    <w:rsid w:val="006E2FFD"/>
    <w:rsid w:val="006E3079"/>
    <w:rsid w:val="006E3094"/>
    <w:rsid w:val="006E30AD"/>
    <w:rsid w:val="006E3466"/>
    <w:rsid w:val="006E3506"/>
    <w:rsid w:val="006E36FC"/>
    <w:rsid w:val="006E3811"/>
    <w:rsid w:val="006E39A1"/>
    <w:rsid w:val="006E39FF"/>
    <w:rsid w:val="006E3A8A"/>
    <w:rsid w:val="006E3AD5"/>
    <w:rsid w:val="006E3CD0"/>
    <w:rsid w:val="006E3D1B"/>
    <w:rsid w:val="006E3D38"/>
    <w:rsid w:val="006E3D86"/>
    <w:rsid w:val="006E3DFE"/>
    <w:rsid w:val="006E3E2D"/>
    <w:rsid w:val="006E4141"/>
    <w:rsid w:val="006E4305"/>
    <w:rsid w:val="006E4307"/>
    <w:rsid w:val="006E44EE"/>
    <w:rsid w:val="006E4768"/>
    <w:rsid w:val="006E4A35"/>
    <w:rsid w:val="006E4AE1"/>
    <w:rsid w:val="006E4BED"/>
    <w:rsid w:val="006E4C90"/>
    <w:rsid w:val="006E4D99"/>
    <w:rsid w:val="006E4E04"/>
    <w:rsid w:val="006E4E36"/>
    <w:rsid w:val="006E4EB7"/>
    <w:rsid w:val="006E5172"/>
    <w:rsid w:val="006E52F6"/>
    <w:rsid w:val="006E5893"/>
    <w:rsid w:val="006E5935"/>
    <w:rsid w:val="006E599D"/>
    <w:rsid w:val="006E5A07"/>
    <w:rsid w:val="006E5B57"/>
    <w:rsid w:val="006E5BBE"/>
    <w:rsid w:val="006E5E35"/>
    <w:rsid w:val="006E5FE2"/>
    <w:rsid w:val="006E5FE7"/>
    <w:rsid w:val="006E62E5"/>
    <w:rsid w:val="006E63BD"/>
    <w:rsid w:val="006E6617"/>
    <w:rsid w:val="006E69C5"/>
    <w:rsid w:val="006E6BDC"/>
    <w:rsid w:val="006E7173"/>
    <w:rsid w:val="006E7256"/>
    <w:rsid w:val="006E7291"/>
    <w:rsid w:val="006E72C2"/>
    <w:rsid w:val="006E7567"/>
    <w:rsid w:val="006E75B9"/>
    <w:rsid w:val="006E75F9"/>
    <w:rsid w:val="006E769B"/>
    <w:rsid w:val="006E78E3"/>
    <w:rsid w:val="006E797A"/>
    <w:rsid w:val="006E7C31"/>
    <w:rsid w:val="006E7C4F"/>
    <w:rsid w:val="006E7FC2"/>
    <w:rsid w:val="006F0209"/>
    <w:rsid w:val="006F049D"/>
    <w:rsid w:val="006F0502"/>
    <w:rsid w:val="006F0567"/>
    <w:rsid w:val="006F05F3"/>
    <w:rsid w:val="006F0642"/>
    <w:rsid w:val="006F0697"/>
    <w:rsid w:val="006F070A"/>
    <w:rsid w:val="006F08C6"/>
    <w:rsid w:val="006F0910"/>
    <w:rsid w:val="006F091D"/>
    <w:rsid w:val="006F0948"/>
    <w:rsid w:val="006F0CCA"/>
    <w:rsid w:val="006F101D"/>
    <w:rsid w:val="006F125F"/>
    <w:rsid w:val="006F12F8"/>
    <w:rsid w:val="006F13F1"/>
    <w:rsid w:val="006F1463"/>
    <w:rsid w:val="006F15B5"/>
    <w:rsid w:val="006F15C6"/>
    <w:rsid w:val="006F16EC"/>
    <w:rsid w:val="006F1748"/>
    <w:rsid w:val="006F1752"/>
    <w:rsid w:val="006F179B"/>
    <w:rsid w:val="006F185F"/>
    <w:rsid w:val="006F1869"/>
    <w:rsid w:val="006F18BB"/>
    <w:rsid w:val="006F1982"/>
    <w:rsid w:val="006F19EA"/>
    <w:rsid w:val="006F1CF2"/>
    <w:rsid w:val="006F1D55"/>
    <w:rsid w:val="006F2195"/>
    <w:rsid w:val="006F21DF"/>
    <w:rsid w:val="006F227E"/>
    <w:rsid w:val="006F25C0"/>
    <w:rsid w:val="006F25E4"/>
    <w:rsid w:val="006F260C"/>
    <w:rsid w:val="006F274C"/>
    <w:rsid w:val="006F2772"/>
    <w:rsid w:val="006F29D4"/>
    <w:rsid w:val="006F2A55"/>
    <w:rsid w:val="006F2A61"/>
    <w:rsid w:val="006F2A96"/>
    <w:rsid w:val="006F2A9B"/>
    <w:rsid w:val="006F2C46"/>
    <w:rsid w:val="006F2CBE"/>
    <w:rsid w:val="006F2CCE"/>
    <w:rsid w:val="006F2CDD"/>
    <w:rsid w:val="006F2D17"/>
    <w:rsid w:val="006F2D71"/>
    <w:rsid w:val="006F2D9E"/>
    <w:rsid w:val="006F2E43"/>
    <w:rsid w:val="006F2F2C"/>
    <w:rsid w:val="006F2F64"/>
    <w:rsid w:val="006F3029"/>
    <w:rsid w:val="006F31F9"/>
    <w:rsid w:val="006F3278"/>
    <w:rsid w:val="006F32DE"/>
    <w:rsid w:val="006F32FC"/>
    <w:rsid w:val="006F33F9"/>
    <w:rsid w:val="006F34A6"/>
    <w:rsid w:val="006F355D"/>
    <w:rsid w:val="006F3705"/>
    <w:rsid w:val="006F3755"/>
    <w:rsid w:val="006F37C1"/>
    <w:rsid w:val="006F3944"/>
    <w:rsid w:val="006F3BA3"/>
    <w:rsid w:val="006F3D41"/>
    <w:rsid w:val="006F3DBC"/>
    <w:rsid w:val="006F3DEF"/>
    <w:rsid w:val="006F3E13"/>
    <w:rsid w:val="006F3F5E"/>
    <w:rsid w:val="006F4152"/>
    <w:rsid w:val="006F4288"/>
    <w:rsid w:val="006F4326"/>
    <w:rsid w:val="006F4372"/>
    <w:rsid w:val="006F4384"/>
    <w:rsid w:val="006F44CF"/>
    <w:rsid w:val="006F4714"/>
    <w:rsid w:val="006F47F5"/>
    <w:rsid w:val="006F480F"/>
    <w:rsid w:val="006F4A8B"/>
    <w:rsid w:val="006F4B7F"/>
    <w:rsid w:val="006F4BB2"/>
    <w:rsid w:val="006F4DF1"/>
    <w:rsid w:val="006F4E73"/>
    <w:rsid w:val="006F4EA2"/>
    <w:rsid w:val="006F4EB7"/>
    <w:rsid w:val="006F50BF"/>
    <w:rsid w:val="006F5280"/>
    <w:rsid w:val="006F52B8"/>
    <w:rsid w:val="006F547A"/>
    <w:rsid w:val="006F5589"/>
    <w:rsid w:val="006F55E3"/>
    <w:rsid w:val="006F57C2"/>
    <w:rsid w:val="006F57FA"/>
    <w:rsid w:val="006F5963"/>
    <w:rsid w:val="006F5A9C"/>
    <w:rsid w:val="006F5BD5"/>
    <w:rsid w:val="006F5CC4"/>
    <w:rsid w:val="006F5ED6"/>
    <w:rsid w:val="006F5F81"/>
    <w:rsid w:val="006F60B6"/>
    <w:rsid w:val="006F62C1"/>
    <w:rsid w:val="006F6332"/>
    <w:rsid w:val="006F6447"/>
    <w:rsid w:val="006F65A3"/>
    <w:rsid w:val="006F677B"/>
    <w:rsid w:val="006F6F21"/>
    <w:rsid w:val="006F711F"/>
    <w:rsid w:val="006F7200"/>
    <w:rsid w:val="006F723A"/>
    <w:rsid w:val="006F7272"/>
    <w:rsid w:val="006F73B8"/>
    <w:rsid w:val="006F7528"/>
    <w:rsid w:val="006F77CA"/>
    <w:rsid w:val="006F784C"/>
    <w:rsid w:val="006F7910"/>
    <w:rsid w:val="006F7945"/>
    <w:rsid w:val="006F7A5F"/>
    <w:rsid w:val="006F7D57"/>
    <w:rsid w:val="006F7DBF"/>
    <w:rsid w:val="006F7E90"/>
    <w:rsid w:val="00700154"/>
    <w:rsid w:val="00700172"/>
    <w:rsid w:val="00700197"/>
    <w:rsid w:val="007003BA"/>
    <w:rsid w:val="00700639"/>
    <w:rsid w:val="007007C8"/>
    <w:rsid w:val="00700842"/>
    <w:rsid w:val="00700845"/>
    <w:rsid w:val="007008E8"/>
    <w:rsid w:val="00700934"/>
    <w:rsid w:val="00700A31"/>
    <w:rsid w:val="00700CF2"/>
    <w:rsid w:val="00700F29"/>
    <w:rsid w:val="00700F99"/>
    <w:rsid w:val="00700FFD"/>
    <w:rsid w:val="00701076"/>
    <w:rsid w:val="00701093"/>
    <w:rsid w:val="0070114F"/>
    <w:rsid w:val="0070137D"/>
    <w:rsid w:val="00701525"/>
    <w:rsid w:val="00701C8B"/>
    <w:rsid w:val="00701D40"/>
    <w:rsid w:val="00701DB1"/>
    <w:rsid w:val="00701E59"/>
    <w:rsid w:val="00701E81"/>
    <w:rsid w:val="007021DD"/>
    <w:rsid w:val="007022D9"/>
    <w:rsid w:val="0070249B"/>
    <w:rsid w:val="0070257C"/>
    <w:rsid w:val="0070262B"/>
    <w:rsid w:val="007026D1"/>
    <w:rsid w:val="007028AD"/>
    <w:rsid w:val="0070295A"/>
    <w:rsid w:val="007029C8"/>
    <w:rsid w:val="00702ACE"/>
    <w:rsid w:val="00702D2E"/>
    <w:rsid w:val="00702D67"/>
    <w:rsid w:val="00702D99"/>
    <w:rsid w:val="007030E8"/>
    <w:rsid w:val="007030FD"/>
    <w:rsid w:val="0070314A"/>
    <w:rsid w:val="00703277"/>
    <w:rsid w:val="0070329B"/>
    <w:rsid w:val="00703430"/>
    <w:rsid w:val="00703458"/>
    <w:rsid w:val="0070379F"/>
    <w:rsid w:val="00703819"/>
    <w:rsid w:val="0070397D"/>
    <w:rsid w:val="00703AB3"/>
    <w:rsid w:val="00703C44"/>
    <w:rsid w:val="00703DED"/>
    <w:rsid w:val="00703DEF"/>
    <w:rsid w:val="00703DF5"/>
    <w:rsid w:val="00703F51"/>
    <w:rsid w:val="00704099"/>
    <w:rsid w:val="007040AA"/>
    <w:rsid w:val="007041E2"/>
    <w:rsid w:val="007041F4"/>
    <w:rsid w:val="00704509"/>
    <w:rsid w:val="0070454C"/>
    <w:rsid w:val="0070463D"/>
    <w:rsid w:val="00704654"/>
    <w:rsid w:val="0070476B"/>
    <w:rsid w:val="00704A3B"/>
    <w:rsid w:val="00704AF4"/>
    <w:rsid w:val="00704B2D"/>
    <w:rsid w:val="00704B80"/>
    <w:rsid w:val="00704CDF"/>
    <w:rsid w:val="00704CF6"/>
    <w:rsid w:val="00704D57"/>
    <w:rsid w:val="00704D91"/>
    <w:rsid w:val="00704DBA"/>
    <w:rsid w:val="00704DCA"/>
    <w:rsid w:val="00704F85"/>
    <w:rsid w:val="00705094"/>
    <w:rsid w:val="007050DB"/>
    <w:rsid w:val="007050F3"/>
    <w:rsid w:val="007053D6"/>
    <w:rsid w:val="00705435"/>
    <w:rsid w:val="00705531"/>
    <w:rsid w:val="00705562"/>
    <w:rsid w:val="00705601"/>
    <w:rsid w:val="007056E4"/>
    <w:rsid w:val="00705CA2"/>
    <w:rsid w:val="00705E9B"/>
    <w:rsid w:val="0070602D"/>
    <w:rsid w:val="007061AE"/>
    <w:rsid w:val="007061B8"/>
    <w:rsid w:val="0070620B"/>
    <w:rsid w:val="00706797"/>
    <w:rsid w:val="007068A4"/>
    <w:rsid w:val="007069A2"/>
    <w:rsid w:val="00706A0C"/>
    <w:rsid w:val="00706BBF"/>
    <w:rsid w:val="00706D8E"/>
    <w:rsid w:val="00706DCF"/>
    <w:rsid w:val="00706E11"/>
    <w:rsid w:val="00706F7A"/>
    <w:rsid w:val="00707181"/>
    <w:rsid w:val="00707210"/>
    <w:rsid w:val="007072B9"/>
    <w:rsid w:val="00707461"/>
    <w:rsid w:val="007075C5"/>
    <w:rsid w:val="00707606"/>
    <w:rsid w:val="007076C0"/>
    <w:rsid w:val="007076F3"/>
    <w:rsid w:val="00707766"/>
    <w:rsid w:val="007077D3"/>
    <w:rsid w:val="00707960"/>
    <w:rsid w:val="00707A8D"/>
    <w:rsid w:val="00707B5B"/>
    <w:rsid w:val="00707D7A"/>
    <w:rsid w:val="0071003E"/>
    <w:rsid w:val="0071004A"/>
    <w:rsid w:val="00710059"/>
    <w:rsid w:val="0071018F"/>
    <w:rsid w:val="0071019B"/>
    <w:rsid w:val="00710259"/>
    <w:rsid w:val="00710477"/>
    <w:rsid w:val="0071048B"/>
    <w:rsid w:val="007104B9"/>
    <w:rsid w:val="0071071F"/>
    <w:rsid w:val="00710754"/>
    <w:rsid w:val="00710813"/>
    <w:rsid w:val="007108A3"/>
    <w:rsid w:val="00710979"/>
    <w:rsid w:val="00710AA9"/>
    <w:rsid w:val="00710B47"/>
    <w:rsid w:val="00710C72"/>
    <w:rsid w:val="00710E3D"/>
    <w:rsid w:val="00710EE7"/>
    <w:rsid w:val="00710FC4"/>
    <w:rsid w:val="0071132C"/>
    <w:rsid w:val="00711446"/>
    <w:rsid w:val="00711715"/>
    <w:rsid w:val="007118D9"/>
    <w:rsid w:val="00711918"/>
    <w:rsid w:val="00711922"/>
    <w:rsid w:val="00711926"/>
    <w:rsid w:val="00711AD3"/>
    <w:rsid w:val="00711BE6"/>
    <w:rsid w:val="00711BFB"/>
    <w:rsid w:val="00711C57"/>
    <w:rsid w:val="00711D4C"/>
    <w:rsid w:val="00711D8D"/>
    <w:rsid w:val="00711DD9"/>
    <w:rsid w:val="00711E34"/>
    <w:rsid w:val="00711E45"/>
    <w:rsid w:val="00711E70"/>
    <w:rsid w:val="00711EB4"/>
    <w:rsid w:val="00711EB6"/>
    <w:rsid w:val="00711F68"/>
    <w:rsid w:val="00711FA2"/>
    <w:rsid w:val="00711FD5"/>
    <w:rsid w:val="00712056"/>
    <w:rsid w:val="007122C7"/>
    <w:rsid w:val="00712418"/>
    <w:rsid w:val="00712581"/>
    <w:rsid w:val="0071258C"/>
    <w:rsid w:val="0071269E"/>
    <w:rsid w:val="007126E8"/>
    <w:rsid w:val="007127F2"/>
    <w:rsid w:val="00712A3B"/>
    <w:rsid w:val="00712AB5"/>
    <w:rsid w:val="00712C88"/>
    <w:rsid w:val="00712DD8"/>
    <w:rsid w:val="00712E59"/>
    <w:rsid w:val="00712EF4"/>
    <w:rsid w:val="0071327F"/>
    <w:rsid w:val="007132E2"/>
    <w:rsid w:val="007133EA"/>
    <w:rsid w:val="0071343E"/>
    <w:rsid w:val="0071346A"/>
    <w:rsid w:val="007134D5"/>
    <w:rsid w:val="00713525"/>
    <w:rsid w:val="00713964"/>
    <w:rsid w:val="007139CF"/>
    <w:rsid w:val="00713BAE"/>
    <w:rsid w:val="00713BBA"/>
    <w:rsid w:val="00713C06"/>
    <w:rsid w:val="00713E94"/>
    <w:rsid w:val="00713EEC"/>
    <w:rsid w:val="00713F88"/>
    <w:rsid w:val="00713FB6"/>
    <w:rsid w:val="00714136"/>
    <w:rsid w:val="00714199"/>
    <w:rsid w:val="007142FC"/>
    <w:rsid w:val="00714403"/>
    <w:rsid w:val="00714543"/>
    <w:rsid w:val="0071458D"/>
    <w:rsid w:val="00714667"/>
    <w:rsid w:val="0071474A"/>
    <w:rsid w:val="00714957"/>
    <w:rsid w:val="00714A65"/>
    <w:rsid w:val="00714A6D"/>
    <w:rsid w:val="00714C3D"/>
    <w:rsid w:val="00714C94"/>
    <w:rsid w:val="00714F2E"/>
    <w:rsid w:val="00715166"/>
    <w:rsid w:val="00715171"/>
    <w:rsid w:val="007151A7"/>
    <w:rsid w:val="0071524B"/>
    <w:rsid w:val="007154A5"/>
    <w:rsid w:val="0071560C"/>
    <w:rsid w:val="007157A2"/>
    <w:rsid w:val="00715818"/>
    <w:rsid w:val="007158FE"/>
    <w:rsid w:val="00715B48"/>
    <w:rsid w:val="00715C03"/>
    <w:rsid w:val="00715D5C"/>
    <w:rsid w:val="00715DAE"/>
    <w:rsid w:val="00715DBB"/>
    <w:rsid w:val="00715E43"/>
    <w:rsid w:val="00715E69"/>
    <w:rsid w:val="00715EC3"/>
    <w:rsid w:val="00715F4F"/>
    <w:rsid w:val="007160A5"/>
    <w:rsid w:val="007160A6"/>
    <w:rsid w:val="007160EE"/>
    <w:rsid w:val="00716161"/>
    <w:rsid w:val="007161BA"/>
    <w:rsid w:val="007161EF"/>
    <w:rsid w:val="007164F3"/>
    <w:rsid w:val="0071659D"/>
    <w:rsid w:val="007165B3"/>
    <w:rsid w:val="00716703"/>
    <w:rsid w:val="0071671E"/>
    <w:rsid w:val="00716842"/>
    <w:rsid w:val="00716A50"/>
    <w:rsid w:val="00716A62"/>
    <w:rsid w:val="00716B98"/>
    <w:rsid w:val="00716C33"/>
    <w:rsid w:val="00716C52"/>
    <w:rsid w:val="00716C59"/>
    <w:rsid w:val="00716C6F"/>
    <w:rsid w:val="00716DE9"/>
    <w:rsid w:val="00716DF4"/>
    <w:rsid w:val="00716E03"/>
    <w:rsid w:val="00716F77"/>
    <w:rsid w:val="007172D6"/>
    <w:rsid w:val="0071735B"/>
    <w:rsid w:val="00717431"/>
    <w:rsid w:val="007174BD"/>
    <w:rsid w:val="0071767C"/>
    <w:rsid w:val="00717764"/>
    <w:rsid w:val="007177AF"/>
    <w:rsid w:val="0071785A"/>
    <w:rsid w:val="007178B1"/>
    <w:rsid w:val="007178B3"/>
    <w:rsid w:val="007178E1"/>
    <w:rsid w:val="00717C18"/>
    <w:rsid w:val="00717C51"/>
    <w:rsid w:val="00717CBC"/>
    <w:rsid w:val="00717EB6"/>
    <w:rsid w:val="007200FE"/>
    <w:rsid w:val="0072018A"/>
    <w:rsid w:val="0072054F"/>
    <w:rsid w:val="00720619"/>
    <w:rsid w:val="00720749"/>
    <w:rsid w:val="00720760"/>
    <w:rsid w:val="00720ACA"/>
    <w:rsid w:val="00720AF0"/>
    <w:rsid w:val="00720AF8"/>
    <w:rsid w:val="00720B3B"/>
    <w:rsid w:val="00720BF6"/>
    <w:rsid w:val="00720C91"/>
    <w:rsid w:val="00720E77"/>
    <w:rsid w:val="00720EDA"/>
    <w:rsid w:val="00720FDE"/>
    <w:rsid w:val="00720FE4"/>
    <w:rsid w:val="007212F2"/>
    <w:rsid w:val="007216DF"/>
    <w:rsid w:val="0072171A"/>
    <w:rsid w:val="00721804"/>
    <w:rsid w:val="00721821"/>
    <w:rsid w:val="007219D5"/>
    <w:rsid w:val="00721CBF"/>
    <w:rsid w:val="00721DDB"/>
    <w:rsid w:val="00721EF7"/>
    <w:rsid w:val="00721F85"/>
    <w:rsid w:val="00722038"/>
    <w:rsid w:val="0072217B"/>
    <w:rsid w:val="00722256"/>
    <w:rsid w:val="007222DA"/>
    <w:rsid w:val="007223D8"/>
    <w:rsid w:val="0072248E"/>
    <w:rsid w:val="0072257F"/>
    <w:rsid w:val="0072272A"/>
    <w:rsid w:val="00722741"/>
    <w:rsid w:val="0072276F"/>
    <w:rsid w:val="00722775"/>
    <w:rsid w:val="0072286E"/>
    <w:rsid w:val="00722898"/>
    <w:rsid w:val="007228F0"/>
    <w:rsid w:val="00722BB0"/>
    <w:rsid w:val="00722BE7"/>
    <w:rsid w:val="00722BE8"/>
    <w:rsid w:val="00722BEC"/>
    <w:rsid w:val="00722D24"/>
    <w:rsid w:val="00722E1E"/>
    <w:rsid w:val="00722F63"/>
    <w:rsid w:val="00723017"/>
    <w:rsid w:val="007231A0"/>
    <w:rsid w:val="00723249"/>
    <w:rsid w:val="00723260"/>
    <w:rsid w:val="0072329D"/>
    <w:rsid w:val="00723302"/>
    <w:rsid w:val="00723407"/>
    <w:rsid w:val="00723A8A"/>
    <w:rsid w:val="00723BC0"/>
    <w:rsid w:val="00723C0E"/>
    <w:rsid w:val="00723C9C"/>
    <w:rsid w:val="00723DBD"/>
    <w:rsid w:val="00723E20"/>
    <w:rsid w:val="00723F45"/>
    <w:rsid w:val="00723FB0"/>
    <w:rsid w:val="007241BE"/>
    <w:rsid w:val="007241E7"/>
    <w:rsid w:val="0072428C"/>
    <w:rsid w:val="00724292"/>
    <w:rsid w:val="0072431E"/>
    <w:rsid w:val="00724332"/>
    <w:rsid w:val="00724599"/>
    <w:rsid w:val="007245A5"/>
    <w:rsid w:val="0072465D"/>
    <w:rsid w:val="00724983"/>
    <w:rsid w:val="00724A2A"/>
    <w:rsid w:val="00724B15"/>
    <w:rsid w:val="00724B6D"/>
    <w:rsid w:val="00724C26"/>
    <w:rsid w:val="00724CFE"/>
    <w:rsid w:val="00724F21"/>
    <w:rsid w:val="007253B4"/>
    <w:rsid w:val="007253D9"/>
    <w:rsid w:val="007254B3"/>
    <w:rsid w:val="00725576"/>
    <w:rsid w:val="007256F7"/>
    <w:rsid w:val="00725788"/>
    <w:rsid w:val="007257FF"/>
    <w:rsid w:val="007258E0"/>
    <w:rsid w:val="00725ABF"/>
    <w:rsid w:val="00725B46"/>
    <w:rsid w:val="00725B65"/>
    <w:rsid w:val="00725E7C"/>
    <w:rsid w:val="00726004"/>
    <w:rsid w:val="00726065"/>
    <w:rsid w:val="0072612F"/>
    <w:rsid w:val="007262CE"/>
    <w:rsid w:val="007262D1"/>
    <w:rsid w:val="00726309"/>
    <w:rsid w:val="00726441"/>
    <w:rsid w:val="007264F1"/>
    <w:rsid w:val="00726564"/>
    <w:rsid w:val="00726640"/>
    <w:rsid w:val="00726642"/>
    <w:rsid w:val="007266C4"/>
    <w:rsid w:val="0072692B"/>
    <w:rsid w:val="00726A8F"/>
    <w:rsid w:val="00726AA1"/>
    <w:rsid w:val="00726D60"/>
    <w:rsid w:val="00726D95"/>
    <w:rsid w:val="00726DFB"/>
    <w:rsid w:val="00726E6E"/>
    <w:rsid w:val="00726EE0"/>
    <w:rsid w:val="00727044"/>
    <w:rsid w:val="00727066"/>
    <w:rsid w:val="007271A8"/>
    <w:rsid w:val="007271EE"/>
    <w:rsid w:val="00727366"/>
    <w:rsid w:val="007278B7"/>
    <w:rsid w:val="007279FB"/>
    <w:rsid w:val="00727A1D"/>
    <w:rsid w:val="00727D16"/>
    <w:rsid w:val="00727D79"/>
    <w:rsid w:val="00727EBC"/>
    <w:rsid w:val="00730045"/>
    <w:rsid w:val="007300DB"/>
    <w:rsid w:val="00730119"/>
    <w:rsid w:val="007302D0"/>
    <w:rsid w:val="007302DA"/>
    <w:rsid w:val="0073048B"/>
    <w:rsid w:val="007304AB"/>
    <w:rsid w:val="00730767"/>
    <w:rsid w:val="007307CC"/>
    <w:rsid w:val="0073081F"/>
    <w:rsid w:val="0073087B"/>
    <w:rsid w:val="007309BD"/>
    <w:rsid w:val="00730A90"/>
    <w:rsid w:val="00730C48"/>
    <w:rsid w:val="00730C65"/>
    <w:rsid w:val="00730E2D"/>
    <w:rsid w:val="00730FAC"/>
    <w:rsid w:val="00731225"/>
    <w:rsid w:val="00731269"/>
    <w:rsid w:val="00731511"/>
    <w:rsid w:val="00731527"/>
    <w:rsid w:val="007315DF"/>
    <w:rsid w:val="0073187E"/>
    <w:rsid w:val="00731AF1"/>
    <w:rsid w:val="00731C9E"/>
    <w:rsid w:val="00731DBE"/>
    <w:rsid w:val="00731DE4"/>
    <w:rsid w:val="00731E78"/>
    <w:rsid w:val="00731F11"/>
    <w:rsid w:val="00731F1D"/>
    <w:rsid w:val="00732015"/>
    <w:rsid w:val="0073277C"/>
    <w:rsid w:val="00732984"/>
    <w:rsid w:val="00732B03"/>
    <w:rsid w:val="00732B5E"/>
    <w:rsid w:val="00732BAC"/>
    <w:rsid w:val="00732C17"/>
    <w:rsid w:val="00732CC1"/>
    <w:rsid w:val="00732DB6"/>
    <w:rsid w:val="00732FA6"/>
    <w:rsid w:val="0073310A"/>
    <w:rsid w:val="00733121"/>
    <w:rsid w:val="00733332"/>
    <w:rsid w:val="00733378"/>
    <w:rsid w:val="007333A1"/>
    <w:rsid w:val="007333D2"/>
    <w:rsid w:val="00733487"/>
    <w:rsid w:val="0073350F"/>
    <w:rsid w:val="007337D9"/>
    <w:rsid w:val="007339A9"/>
    <w:rsid w:val="007339C1"/>
    <w:rsid w:val="00733E6D"/>
    <w:rsid w:val="00733E9C"/>
    <w:rsid w:val="00733F30"/>
    <w:rsid w:val="00733F6A"/>
    <w:rsid w:val="00733FD9"/>
    <w:rsid w:val="00733FF3"/>
    <w:rsid w:val="007342B2"/>
    <w:rsid w:val="007342CD"/>
    <w:rsid w:val="00734519"/>
    <w:rsid w:val="00734606"/>
    <w:rsid w:val="0073488B"/>
    <w:rsid w:val="007348EC"/>
    <w:rsid w:val="00734B89"/>
    <w:rsid w:val="00734D02"/>
    <w:rsid w:val="00734D42"/>
    <w:rsid w:val="00734EDF"/>
    <w:rsid w:val="00734FCE"/>
    <w:rsid w:val="00735054"/>
    <w:rsid w:val="007350C9"/>
    <w:rsid w:val="00735106"/>
    <w:rsid w:val="00735155"/>
    <w:rsid w:val="0073516C"/>
    <w:rsid w:val="007351FA"/>
    <w:rsid w:val="007352A7"/>
    <w:rsid w:val="007353ED"/>
    <w:rsid w:val="0073546F"/>
    <w:rsid w:val="00735533"/>
    <w:rsid w:val="0073564E"/>
    <w:rsid w:val="00735686"/>
    <w:rsid w:val="00735865"/>
    <w:rsid w:val="00735896"/>
    <w:rsid w:val="00735902"/>
    <w:rsid w:val="00735968"/>
    <w:rsid w:val="00735A75"/>
    <w:rsid w:val="00735A8F"/>
    <w:rsid w:val="00735AC9"/>
    <w:rsid w:val="00735D3D"/>
    <w:rsid w:val="00735D45"/>
    <w:rsid w:val="00735DDA"/>
    <w:rsid w:val="00735E72"/>
    <w:rsid w:val="0073609C"/>
    <w:rsid w:val="007360BC"/>
    <w:rsid w:val="00736167"/>
    <w:rsid w:val="00736174"/>
    <w:rsid w:val="00736293"/>
    <w:rsid w:val="007362C5"/>
    <w:rsid w:val="0073634D"/>
    <w:rsid w:val="0073635B"/>
    <w:rsid w:val="00736435"/>
    <w:rsid w:val="007364E5"/>
    <w:rsid w:val="00736513"/>
    <w:rsid w:val="00736577"/>
    <w:rsid w:val="007365D1"/>
    <w:rsid w:val="00736626"/>
    <w:rsid w:val="007367AA"/>
    <w:rsid w:val="007368A8"/>
    <w:rsid w:val="007368D1"/>
    <w:rsid w:val="007369AF"/>
    <w:rsid w:val="007369BE"/>
    <w:rsid w:val="00736A00"/>
    <w:rsid w:val="00736A11"/>
    <w:rsid w:val="00736A34"/>
    <w:rsid w:val="00736A49"/>
    <w:rsid w:val="00736A74"/>
    <w:rsid w:val="00736B04"/>
    <w:rsid w:val="00736C6E"/>
    <w:rsid w:val="00736E08"/>
    <w:rsid w:val="00736F1C"/>
    <w:rsid w:val="00737182"/>
    <w:rsid w:val="007372B5"/>
    <w:rsid w:val="00737313"/>
    <w:rsid w:val="00737398"/>
    <w:rsid w:val="007373CF"/>
    <w:rsid w:val="007374CE"/>
    <w:rsid w:val="00737601"/>
    <w:rsid w:val="007376AA"/>
    <w:rsid w:val="007376E0"/>
    <w:rsid w:val="0073779D"/>
    <w:rsid w:val="007377F5"/>
    <w:rsid w:val="00737914"/>
    <w:rsid w:val="00737973"/>
    <w:rsid w:val="007379E2"/>
    <w:rsid w:val="00737A05"/>
    <w:rsid w:val="00737A95"/>
    <w:rsid w:val="00737BFD"/>
    <w:rsid w:val="00737EB5"/>
    <w:rsid w:val="00737F24"/>
    <w:rsid w:val="00740148"/>
    <w:rsid w:val="0074022C"/>
    <w:rsid w:val="00740344"/>
    <w:rsid w:val="0074048D"/>
    <w:rsid w:val="007406A5"/>
    <w:rsid w:val="00740772"/>
    <w:rsid w:val="007409C9"/>
    <w:rsid w:val="00740AFC"/>
    <w:rsid w:val="00740B10"/>
    <w:rsid w:val="00740B3D"/>
    <w:rsid w:val="00740B55"/>
    <w:rsid w:val="00740C54"/>
    <w:rsid w:val="00740CAE"/>
    <w:rsid w:val="00740DFE"/>
    <w:rsid w:val="00740FB1"/>
    <w:rsid w:val="0074100E"/>
    <w:rsid w:val="007410F5"/>
    <w:rsid w:val="00741660"/>
    <w:rsid w:val="007416E5"/>
    <w:rsid w:val="0074190D"/>
    <w:rsid w:val="00741964"/>
    <w:rsid w:val="00741BD0"/>
    <w:rsid w:val="00741C6C"/>
    <w:rsid w:val="00741CD3"/>
    <w:rsid w:val="00741CFA"/>
    <w:rsid w:val="00741E9B"/>
    <w:rsid w:val="00741EBD"/>
    <w:rsid w:val="00741F18"/>
    <w:rsid w:val="0074237F"/>
    <w:rsid w:val="007424A0"/>
    <w:rsid w:val="00742623"/>
    <w:rsid w:val="0074264A"/>
    <w:rsid w:val="00742878"/>
    <w:rsid w:val="00742A32"/>
    <w:rsid w:val="00742B21"/>
    <w:rsid w:val="00742B72"/>
    <w:rsid w:val="00742C3E"/>
    <w:rsid w:val="00742CFA"/>
    <w:rsid w:val="00742D1F"/>
    <w:rsid w:val="00742D6D"/>
    <w:rsid w:val="00742DF0"/>
    <w:rsid w:val="00742F31"/>
    <w:rsid w:val="00743040"/>
    <w:rsid w:val="007431E5"/>
    <w:rsid w:val="0074323D"/>
    <w:rsid w:val="00743518"/>
    <w:rsid w:val="0074355A"/>
    <w:rsid w:val="0074359D"/>
    <w:rsid w:val="00743604"/>
    <w:rsid w:val="0074363B"/>
    <w:rsid w:val="00743728"/>
    <w:rsid w:val="0074374E"/>
    <w:rsid w:val="0074392A"/>
    <w:rsid w:val="00743AB1"/>
    <w:rsid w:val="00743B24"/>
    <w:rsid w:val="00743B77"/>
    <w:rsid w:val="00743DB4"/>
    <w:rsid w:val="0074402C"/>
    <w:rsid w:val="007440E8"/>
    <w:rsid w:val="007440F0"/>
    <w:rsid w:val="00744172"/>
    <w:rsid w:val="0074429D"/>
    <w:rsid w:val="00744324"/>
    <w:rsid w:val="007443E6"/>
    <w:rsid w:val="007445E7"/>
    <w:rsid w:val="00744844"/>
    <w:rsid w:val="00744AF2"/>
    <w:rsid w:val="00744B4B"/>
    <w:rsid w:val="00744B9C"/>
    <w:rsid w:val="00744C23"/>
    <w:rsid w:val="00744C48"/>
    <w:rsid w:val="00744C9A"/>
    <w:rsid w:val="00744CC2"/>
    <w:rsid w:val="00744D48"/>
    <w:rsid w:val="00744D5C"/>
    <w:rsid w:val="00744E9C"/>
    <w:rsid w:val="00745079"/>
    <w:rsid w:val="007450EC"/>
    <w:rsid w:val="007453A0"/>
    <w:rsid w:val="007453A7"/>
    <w:rsid w:val="00745540"/>
    <w:rsid w:val="0074561F"/>
    <w:rsid w:val="007456B4"/>
    <w:rsid w:val="00745754"/>
    <w:rsid w:val="00745838"/>
    <w:rsid w:val="0074584E"/>
    <w:rsid w:val="007458C4"/>
    <w:rsid w:val="00745A07"/>
    <w:rsid w:val="00745BAB"/>
    <w:rsid w:val="00745BE6"/>
    <w:rsid w:val="00745E57"/>
    <w:rsid w:val="00745EE8"/>
    <w:rsid w:val="00745F8D"/>
    <w:rsid w:val="0074606E"/>
    <w:rsid w:val="00746145"/>
    <w:rsid w:val="007462D4"/>
    <w:rsid w:val="0074634C"/>
    <w:rsid w:val="007466F3"/>
    <w:rsid w:val="00746797"/>
    <w:rsid w:val="0074689C"/>
    <w:rsid w:val="00746978"/>
    <w:rsid w:val="0074697D"/>
    <w:rsid w:val="007469F8"/>
    <w:rsid w:val="00746A62"/>
    <w:rsid w:val="00746AA7"/>
    <w:rsid w:val="00746AE5"/>
    <w:rsid w:val="00746C17"/>
    <w:rsid w:val="00746C37"/>
    <w:rsid w:val="00746F50"/>
    <w:rsid w:val="00746F9D"/>
    <w:rsid w:val="00746FE2"/>
    <w:rsid w:val="00747030"/>
    <w:rsid w:val="007470D1"/>
    <w:rsid w:val="007471BE"/>
    <w:rsid w:val="00747226"/>
    <w:rsid w:val="007472B3"/>
    <w:rsid w:val="00747465"/>
    <w:rsid w:val="00747489"/>
    <w:rsid w:val="00747681"/>
    <w:rsid w:val="00747759"/>
    <w:rsid w:val="00747792"/>
    <w:rsid w:val="007478A6"/>
    <w:rsid w:val="00747A24"/>
    <w:rsid w:val="00747C0C"/>
    <w:rsid w:val="00747D03"/>
    <w:rsid w:val="00747E35"/>
    <w:rsid w:val="00747FEA"/>
    <w:rsid w:val="00750049"/>
    <w:rsid w:val="007502B0"/>
    <w:rsid w:val="00750344"/>
    <w:rsid w:val="00750474"/>
    <w:rsid w:val="007506F5"/>
    <w:rsid w:val="0075076E"/>
    <w:rsid w:val="007507AB"/>
    <w:rsid w:val="00750C86"/>
    <w:rsid w:val="00751266"/>
    <w:rsid w:val="00751361"/>
    <w:rsid w:val="00751692"/>
    <w:rsid w:val="0075169C"/>
    <w:rsid w:val="007517BB"/>
    <w:rsid w:val="007517F8"/>
    <w:rsid w:val="007518C7"/>
    <w:rsid w:val="00751A98"/>
    <w:rsid w:val="00751C17"/>
    <w:rsid w:val="00751E7D"/>
    <w:rsid w:val="00751E9C"/>
    <w:rsid w:val="00752089"/>
    <w:rsid w:val="007520B3"/>
    <w:rsid w:val="007520CA"/>
    <w:rsid w:val="00752259"/>
    <w:rsid w:val="007522D5"/>
    <w:rsid w:val="007522EF"/>
    <w:rsid w:val="00752307"/>
    <w:rsid w:val="00752364"/>
    <w:rsid w:val="00752390"/>
    <w:rsid w:val="00752489"/>
    <w:rsid w:val="00752739"/>
    <w:rsid w:val="00752892"/>
    <w:rsid w:val="00752A04"/>
    <w:rsid w:val="00752C30"/>
    <w:rsid w:val="00752DD3"/>
    <w:rsid w:val="00752DD6"/>
    <w:rsid w:val="00752DED"/>
    <w:rsid w:val="00752E40"/>
    <w:rsid w:val="00752E50"/>
    <w:rsid w:val="0075302D"/>
    <w:rsid w:val="00753217"/>
    <w:rsid w:val="0075329B"/>
    <w:rsid w:val="007532A9"/>
    <w:rsid w:val="007532AF"/>
    <w:rsid w:val="007532BB"/>
    <w:rsid w:val="007532D1"/>
    <w:rsid w:val="00753366"/>
    <w:rsid w:val="0075337B"/>
    <w:rsid w:val="00753399"/>
    <w:rsid w:val="00753416"/>
    <w:rsid w:val="00753491"/>
    <w:rsid w:val="007534FB"/>
    <w:rsid w:val="0075365A"/>
    <w:rsid w:val="00753679"/>
    <w:rsid w:val="0075389A"/>
    <w:rsid w:val="007538BF"/>
    <w:rsid w:val="0075398E"/>
    <w:rsid w:val="007539D0"/>
    <w:rsid w:val="00753A62"/>
    <w:rsid w:val="00753B18"/>
    <w:rsid w:val="00753B2B"/>
    <w:rsid w:val="00753B2D"/>
    <w:rsid w:val="00753BD8"/>
    <w:rsid w:val="00753E38"/>
    <w:rsid w:val="00753E52"/>
    <w:rsid w:val="00753F30"/>
    <w:rsid w:val="0075417A"/>
    <w:rsid w:val="007541E2"/>
    <w:rsid w:val="0075421E"/>
    <w:rsid w:val="00754419"/>
    <w:rsid w:val="007546A0"/>
    <w:rsid w:val="007546BA"/>
    <w:rsid w:val="007546C9"/>
    <w:rsid w:val="007546F4"/>
    <w:rsid w:val="00754717"/>
    <w:rsid w:val="007547BF"/>
    <w:rsid w:val="00754870"/>
    <w:rsid w:val="00754969"/>
    <w:rsid w:val="007549B8"/>
    <w:rsid w:val="00754A11"/>
    <w:rsid w:val="00754E4C"/>
    <w:rsid w:val="00754EC8"/>
    <w:rsid w:val="0075512B"/>
    <w:rsid w:val="0075524C"/>
    <w:rsid w:val="00755299"/>
    <w:rsid w:val="007552CD"/>
    <w:rsid w:val="007553FF"/>
    <w:rsid w:val="00755450"/>
    <w:rsid w:val="007555A3"/>
    <w:rsid w:val="007556C0"/>
    <w:rsid w:val="00755855"/>
    <w:rsid w:val="007559A5"/>
    <w:rsid w:val="00755C81"/>
    <w:rsid w:val="00755F5F"/>
    <w:rsid w:val="0075607B"/>
    <w:rsid w:val="007560EF"/>
    <w:rsid w:val="0075619F"/>
    <w:rsid w:val="00756215"/>
    <w:rsid w:val="0075622A"/>
    <w:rsid w:val="007563A9"/>
    <w:rsid w:val="007564F4"/>
    <w:rsid w:val="00756800"/>
    <w:rsid w:val="00756868"/>
    <w:rsid w:val="00756AB7"/>
    <w:rsid w:val="00756B09"/>
    <w:rsid w:val="00756BC3"/>
    <w:rsid w:val="00756CF4"/>
    <w:rsid w:val="00756DD9"/>
    <w:rsid w:val="00756F7E"/>
    <w:rsid w:val="00756FD3"/>
    <w:rsid w:val="00757304"/>
    <w:rsid w:val="0075731A"/>
    <w:rsid w:val="0075741E"/>
    <w:rsid w:val="007579D0"/>
    <w:rsid w:val="00757A79"/>
    <w:rsid w:val="00757A86"/>
    <w:rsid w:val="00757AB1"/>
    <w:rsid w:val="00757B0B"/>
    <w:rsid w:val="00757B5D"/>
    <w:rsid w:val="00757B76"/>
    <w:rsid w:val="00757C04"/>
    <w:rsid w:val="00757ED8"/>
    <w:rsid w:val="00757FC4"/>
    <w:rsid w:val="00757FCD"/>
    <w:rsid w:val="00760105"/>
    <w:rsid w:val="0076012E"/>
    <w:rsid w:val="0076037F"/>
    <w:rsid w:val="00760392"/>
    <w:rsid w:val="007603F7"/>
    <w:rsid w:val="0076093A"/>
    <w:rsid w:val="00760A84"/>
    <w:rsid w:val="00760ADD"/>
    <w:rsid w:val="00760C4F"/>
    <w:rsid w:val="00760C53"/>
    <w:rsid w:val="00760F6E"/>
    <w:rsid w:val="00760FC0"/>
    <w:rsid w:val="00760FE8"/>
    <w:rsid w:val="00761309"/>
    <w:rsid w:val="00761380"/>
    <w:rsid w:val="00761392"/>
    <w:rsid w:val="007614B7"/>
    <w:rsid w:val="007614ED"/>
    <w:rsid w:val="00761569"/>
    <w:rsid w:val="007616A6"/>
    <w:rsid w:val="00761833"/>
    <w:rsid w:val="00761AC8"/>
    <w:rsid w:val="00761AEB"/>
    <w:rsid w:val="00761C47"/>
    <w:rsid w:val="00761D2E"/>
    <w:rsid w:val="00761D63"/>
    <w:rsid w:val="00761E46"/>
    <w:rsid w:val="00761ECC"/>
    <w:rsid w:val="00761F53"/>
    <w:rsid w:val="00761F8D"/>
    <w:rsid w:val="00761FE2"/>
    <w:rsid w:val="00761FF4"/>
    <w:rsid w:val="00762015"/>
    <w:rsid w:val="007622C2"/>
    <w:rsid w:val="0076233F"/>
    <w:rsid w:val="00762390"/>
    <w:rsid w:val="00762474"/>
    <w:rsid w:val="007624A0"/>
    <w:rsid w:val="00762591"/>
    <w:rsid w:val="007627B8"/>
    <w:rsid w:val="00762847"/>
    <w:rsid w:val="0076290F"/>
    <w:rsid w:val="00762937"/>
    <w:rsid w:val="00762979"/>
    <w:rsid w:val="0076299E"/>
    <w:rsid w:val="007629E8"/>
    <w:rsid w:val="00762AEF"/>
    <w:rsid w:val="00762BE1"/>
    <w:rsid w:val="00762C2B"/>
    <w:rsid w:val="00762CDD"/>
    <w:rsid w:val="00762D2B"/>
    <w:rsid w:val="00762D98"/>
    <w:rsid w:val="00762DBA"/>
    <w:rsid w:val="00762DF7"/>
    <w:rsid w:val="00762F87"/>
    <w:rsid w:val="00762FC7"/>
    <w:rsid w:val="007632BE"/>
    <w:rsid w:val="00763514"/>
    <w:rsid w:val="007635E1"/>
    <w:rsid w:val="00763720"/>
    <w:rsid w:val="007637BE"/>
    <w:rsid w:val="0076394D"/>
    <w:rsid w:val="007639D3"/>
    <w:rsid w:val="00763AB3"/>
    <w:rsid w:val="00763B0A"/>
    <w:rsid w:val="00763B1A"/>
    <w:rsid w:val="00763B5A"/>
    <w:rsid w:val="00763C23"/>
    <w:rsid w:val="00763D1D"/>
    <w:rsid w:val="00763D8C"/>
    <w:rsid w:val="00763E42"/>
    <w:rsid w:val="00763F46"/>
    <w:rsid w:val="00764127"/>
    <w:rsid w:val="007641A9"/>
    <w:rsid w:val="0076424F"/>
    <w:rsid w:val="00764273"/>
    <w:rsid w:val="007644BC"/>
    <w:rsid w:val="0076464F"/>
    <w:rsid w:val="0076486C"/>
    <w:rsid w:val="00764AFF"/>
    <w:rsid w:val="00764BBD"/>
    <w:rsid w:val="00764DCA"/>
    <w:rsid w:val="00764E1A"/>
    <w:rsid w:val="00764F04"/>
    <w:rsid w:val="0076507A"/>
    <w:rsid w:val="00765152"/>
    <w:rsid w:val="0076519C"/>
    <w:rsid w:val="007651BE"/>
    <w:rsid w:val="007651DC"/>
    <w:rsid w:val="00765217"/>
    <w:rsid w:val="0076526C"/>
    <w:rsid w:val="00765299"/>
    <w:rsid w:val="0076530F"/>
    <w:rsid w:val="00765354"/>
    <w:rsid w:val="00765370"/>
    <w:rsid w:val="0076542B"/>
    <w:rsid w:val="00765548"/>
    <w:rsid w:val="007655ED"/>
    <w:rsid w:val="0076571E"/>
    <w:rsid w:val="007657D7"/>
    <w:rsid w:val="00765B73"/>
    <w:rsid w:val="00765BA5"/>
    <w:rsid w:val="00765BE3"/>
    <w:rsid w:val="00765C9B"/>
    <w:rsid w:val="00765D9F"/>
    <w:rsid w:val="00765E7A"/>
    <w:rsid w:val="00765E8B"/>
    <w:rsid w:val="00765F4B"/>
    <w:rsid w:val="00765F8A"/>
    <w:rsid w:val="00765FEC"/>
    <w:rsid w:val="007661D7"/>
    <w:rsid w:val="0076622C"/>
    <w:rsid w:val="007664B1"/>
    <w:rsid w:val="00766562"/>
    <w:rsid w:val="0076657D"/>
    <w:rsid w:val="00766597"/>
    <w:rsid w:val="007666CA"/>
    <w:rsid w:val="00766744"/>
    <w:rsid w:val="007667B8"/>
    <w:rsid w:val="007667C7"/>
    <w:rsid w:val="00766888"/>
    <w:rsid w:val="00766A6B"/>
    <w:rsid w:val="00766AEC"/>
    <w:rsid w:val="00766D18"/>
    <w:rsid w:val="00766D42"/>
    <w:rsid w:val="00766D8D"/>
    <w:rsid w:val="00766EDB"/>
    <w:rsid w:val="00766F68"/>
    <w:rsid w:val="0076703F"/>
    <w:rsid w:val="007671B1"/>
    <w:rsid w:val="00767221"/>
    <w:rsid w:val="00767336"/>
    <w:rsid w:val="007673B8"/>
    <w:rsid w:val="0076760C"/>
    <w:rsid w:val="00767621"/>
    <w:rsid w:val="00767623"/>
    <w:rsid w:val="00767684"/>
    <w:rsid w:val="0076776C"/>
    <w:rsid w:val="007678AD"/>
    <w:rsid w:val="00767945"/>
    <w:rsid w:val="00767B81"/>
    <w:rsid w:val="00767C2D"/>
    <w:rsid w:val="00767CEF"/>
    <w:rsid w:val="00767DD7"/>
    <w:rsid w:val="00767DEB"/>
    <w:rsid w:val="00770581"/>
    <w:rsid w:val="0077068D"/>
    <w:rsid w:val="007706D7"/>
    <w:rsid w:val="007707A8"/>
    <w:rsid w:val="00770868"/>
    <w:rsid w:val="00770A95"/>
    <w:rsid w:val="00770C08"/>
    <w:rsid w:val="00770C74"/>
    <w:rsid w:val="00771061"/>
    <w:rsid w:val="0077113B"/>
    <w:rsid w:val="0077117D"/>
    <w:rsid w:val="0077140B"/>
    <w:rsid w:val="0077145F"/>
    <w:rsid w:val="00771470"/>
    <w:rsid w:val="007714EF"/>
    <w:rsid w:val="0077152E"/>
    <w:rsid w:val="00771641"/>
    <w:rsid w:val="007716EA"/>
    <w:rsid w:val="007716EC"/>
    <w:rsid w:val="0077171B"/>
    <w:rsid w:val="007718C0"/>
    <w:rsid w:val="00771946"/>
    <w:rsid w:val="00771C98"/>
    <w:rsid w:val="00771E01"/>
    <w:rsid w:val="00772112"/>
    <w:rsid w:val="007721DB"/>
    <w:rsid w:val="00772439"/>
    <w:rsid w:val="0077270F"/>
    <w:rsid w:val="00772852"/>
    <w:rsid w:val="00772864"/>
    <w:rsid w:val="00772A43"/>
    <w:rsid w:val="00772AB7"/>
    <w:rsid w:val="00772C24"/>
    <w:rsid w:val="00772D49"/>
    <w:rsid w:val="00772DDE"/>
    <w:rsid w:val="00772E84"/>
    <w:rsid w:val="0077306C"/>
    <w:rsid w:val="007730D6"/>
    <w:rsid w:val="00773139"/>
    <w:rsid w:val="00773253"/>
    <w:rsid w:val="00773254"/>
    <w:rsid w:val="00773464"/>
    <w:rsid w:val="007734B1"/>
    <w:rsid w:val="0077357A"/>
    <w:rsid w:val="0077379D"/>
    <w:rsid w:val="007737AB"/>
    <w:rsid w:val="007737CE"/>
    <w:rsid w:val="00773E12"/>
    <w:rsid w:val="00773EC9"/>
    <w:rsid w:val="00773FE2"/>
    <w:rsid w:val="00774054"/>
    <w:rsid w:val="007740C6"/>
    <w:rsid w:val="0077417B"/>
    <w:rsid w:val="007741CB"/>
    <w:rsid w:val="0077457D"/>
    <w:rsid w:val="00774769"/>
    <w:rsid w:val="007747D9"/>
    <w:rsid w:val="00774A55"/>
    <w:rsid w:val="00774CE6"/>
    <w:rsid w:val="007750CD"/>
    <w:rsid w:val="0077531C"/>
    <w:rsid w:val="007753E0"/>
    <w:rsid w:val="0077545F"/>
    <w:rsid w:val="00775464"/>
    <w:rsid w:val="007754A5"/>
    <w:rsid w:val="00775506"/>
    <w:rsid w:val="0077557B"/>
    <w:rsid w:val="00775599"/>
    <w:rsid w:val="00775696"/>
    <w:rsid w:val="0077578A"/>
    <w:rsid w:val="007757A2"/>
    <w:rsid w:val="007757B4"/>
    <w:rsid w:val="00775954"/>
    <w:rsid w:val="0077597A"/>
    <w:rsid w:val="00775A47"/>
    <w:rsid w:val="00775B5B"/>
    <w:rsid w:val="00775B64"/>
    <w:rsid w:val="00775C4C"/>
    <w:rsid w:val="00775CDB"/>
    <w:rsid w:val="00775D8C"/>
    <w:rsid w:val="00775E82"/>
    <w:rsid w:val="00775F43"/>
    <w:rsid w:val="00776094"/>
    <w:rsid w:val="00776157"/>
    <w:rsid w:val="0077644E"/>
    <w:rsid w:val="007766F6"/>
    <w:rsid w:val="0077671C"/>
    <w:rsid w:val="00776747"/>
    <w:rsid w:val="00776833"/>
    <w:rsid w:val="00776856"/>
    <w:rsid w:val="00776860"/>
    <w:rsid w:val="0077694F"/>
    <w:rsid w:val="007769A8"/>
    <w:rsid w:val="00776ACE"/>
    <w:rsid w:val="00776BDC"/>
    <w:rsid w:val="00776E86"/>
    <w:rsid w:val="00776EDB"/>
    <w:rsid w:val="00776FD6"/>
    <w:rsid w:val="00776FF0"/>
    <w:rsid w:val="00777029"/>
    <w:rsid w:val="007770DB"/>
    <w:rsid w:val="007771C4"/>
    <w:rsid w:val="00777397"/>
    <w:rsid w:val="00777483"/>
    <w:rsid w:val="007774FF"/>
    <w:rsid w:val="0077765C"/>
    <w:rsid w:val="007776E7"/>
    <w:rsid w:val="007777ED"/>
    <w:rsid w:val="00777B07"/>
    <w:rsid w:val="00777B69"/>
    <w:rsid w:val="00777CE1"/>
    <w:rsid w:val="00777D28"/>
    <w:rsid w:val="00777D67"/>
    <w:rsid w:val="00777E38"/>
    <w:rsid w:val="00777F20"/>
    <w:rsid w:val="00777FBE"/>
    <w:rsid w:val="007801C9"/>
    <w:rsid w:val="007802E6"/>
    <w:rsid w:val="007802FD"/>
    <w:rsid w:val="00780317"/>
    <w:rsid w:val="0078031C"/>
    <w:rsid w:val="007804AB"/>
    <w:rsid w:val="007805F2"/>
    <w:rsid w:val="007806F3"/>
    <w:rsid w:val="00780793"/>
    <w:rsid w:val="00780841"/>
    <w:rsid w:val="00780963"/>
    <w:rsid w:val="00780A85"/>
    <w:rsid w:val="00780AB7"/>
    <w:rsid w:val="00780C8A"/>
    <w:rsid w:val="00780DF6"/>
    <w:rsid w:val="00780E26"/>
    <w:rsid w:val="00780E8D"/>
    <w:rsid w:val="00780F4F"/>
    <w:rsid w:val="00780FAC"/>
    <w:rsid w:val="00781156"/>
    <w:rsid w:val="0078123D"/>
    <w:rsid w:val="00781326"/>
    <w:rsid w:val="0078144C"/>
    <w:rsid w:val="007814AA"/>
    <w:rsid w:val="007814E7"/>
    <w:rsid w:val="00781571"/>
    <w:rsid w:val="007817C5"/>
    <w:rsid w:val="00781944"/>
    <w:rsid w:val="007819BE"/>
    <w:rsid w:val="00781B92"/>
    <w:rsid w:val="00781C58"/>
    <w:rsid w:val="00781FED"/>
    <w:rsid w:val="00782015"/>
    <w:rsid w:val="00782095"/>
    <w:rsid w:val="00782493"/>
    <w:rsid w:val="007825D7"/>
    <w:rsid w:val="0078263C"/>
    <w:rsid w:val="00782685"/>
    <w:rsid w:val="00782B44"/>
    <w:rsid w:val="00782CB3"/>
    <w:rsid w:val="00782E7F"/>
    <w:rsid w:val="00782EE2"/>
    <w:rsid w:val="00782EEA"/>
    <w:rsid w:val="00782F2B"/>
    <w:rsid w:val="007832B3"/>
    <w:rsid w:val="007832CD"/>
    <w:rsid w:val="0078334B"/>
    <w:rsid w:val="0078338A"/>
    <w:rsid w:val="00783474"/>
    <w:rsid w:val="0078363D"/>
    <w:rsid w:val="00783726"/>
    <w:rsid w:val="00783958"/>
    <w:rsid w:val="00783B6B"/>
    <w:rsid w:val="00783B9C"/>
    <w:rsid w:val="00783CBF"/>
    <w:rsid w:val="00783E16"/>
    <w:rsid w:val="00783E9C"/>
    <w:rsid w:val="007840D3"/>
    <w:rsid w:val="00784138"/>
    <w:rsid w:val="00784224"/>
    <w:rsid w:val="0078425E"/>
    <w:rsid w:val="007842B1"/>
    <w:rsid w:val="007843D3"/>
    <w:rsid w:val="0078449D"/>
    <w:rsid w:val="00784570"/>
    <w:rsid w:val="007845CA"/>
    <w:rsid w:val="00784614"/>
    <w:rsid w:val="00784624"/>
    <w:rsid w:val="007847B8"/>
    <w:rsid w:val="00784814"/>
    <w:rsid w:val="0078488D"/>
    <w:rsid w:val="007849B4"/>
    <w:rsid w:val="00784A89"/>
    <w:rsid w:val="00784D74"/>
    <w:rsid w:val="00784F1E"/>
    <w:rsid w:val="007850AB"/>
    <w:rsid w:val="007850B1"/>
    <w:rsid w:val="007853B7"/>
    <w:rsid w:val="00785730"/>
    <w:rsid w:val="007857E5"/>
    <w:rsid w:val="007858C1"/>
    <w:rsid w:val="00785CB3"/>
    <w:rsid w:val="00785E4E"/>
    <w:rsid w:val="00785FE8"/>
    <w:rsid w:val="00786024"/>
    <w:rsid w:val="00786059"/>
    <w:rsid w:val="00786163"/>
    <w:rsid w:val="007863F7"/>
    <w:rsid w:val="0078645D"/>
    <w:rsid w:val="007865C6"/>
    <w:rsid w:val="00786717"/>
    <w:rsid w:val="007869FA"/>
    <w:rsid w:val="00786AE6"/>
    <w:rsid w:val="00786B00"/>
    <w:rsid w:val="00786C14"/>
    <w:rsid w:val="00786C33"/>
    <w:rsid w:val="00786C4E"/>
    <w:rsid w:val="00786D19"/>
    <w:rsid w:val="00786DEC"/>
    <w:rsid w:val="00786E1B"/>
    <w:rsid w:val="00786E24"/>
    <w:rsid w:val="00786F1F"/>
    <w:rsid w:val="00787107"/>
    <w:rsid w:val="0078725E"/>
    <w:rsid w:val="007872B4"/>
    <w:rsid w:val="007872E6"/>
    <w:rsid w:val="007875A9"/>
    <w:rsid w:val="007876FA"/>
    <w:rsid w:val="00787783"/>
    <w:rsid w:val="00787829"/>
    <w:rsid w:val="00787931"/>
    <w:rsid w:val="007879AA"/>
    <w:rsid w:val="00787B3A"/>
    <w:rsid w:val="00787B57"/>
    <w:rsid w:val="00787C8D"/>
    <w:rsid w:val="00787C8E"/>
    <w:rsid w:val="00787CA8"/>
    <w:rsid w:val="00787D1E"/>
    <w:rsid w:val="00787D4E"/>
    <w:rsid w:val="00787DBF"/>
    <w:rsid w:val="00787E00"/>
    <w:rsid w:val="00787E0B"/>
    <w:rsid w:val="00787EC5"/>
    <w:rsid w:val="00787F01"/>
    <w:rsid w:val="00787F56"/>
    <w:rsid w:val="00787FA7"/>
    <w:rsid w:val="007901B5"/>
    <w:rsid w:val="00790392"/>
    <w:rsid w:val="007904FB"/>
    <w:rsid w:val="00790593"/>
    <w:rsid w:val="007905BF"/>
    <w:rsid w:val="00790633"/>
    <w:rsid w:val="007906AE"/>
    <w:rsid w:val="007909F7"/>
    <w:rsid w:val="00790A88"/>
    <w:rsid w:val="00790B95"/>
    <w:rsid w:val="00790BB7"/>
    <w:rsid w:val="00790D69"/>
    <w:rsid w:val="00790D83"/>
    <w:rsid w:val="00790E83"/>
    <w:rsid w:val="007911CE"/>
    <w:rsid w:val="007912FD"/>
    <w:rsid w:val="00791312"/>
    <w:rsid w:val="00791456"/>
    <w:rsid w:val="007914CC"/>
    <w:rsid w:val="00791744"/>
    <w:rsid w:val="0079193F"/>
    <w:rsid w:val="00791962"/>
    <w:rsid w:val="00791DBE"/>
    <w:rsid w:val="00791DD5"/>
    <w:rsid w:val="00791E16"/>
    <w:rsid w:val="00791E6A"/>
    <w:rsid w:val="00791EF5"/>
    <w:rsid w:val="007920B7"/>
    <w:rsid w:val="007920D6"/>
    <w:rsid w:val="00792106"/>
    <w:rsid w:val="007922F2"/>
    <w:rsid w:val="00792401"/>
    <w:rsid w:val="00792445"/>
    <w:rsid w:val="007924E0"/>
    <w:rsid w:val="007924E3"/>
    <w:rsid w:val="00792586"/>
    <w:rsid w:val="007926A1"/>
    <w:rsid w:val="007926CC"/>
    <w:rsid w:val="00792784"/>
    <w:rsid w:val="00792C68"/>
    <w:rsid w:val="00792D44"/>
    <w:rsid w:val="00792E6E"/>
    <w:rsid w:val="007930B2"/>
    <w:rsid w:val="00793185"/>
    <w:rsid w:val="0079322B"/>
    <w:rsid w:val="0079329C"/>
    <w:rsid w:val="00793302"/>
    <w:rsid w:val="00793307"/>
    <w:rsid w:val="00793337"/>
    <w:rsid w:val="007937D3"/>
    <w:rsid w:val="0079380D"/>
    <w:rsid w:val="00793970"/>
    <w:rsid w:val="00793BA0"/>
    <w:rsid w:val="00793DCE"/>
    <w:rsid w:val="00793E06"/>
    <w:rsid w:val="00793E81"/>
    <w:rsid w:val="00793EF0"/>
    <w:rsid w:val="0079408C"/>
    <w:rsid w:val="00794184"/>
    <w:rsid w:val="00794187"/>
    <w:rsid w:val="00794229"/>
    <w:rsid w:val="00794345"/>
    <w:rsid w:val="00794594"/>
    <w:rsid w:val="007949FE"/>
    <w:rsid w:val="00794B62"/>
    <w:rsid w:val="00794B9C"/>
    <w:rsid w:val="00794BB1"/>
    <w:rsid w:val="00794BE9"/>
    <w:rsid w:val="00794C2E"/>
    <w:rsid w:val="00794DB5"/>
    <w:rsid w:val="00794FCF"/>
    <w:rsid w:val="00795258"/>
    <w:rsid w:val="0079547F"/>
    <w:rsid w:val="007954EC"/>
    <w:rsid w:val="0079550A"/>
    <w:rsid w:val="007957AD"/>
    <w:rsid w:val="007957AF"/>
    <w:rsid w:val="007957F2"/>
    <w:rsid w:val="007958B3"/>
    <w:rsid w:val="00795937"/>
    <w:rsid w:val="00795A84"/>
    <w:rsid w:val="00795AC9"/>
    <w:rsid w:val="00795AED"/>
    <w:rsid w:val="00795D9C"/>
    <w:rsid w:val="00795F65"/>
    <w:rsid w:val="00795FEB"/>
    <w:rsid w:val="00796195"/>
    <w:rsid w:val="0079624B"/>
    <w:rsid w:val="00796313"/>
    <w:rsid w:val="007963EF"/>
    <w:rsid w:val="0079653A"/>
    <w:rsid w:val="0079666D"/>
    <w:rsid w:val="007967FD"/>
    <w:rsid w:val="0079692A"/>
    <w:rsid w:val="00796B02"/>
    <w:rsid w:val="00796E62"/>
    <w:rsid w:val="00796E65"/>
    <w:rsid w:val="007971B4"/>
    <w:rsid w:val="0079721C"/>
    <w:rsid w:val="00797283"/>
    <w:rsid w:val="007973A8"/>
    <w:rsid w:val="007973F4"/>
    <w:rsid w:val="0079752C"/>
    <w:rsid w:val="0079753B"/>
    <w:rsid w:val="00797589"/>
    <w:rsid w:val="0079758A"/>
    <w:rsid w:val="007976A1"/>
    <w:rsid w:val="0079774C"/>
    <w:rsid w:val="007977DE"/>
    <w:rsid w:val="00797845"/>
    <w:rsid w:val="007978BB"/>
    <w:rsid w:val="007978D4"/>
    <w:rsid w:val="007979DF"/>
    <w:rsid w:val="00797DF6"/>
    <w:rsid w:val="00797F79"/>
    <w:rsid w:val="00797FCE"/>
    <w:rsid w:val="007A0076"/>
    <w:rsid w:val="007A01FA"/>
    <w:rsid w:val="007A0216"/>
    <w:rsid w:val="007A032F"/>
    <w:rsid w:val="007A0405"/>
    <w:rsid w:val="007A04D2"/>
    <w:rsid w:val="007A052A"/>
    <w:rsid w:val="007A0530"/>
    <w:rsid w:val="007A0744"/>
    <w:rsid w:val="007A080A"/>
    <w:rsid w:val="007A09E0"/>
    <w:rsid w:val="007A0BC9"/>
    <w:rsid w:val="007A0D69"/>
    <w:rsid w:val="007A0DBB"/>
    <w:rsid w:val="007A0E30"/>
    <w:rsid w:val="007A0F5F"/>
    <w:rsid w:val="007A0FE2"/>
    <w:rsid w:val="007A102E"/>
    <w:rsid w:val="007A1151"/>
    <w:rsid w:val="007A11DC"/>
    <w:rsid w:val="007A1508"/>
    <w:rsid w:val="007A150B"/>
    <w:rsid w:val="007A151B"/>
    <w:rsid w:val="007A1586"/>
    <w:rsid w:val="007A15EF"/>
    <w:rsid w:val="007A17FD"/>
    <w:rsid w:val="007A18C1"/>
    <w:rsid w:val="007A1B9D"/>
    <w:rsid w:val="007A1CB1"/>
    <w:rsid w:val="007A1E3E"/>
    <w:rsid w:val="007A1E91"/>
    <w:rsid w:val="007A1EB7"/>
    <w:rsid w:val="007A1F30"/>
    <w:rsid w:val="007A1F36"/>
    <w:rsid w:val="007A1FDF"/>
    <w:rsid w:val="007A20D6"/>
    <w:rsid w:val="007A21A7"/>
    <w:rsid w:val="007A226D"/>
    <w:rsid w:val="007A26F4"/>
    <w:rsid w:val="007A275F"/>
    <w:rsid w:val="007A29E8"/>
    <w:rsid w:val="007A2A3A"/>
    <w:rsid w:val="007A2BAE"/>
    <w:rsid w:val="007A2BCE"/>
    <w:rsid w:val="007A2BE8"/>
    <w:rsid w:val="007A2BFE"/>
    <w:rsid w:val="007A2CA5"/>
    <w:rsid w:val="007A3071"/>
    <w:rsid w:val="007A3079"/>
    <w:rsid w:val="007A3207"/>
    <w:rsid w:val="007A329C"/>
    <w:rsid w:val="007A361B"/>
    <w:rsid w:val="007A37AC"/>
    <w:rsid w:val="007A37DB"/>
    <w:rsid w:val="007A38F0"/>
    <w:rsid w:val="007A3901"/>
    <w:rsid w:val="007A3A58"/>
    <w:rsid w:val="007A3B85"/>
    <w:rsid w:val="007A3BB8"/>
    <w:rsid w:val="007A3D71"/>
    <w:rsid w:val="007A3E63"/>
    <w:rsid w:val="007A4151"/>
    <w:rsid w:val="007A432F"/>
    <w:rsid w:val="007A457D"/>
    <w:rsid w:val="007A47F9"/>
    <w:rsid w:val="007A482F"/>
    <w:rsid w:val="007A4859"/>
    <w:rsid w:val="007A4899"/>
    <w:rsid w:val="007A4A2A"/>
    <w:rsid w:val="007A4BA3"/>
    <w:rsid w:val="007A4F8F"/>
    <w:rsid w:val="007A5014"/>
    <w:rsid w:val="007A51D6"/>
    <w:rsid w:val="007A52BF"/>
    <w:rsid w:val="007A5321"/>
    <w:rsid w:val="007A5544"/>
    <w:rsid w:val="007A565C"/>
    <w:rsid w:val="007A58E3"/>
    <w:rsid w:val="007A58E7"/>
    <w:rsid w:val="007A5992"/>
    <w:rsid w:val="007A5B06"/>
    <w:rsid w:val="007A5B2C"/>
    <w:rsid w:val="007A5B4E"/>
    <w:rsid w:val="007A5B78"/>
    <w:rsid w:val="007A5C27"/>
    <w:rsid w:val="007A5D17"/>
    <w:rsid w:val="007A5DAA"/>
    <w:rsid w:val="007A5E80"/>
    <w:rsid w:val="007A6099"/>
    <w:rsid w:val="007A613E"/>
    <w:rsid w:val="007A643C"/>
    <w:rsid w:val="007A651F"/>
    <w:rsid w:val="007A65C3"/>
    <w:rsid w:val="007A6671"/>
    <w:rsid w:val="007A669C"/>
    <w:rsid w:val="007A6788"/>
    <w:rsid w:val="007A6872"/>
    <w:rsid w:val="007A698C"/>
    <w:rsid w:val="007A69C8"/>
    <w:rsid w:val="007A69FF"/>
    <w:rsid w:val="007A6A85"/>
    <w:rsid w:val="007A6AD4"/>
    <w:rsid w:val="007A6B0D"/>
    <w:rsid w:val="007A6BBF"/>
    <w:rsid w:val="007A6BCA"/>
    <w:rsid w:val="007A6F49"/>
    <w:rsid w:val="007A706A"/>
    <w:rsid w:val="007A70BA"/>
    <w:rsid w:val="007A70D3"/>
    <w:rsid w:val="007A7162"/>
    <w:rsid w:val="007A71AE"/>
    <w:rsid w:val="007A734D"/>
    <w:rsid w:val="007A7483"/>
    <w:rsid w:val="007A75BC"/>
    <w:rsid w:val="007A75C6"/>
    <w:rsid w:val="007A7654"/>
    <w:rsid w:val="007A7887"/>
    <w:rsid w:val="007A7986"/>
    <w:rsid w:val="007A7ADF"/>
    <w:rsid w:val="007A7B77"/>
    <w:rsid w:val="007A7B7F"/>
    <w:rsid w:val="007A7B9A"/>
    <w:rsid w:val="007A7C7B"/>
    <w:rsid w:val="007A7D3C"/>
    <w:rsid w:val="007A7F3D"/>
    <w:rsid w:val="007B0124"/>
    <w:rsid w:val="007B0170"/>
    <w:rsid w:val="007B0238"/>
    <w:rsid w:val="007B02BC"/>
    <w:rsid w:val="007B03C9"/>
    <w:rsid w:val="007B04DF"/>
    <w:rsid w:val="007B04E7"/>
    <w:rsid w:val="007B05A6"/>
    <w:rsid w:val="007B05DA"/>
    <w:rsid w:val="007B0666"/>
    <w:rsid w:val="007B068F"/>
    <w:rsid w:val="007B06B6"/>
    <w:rsid w:val="007B0AC0"/>
    <w:rsid w:val="007B0B3F"/>
    <w:rsid w:val="007B0E98"/>
    <w:rsid w:val="007B0FE8"/>
    <w:rsid w:val="007B1180"/>
    <w:rsid w:val="007B11B4"/>
    <w:rsid w:val="007B144C"/>
    <w:rsid w:val="007B15C1"/>
    <w:rsid w:val="007B1809"/>
    <w:rsid w:val="007B18DC"/>
    <w:rsid w:val="007B1AAA"/>
    <w:rsid w:val="007B1B30"/>
    <w:rsid w:val="007B1B70"/>
    <w:rsid w:val="007B1CD6"/>
    <w:rsid w:val="007B1D7B"/>
    <w:rsid w:val="007B1ED2"/>
    <w:rsid w:val="007B204E"/>
    <w:rsid w:val="007B20AE"/>
    <w:rsid w:val="007B23A5"/>
    <w:rsid w:val="007B2517"/>
    <w:rsid w:val="007B2664"/>
    <w:rsid w:val="007B272D"/>
    <w:rsid w:val="007B2825"/>
    <w:rsid w:val="007B28DD"/>
    <w:rsid w:val="007B2919"/>
    <w:rsid w:val="007B2980"/>
    <w:rsid w:val="007B29AE"/>
    <w:rsid w:val="007B29CA"/>
    <w:rsid w:val="007B2A6E"/>
    <w:rsid w:val="007B2CEA"/>
    <w:rsid w:val="007B2D6B"/>
    <w:rsid w:val="007B2EFE"/>
    <w:rsid w:val="007B2F19"/>
    <w:rsid w:val="007B310A"/>
    <w:rsid w:val="007B3153"/>
    <w:rsid w:val="007B31C2"/>
    <w:rsid w:val="007B3272"/>
    <w:rsid w:val="007B3278"/>
    <w:rsid w:val="007B3698"/>
    <w:rsid w:val="007B3704"/>
    <w:rsid w:val="007B38AC"/>
    <w:rsid w:val="007B39A1"/>
    <w:rsid w:val="007B39AD"/>
    <w:rsid w:val="007B3A2A"/>
    <w:rsid w:val="007B3C58"/>
    <w:rsid w:val="007B3DD1"/>
    <w:rsid w:val="007B4145"/>
    <w:rsid w:val="007B42F3"/>
    <w:rsid w:val="007B438B"/>
    <w:rsid w:val="007B44A8"/>
    <w:rsid w:val="007B44AE"/>
    <w:rsid w:val="007B44B9"/>
    <w:rsid w:val="007B455D"/>
    <w:rsid w:val="007B4792"/>
    <w:rsid w:val="007B48F2"/>
    <w:rsid w:val="007B49D6"/>
    <w:rsid w:val="007B49FC"/>
    <w:rsid w:val="007B4A54"/>
    <w:rsid w:val="007B4ADF"/>
    <w:rsid w:val="007B4BF4"/>
    <w:rsid w:val="007B4C4C"/>
    <w:rsid w:val="007B4F52"/>
    <w:rsid w:val="007B5006"/>
    <w:rsid w:val="007B5012"/>
    <w:rsid w:val="007B50BF"/>
    <w:rsid w:val="007B50D3"/>
    <w:rsid w:val="007B51B9"/>
    <w:rsid w:val="007B522D"/>
    <w:rsid w:val="007B53D5"/>
    <w:rsid w:val="007B556A"/>
    <w:rsid w:val="007B5585"/>
    <w:rsid w:val="007B5668"/>
    <w:rsid w:val="007B588C"/>
    <w:rsid w:val="007B5A36"/>
    <w:rsid w:val="007B5B2A"/>
    <w:rsid w:val="007B5C03"/>
    <w:rsid w:val="007B5FA1"/>
    <w:rsid w:val="007B6184"/>
    <w:rsid w:val="007B6356"/>
    <w:rsid w:val="007B6374"/>
    <w:rsid w:val="007B6439"/>
    <w:rsid w:val="007B66DF"/>
    <w:rsid w:val="007B6744"/>
    <w:rsid w:val="007B681B"/>
    <w:rsid w:val="007B6871"/>
    <w:rsid w:val="007B697E"/>
    <w:rsid w:val="007B6987"/>
    <w:rsid w:val="007B6AB9"/>
    <w:rsid w:val="007B6BBE"/>
    <w:rsid w:val="007B6BCD"/>
    <w:rsid w:val="007B6DF6"/>
    <w:rsid w:val="007B6EEC"/>
    <w:rsid w:val="007B7025"/>
    <w:rsid w:val="007B7048"/>
    <w:rsid w:val="007B705D"/>
    <w:rsid w:val="007B70C4"/>
    <w:rsid w:val="007B7180"/>
    <w:rsid w:val="007B719F"/>
    <w:rsid w:val="007B749B"/>
    <w:rsid w:val="007B762C"/>
    <w:rsid w:val="007B76C4"/>
    <w:rsid w:val="007B7819"/>
    <w:rsid w:val="007B7A10"/>
    <w:rsid w:val="007B7AE2"/>
    <w:rsid w:val="007B7B33"/>
    <w:rsid w:val="007B7BB4"/>
    <w:rsid w:val="007B7BBA"/>
    <w:rsid w:val="007B7BCF"/>
    <w:rsid w:val="007B7CE0"/>
    <w:rsid w:val="007B7CE9"/>
    <w:rsid w:val="007B7D5C"/>
    <w:rsid w:val="007B7EC1"/>
    <w:rsid w:val="007B7F3D"/>
    <w:rsid w:val="007C002D"/>
    <w:rsid w:val="007C0209"/>
    <w:rsid w:val="007C05A3"/>
    <w:rsid w:val="007C05A8"/>
    <w:rsid w:val="007C05EB"/>
    <w:rsid w:val="007C0601"/>
    <w:rsid w:val="007C0712"/>
    <w:rsid w:val="007C07A2"/>
    <w:rsid w:val="007C0861"/>
    <w:rsid w:val="007C0964"/>
    <w:rsid w:val="007C0A56"/>
    <w:rsid w:val="007C0C9D"/>
    <w:rsid w:val="007C0CA8"/>
    <w:rsid w:val="007C0D32"/>
    <w:rsid w:val="007C0D80"/>
    <w:rsid w:val="007C0E37"/>
    <w:rsid w:val="007C1050"/>
    <w:rsid w:val="007C1080"/>
    <w:rsid w:val="007C113D"/>
    <w:rsid w:val="007C145E"/>
    <w:rsid w:val="007C1506"/>
    <w:rsid w:val="007C1531"/>
    <w:rsid w:val="007C158B"/>
    <w:rsid w:val="007C15C0"/>
    <w:rsid w:val="007C16EA"/>
    <w:rsid w:val="007C1811"/>
    <w:rsid w:val="007C1914"/>
    <w:rsid w:val="007C193A"/>
    <w:rsid w:val="007C1959"/>
    <w:rsid w:val="007C1B32"/>
    <w:rsid w:val="007C1B6B"/>
    <w:rsid w:val="007C1B6C"/>
    <w:rsid w:val="007C1B73"/>
    <w:rsid w:val="007C1BC8"/>
    <w:rsid w:val="007C1C8A"/>
    <w:rsid w:val="007C1CE4"/>
    <w:rsid w:val="007C1CED"/>
    <w:rsid w:val="007C1D5F"/>
    <w:rsid w:val="007C1DCF"/>
    <w:rsid w:val="007C1F7B"/>
    <w:rsid w:val="007C2040"/>
    <w:rsid w:val="007C21C6"/>
    <w:rsid w:val="007C223C"/>
    <w:rsid w:val="007C2418"/>
    <w:rsid w:val="007C2448"/>
    <w:rsid w:val="007C24F5"/>
    <w:rsid w:val="007C2569"/>
    <w:rsid w:val="007C2617"/>
    <w:rsid w:val="007C26ED"/>
    <w:rsid w:val="007C276C"/>
    <w:rsid w:val="007C278C"/>
    <w:rsid w:val="007C28B9"/>
    <w:rsid w:val="007C2AEA"/>
    <w:rsid w:val="007C2B68"/>
    <w:rsid w:val="007C2CD0"/>
    <w:rsid w:val="007C2FC6"/>
    <w:rsid w:val="007C31BA"/>
    <w:rsid w:val="007C31D5"/>
    <w:rsid w:val="007C336E"/>
    <w:rsid w:val="007C3511"/>
    <w:rsid w:val="007C36AA"/>
    <w:rsid w:val="007C3765"/>
    <w:rsid w:val="007C384A"/>
    <w:rsid w:val="007C385C"/>
    <w:rsid w:val="007C3873"/>
    <w:rsid w:val="007C39A2"/>
    <w:rsid w:val="007C39AD"/>
    <w:rsid w:val="007C39E4"/>
    <w:rsid w:val="007C3C00"/>
    <w:rsid w:val="007C3C4F"/>
    <w:rsid w:val="007C3E42"/>
    <w:rsid w:val="007C3F6E"/>
    <w:rsid w:val="007C3FE9"/>
    <w:rsid w:val="007C41F0"/>
    <w:rsid w:val="007C42E0"/>
    <w:rsid w:val="007C43DF"/>
    <w:rsid w:val="007C451F"/>
    <w:rsid w:val="007C453F"/>
    <w:rsid w:val="007C4695"/>
    <w:rsid w:val="007C4801"/>
    <w:rsid w:val="007C48B7"/>
    <w:rsid w:val="007C4994"/>
    <w:rsid w:val="007C4AC6"/>
    <w:rsid w:val="007C4AF0"/>
    <w:rsid w:val="007C4AFA"/>
    <w:rsid w:val="007C4C6D"/>
    <w:rsid w:val="007C4CE8"/>
    <w:rsid w:val="007C4D30"/>
    <w:rsid w:val="007C4D5A"/>
    <w:rsid w:val="007C4F13"/>
    <w:rsid w:val="007C4F45"/>
    <w:rsid w:val="007C53FB"/>
    <w:rsid w:val="007C550C"/>
    <w:rsid w:val="007C55AC"/>
    <w:rsid w:val="007C5614"/>
    <w:rsid w:val="007C5652"/>
    <w:rsid w:val="007C56DC"/>
    <w:rsid w:val="007C581A"/>
    <w:rsid w:val="007C5893"/>
    <w:rsid w:val="007C58D3"/>
    <w:rsid w:val="007C59BD"/>
    <w:rsid w:val="007C5B09"/>
    <w:rsid w:val="007C5D24"/>
    <w:rsid w:val="007C5D3A"/>
    <w:rsid w:val="007C6218"/>
    <w:rsid w:val="007C629E"/>
    <w:rsid w:val="007C6326"/>
    <w:rsid w:val="007C6373"/>
    <w:rsid w:val="007C6503"/>
    <w:rsid w:val="007C6586"/>
    <w:rsid w:val="007C6600"/>
    <w:rsid w:val="007C685F"/>
    <w:rsid w:val="007C6AB9"/>
    <w:rsid w:val="007C6D3E"/>
    <w:rsid w:val="007C6D62"/>
    <w:rsid w:val="007C7054"/>
    <w:rsid w:val="007C72E6"/>
    <w:rsid w:val="007C7334"/>
    <w:rsid w:val="007C7403"/>
    <w:rsid w:val="007C749F"/>
    <w:rsid w:val="007C74D0"/>
    <w:rsid w:val="007C75D4"/>
    <w:rsid w:val="007C762A"/>
    <w:rsid w:val="007C779B"/>
    <w:rsid w:val="007C7883"/>
    <w:rsid w:val="007C793A"/>
    <w:rsid w:val="007C7AEE"/>
    <w:rsid w:val="007C7B81"/>
    <w:rsid w:val="007C7B8D"/>
    <w:rsid w:val="007C7D9E"/>
    <w:rsid w:val="007C7E85"/>
    <w:rsid w:val="007C7E8A"/>
    <w:rsid w:val="007C7FDC"/>
    <w:rsid w:val="007C7FE3"/>
    <w:rsid w:val="007D01B7"/>
    <w:rsid w:val="007D02B3"/>
    <w:rsid w:val="007D0446"/>
    <w:rsid w:val="007D0451"/>
    <w:rsid w:val="007D0577"/>
    <w:rsid w:val="007D063A"/>
    <w:rsid w:val="007D0802"/>
    <w:rsid w:val="007D0828"/>
    <w:rsid w:val="007D0851"/>
    <w:rsid w:val="007D0898"/>
    <w:rsid w:val="007D0AD6"/>
    <w:rsid w:val="007D0B39"/>
    <w:rsid w:val="007D0DA8"/>
    <w:rsid w:val="007D0DB2"/>
    <w:rsid w:val="007D0FAD"/>
    <w:rsid w:val="007D108F"/>
    <w:rsid w:val="007D1135"/>
    <w:rsid w:val="007D1137"/>
    <w:rsid w:val="007D11D1"/>
    <w:rsid w:val="007D1244"/>
    <w:rsid w:val="007D1283"/>
    <w:rsid w:val="007D13A5"/>
    <w:rsid w:val="007D14C9"/>
    <w:rsid w:val="007D1753"/>
    <w:rsid w:val="007D1808"/>
    <w:rsid w:val="007D19C1"/>
    <w:rsid w:val="007D1B02"/>
    <w:rsid w:val="007D1D46"/>
    <w:rsid w:val="007D1D5F"/>
    <w:rsid w:val="007D1E1C"/>
    <w:rsid w:val="007D201E"/>
    <w:rsid w:val="007D20CA"/>
    <w:rsid w:val="007D2103"/>
    <w:rsid w:val="007D238C"/>
    <w:rsid w:val="007D242C"/>
    <w:rsid w:val="007D24C4"/>
    <w:rsid w:val="007D25B2"/>
    <w:rsid w:val="007D25D8"/>
    <w:rsid w:val="007D2702"/>
    <w:rsid w:val="007D278F"/>
    <w:rsid w:val="007D28D3"/>
    <w:rsid w:val="007D2960"/>
    <w:rsid w:val="007D298C"/>
    <w:rsid w:val="007D2A4E"/>
    <w:rsid w:val="007D33B4"/>
    <w:rsid w:val="007D33F7"/>
    <w:rsid w:val="007D35C1"/>
    <w:rsid w:val="007D3714"/>
    <w:rsid w:val="007D37C5"/>
    <w:rsid w:val="007D3815"/>
    <w:rsid w:val="007D395C"/>
    <w:rsid w:val="007D3C95"/>
    <w:rsid w:val="007D3CEA"/>
    <w:rsid w:val="007D3D29"/>
    <w:rsid w:val="007D3D98"/>
    <w:rsid w:val="007D3E97"/>
    <w:rsid w:val="007D41EA"/>
    <w:rsid w:val="007D462D"/>
    <w:rsid w:val="007D4768"/>
    <w:rsid w:val="007D4A4F"/>
    <w:rsid w:val="007D4A65"/>
    <w:rsid w:val="007D4AC1"/>
    <w:rsid w:val="007D4B63"/>
    <w:rsid w:val="007D4BB0"/>
    <w:rsid w:val="007D4BBA"/>
    <w:rsid w:val="007D4C29"/>
    <w:rsid w:val="007D4D98"/>
    <w:rsid w:val="007D4E25"/>
    <w:rsid w:val="007D4F42"/>
    <w:rsid w:val="007D5087"/>
    <w:rsid w:val="007D51E5"/>
    <w:rsid w:val="007D52AF"/>
    <w:rsid w:val="007D52FE"/>
    <w:rsid w:val="007D5504"/>
    <w:rsid w:val="007D56D2"/>
    <w:rsid w:val="007D56F7"/>
    <w:rsid w:val="007D5727"/>
    <w:rsid w:val="007D574B"/>
    <w:rsid w:val="007D59AA"/>
    <w:rsid w:val="007D5B04"/>
    <w:rsid w:val="007D5B7E"/>
    <w:rsid w:val="007D5C16"/>
    <w:rsid w:val="007D5C63"/>
    <w:rsid w:val="007D5CEC"/>
    <w:rsid w:val="007D5FEA"/>
    <w:rsid w:val="007D6057"/>
    <w:rsid w:val="007D6308"/>
    <w:rsid w:val="007D6391"/>
    <w:rsid w:val="007D6531"/>
    <w:rsid w:val="007D6596"/>
    <w:rsid w:val="007D6796"/>
    <w:rsid w:val="007D6873"/>
    <w:rsid w:val="007D689C"/>
    <w:rsid w:val="007D69F0"/>
    <w:rsid w:val="007D6A2D"/>
    <w:rsid w:val="007D6A4C"/>
    <w:rsid w:val="007D6A69"/>
    <w:rsid w:val="007D6B47"/>
    <w:rsid w:val="007D7060"/>
    <w:rsid w:val="007D716E"/>
    <w:rsid w:val="007D71E5"/>
    <w:rsid w:val="007D73D7"/>
    <w:rsid w:val="007D7598"/>
    <w:rsid w:val="007D760E"/>
    <w:rsid w:val="007D76D0"/>
    <w:rsid w:val="007D7828"/>
    <w:rsid w:val="007D7924"/>
    <w:rsid w:val="007D7967"/>
    <w:rsid w:val="007D79AE"/>
    <w:rsid w:val="007D79EB"/>
    <w:rsid w:val="007D7A2B"/>
    <w:rsid w:val="007D7A31"/>
    <w:rsid w:val="007D7AB0"/>
    <w:rsid w:val="007D7BD0"/>
    <w:rsid w:val="007D7C82"/>
    <w:rsid w:val="007D7CF0"/>
    <w:rsid w:val="007D7E58"/>
    <w:rsid w:val="007D7F39"/>
    <w:rsid w:val="007D7FB5"/>
    <w:rsid w:val="007E041E"/>
    <w:rsid w:val="007E0456"/>
    <w:rsid w:val="007E0490"/>
    <w:rsid w:val="007E0621"/>
    <w:rsid w:val="007E0699"/>
    <w:rsid w:val="007E06F7"/>
    <w:rsid w:val="007E0720"/>
    <w:rsid w:val="007E07E1"/>
    <w:rsid w:val="007E0A2F"/>
    <w:rsid w:val="007E0A8D"/>
    <w:rsid w:val="007E0AEB"/>
    <w:rsid w:val="007E0C08"/>
    <w:rsid w:val="007E0C71"/>
    <w:rsid w:val="007E0CF6"/>
    <w:rsid w:val="007E0D29"/>
    <w:rsid w:val="007E0D62"/>
    <w:rsid w:val="007E0DA6"/>
    <w:rsid w:val="007E0DFB"/>
    <w:rsid w:val="007E0EAD"/>
    <w:rsid w:val="007E1045"/>
    <w:rsid w:val="007E105A"/>
    <w:rsid w:val="007E107B"/>
    <w:rsid w:val="007E115E"/>
    <w:rsid w:val="007E1273"/>
    <w:rsid w:val="007E14C2"/>
    <w:rsid w:val="007E1565"/>
    <w:rsid w:val="007E173D"/>
    <w:rsid w:val="007E17BD"/>
    <w:rsid w:val="007E17E2"/>
    <w:rsid w:val="007E1812"/>
    <w:rsid w:val="007E1960"/>
    <w:rsid w:val="007E1A38"/>
    <w:rsid w:val="007E1ACB"/>
    <w:rsid w:val="007E1AE7"/>
    <w:rsid w:val="007E1BEC"/>
    <w:rsid w:val="007E1C27"/>
    <w:rsid w:val="007E1D5D"/>
    <w:rsid w:val="007E1D8D"/>
    <w:rsid w:val="007E1E22"/>
    <w:rsid w:val="007E1F07"/>
    <w:rsid w:val="007E1F08"/>
    <w:rsid w:val="007E1F54"/>
    <w:rsid w:val="007E1F9F"/>
    <w:rsid w:val="007E1FF3"/>
    <w:rsid w:val="007E2209"/>
    <w:rsid w:val="007E22BE"/>
    <w:rsid w:val="007E232A"/>
    <w:rsid w:val="007E23AD"/>
    <w:rsid w:val="007E24EF"/>
    <w:rsid w:val="007E2725"/>
    <w:rsid w:val="007E27BC"/>
    <w:rsid w:val="007E27C6"/>
    <w:rsid w:val="007E27FC"/>
    <w:rsid w:val="007E2969"/>
    <w:rsid w:val="007E2C3F"/>
    <w:rsid w:val="007E2CBA"/>
    <w:rsid w:val="007E2D23"/>
    <w:rsid w:val="007E2F90"/>
    <w:rsid w:val="007E2FCB"/>
    <w:rsid w:val="007E3195"/>
    <w:rsid w:val="007E3205"/>
    <w:rsid w:val="007E321A"/>
    <w:rsid w:val="007E33BC"/>
    <w:rsid w:val="007E34BC"/>
    <w:rsid w:val="007E34D7"/>
    <w:rsid w:val="007E3746"/>
    <w:rsid w:val="007E384C"/>
    <w:rsid w:val="007E3870"/>
    <w:rsid w:val="007E3997"/>
    <w:rsid w:val="007E3A76"/>
    <w:rsid w:val="007E3B68"/>
    <w:rsid w:val="007E3CE9"/>
    <w:rsid w:val="007E3CFE"/>
    <w:rsid w:val="007E3DA7"/>
    <w:rsid w:val="007E3F9A"/>
    <w:rsid w:val="007E42EA"/>
    <w:rsid w:val="007E42FE"/>
    <w:rsid w:val="007E43A2"/>
    <w:rsid w:val="007E44CB"/>
    <w:rsid w:val="007E46DD"/>
    <w:rsid w:val="007E478C"/>
    <w:rsid w:val="007E47AD"/>
    <w:rsid w:val="007E4834"/>
    <w:rsid w:val="007E4A84"/>
    <w:rsid w:val="007E4A8D"/>
    <w:rsid w:val="007E4B54"/>
    <w:rsid w:val="007E4B8F"/>
    <w:rsid w:val="007E4D68"/>
    <w:rsid w:val="007E4E66"/>
    <w:rsid w:val="007E5067"/>
    <w:rsid w:val="007E5387"/>
    <w:rsid w:val="007E539C"/>
    <w:rsid w:val="007E53E8"/>
    <w:rsid w:val="007E53F1"/>
    <w:rsid w:val="007E5477"/>
    <w:rsid w:val="007E5541"/>
    <w:rsid w:val="007E55D4"/>
    <w:rsid w:val="007E566C"/>
    <w:rsid w:val="007E56E5"/>
    <w:rsid w:val="007E5718"/>
    <w:rsid w:val="007E5CDA"/>
    <w:rsid w:val="007E5E0C"/>
    <w:rsid w:val="007E5E6B"/>
    <w:rsid w:val="007E5E6C"/>
    <w:rsid w:val="007E5FD3"/>
    <w:rsid w:val="007E6185"/>
    <w:rsid w:val="007E6287"/>
    <w:rsid w:val="007E64AB"/>
    <w:rsid w:val="007E66B1"/>
    <w:rsid w:val="007E673A"/>
    <w:rsid w:val="007E6B79"/>
    <w:rsid w:val="007E6CD2"/>
    <w:rsid w:val="007E6D67"/>
    <w:rsid w:val="007E6E14"/>
    <w:rsid w:val="007E7016"/>
    <w:rsid w:val="007E7056"/>
    <w:rsid w:val="007E712F"/>
    <w:rsid w:val="007E717B"/>
    <w:rsid w:val="007E726D"/>
    <w:rsid w:val="007E72B9"/>
    <w:rsid w:val="007E73D8"/>
    <w:rsid w:val="007E7696"/>
    <w:rsid w:val="007E783F"/>
    <w:rsid w:val="007E7863"/>
    <w:rsid w:val="007E79AB"/>
    <w:rsid w:val="007E7A5E"/>
    <w:rsid w:val="007E7BD1"/>
    <w:rsid w:val="007E7BDD"/>
    <w:rsid w:val="007E7C97"/>
    <w:rsid w:val="007E7E94"/>
    <w:rsid w:val="007E7EE2"/>
    <w:rsid w:val="007F0058"/>
    <w:rsid w:val="007F00AE"/>
    <w:rsid w:val="007F03BD"/>
    <w:rsid w:val="007F04ED"/>
    <w:rsid w:val="007F0618"/>
    <w:rsid w:val="007F091F"/>
    <w:rsid w:val="007F0936"/>
    <w:rsid w:val="007F09C6"/>
    <w:rsid w:val="007F09FA"/>
    <w:rsid w:val="007F0BA6"/>
    <w:rsid w:val="007F0E01"/>
    <w:rsid w:val="007F0E63"/>
    <w:rsid w:val="007F0EDE"/>
    <w:rsid w:val="007F1048"/>
    <w:rsid w:val="007F1163"/>
    <w:rsid w:val="007F1180"/>
    <w:rsid w:val="007F11E6"/>
    <w:rsid w:val="007F1244"/>
    <w:rsid w:val="007F1407"/>
    <w:rsid w:val="007F150A"/>
    <w:rsid w:val="007F15AC"/>
    <w:rsid w:val="007F172E"/>
    <w:rsid w:val="007F17FE"/>
    <w:rsid w:val="007F1899"/>
    <w:rsid w:val="007F1C09"/>
    <w:rsid w:val="007F1C2E"/>
    <w:rsid w:val="007F1D02"/>
    <w:rsid w:val="007F1F35"/>
    <w:rsid w:val="007F1F4C"/>
    <w:rsid w:val="007F2165"/>
    <w:rsid w:val="007F224C"/>
    <w:rsid w:val="007F22CE"/>
    <w:rsid w:val="007F2820"/>
    <w:rsid w:val="007F282A"/>
    <w:rsid w:val="007F2843"/>
    <w:rsid w:val="007F284E"/>
    <w:rsid w:val="007F2870"/>
    <w:rsid w:val="007F28F6"/>
    <w:rsid w:val="007F2911"/>
    <w:rsid w:val="007F2931"/>
    <w:rsid w:val="007F298E"/>
    <w:rsid w:val="007F29C0"/>
    <w:rsid w:val="007F2C02"/>
    <w:rsid w:val="007F2CC2"/>
    <w:rsid w:val="007F2CE3"/>
    <w:rsid w:val="007F2D8A"/>
    <w:rsid w:val="007F2F1D"/>
    <w:rsid w:val="007F2F64"/>
    <w:rsid w:val="007F2F87"/>
    <w:rsid w:val="007F2FB5"/>
    <w:rsid w:val="007F30F0"/>
    <w:rsid w:val="007F3324"/>
    <w:rsid w:val="007F34E6"/>
    <w:rsid w:val="007F372A"/>
    <w:rsid w:val="007F3742"/>
    <w:rsid w:val="007F3B47"/>
    <w:rsid w:val="007F3E47"/>
    <w:rsid w:val="007F430A"/>
    <w:rsid w:val="007F470C"/>
    <w:rsid w:val="007F4724"/>
    <w:rsid w:val="007F4813"/>
    <w:rsid w:val="007F484A"/>
    <w:rsid w:val="007F490F"/>
    <w:rsid w:val="007F4CFE"/>
    <w:rsid w:val="007F4F23"/>
    <w:rsid w:val="007F506A"/>
    <w:rsid w:val="007F516B"/>
    <w:rsid w:val="007F51AA"/>
    <w:rsid w:val="007F521F"/>
    <w:rsid w:val="007F52B8"/>
    <w:rsid w:val="007F533D"/>
    <w:rsid w:val="007F53E3"/>
    <w:rsid w:val="007F5411"/>
    <w:rsid w:val="007F563A"/>
    <w:rsid w:val="007F594C"/>
    <w:rsid w:val="007F5A3C"/>
    <w:rsid w:val="007F5ABA"/>
    <w:rsid w:val="007F5B2A"/>
    <w:rsid w:val="007F5B3C"/>
    <w:rsid w:val="007F5B66"/>
    <w:rsid w:val="007F5D0D"/>
    <w:rsid w:val="007F5D1E"/>
    <w:rsid w:val="007F609E"/>
    <w:rsid w:val="007F60AC"/>
    <w:rsid w:val="007F6161"/>
    <w:rsid w:val="007F6373"/>
    <w:rsid w:val="007F63EA"/>
    <w:rsid w:val="007F6456"/>
    <w:rsid w:val="007F64CF"/>
    <w:rsid w:val="007F6597"/>
    <w:rsid w:val="007F65F1"/>
    <w:rsid w:val="007F6798"/>
    <w:rsid w:val="007F6963"/>
    <w:rsid w:val="007F6E80"/>
    <w:rsid w:val="007F6EC9"/>
    <w:rsid w:val="007F6F91"/>
    <w:rsid w:val="007F6FB9"/>
    <w:rsid w:val="007F7213"/>
    <w:rsid w:val="007F73F1"/>
    <w:rsid w:val="007F7418"/>
    <w:rsid w:val="007F76C9"/>
    <w:rsid w:val="007F7811"/>
    <w:rsid w:val="007F78D6"/>
    <w:rsid w:val="007F7AC9"/>
    <w:rsid w:val="007F7B58"/>
    <w:rsid w:val="007F7B68"/>
    <w:rsid w:val="007F7B7B"/>
    <w:rsid w:val="007F7BEC"/>
    <w:rsid w:val="007F7C4D"/>
    <w:rsid w:val="007F7CA7"/>
    <w:rsid w:val="007F7D4E"/>
    <w:rsid w:val="007F7E65"/>
    <w:rsid w:val="007F7EEF"/>
    <w:rsid w:val="007F7F0C"/>
    <w:rsid w:val="007F7F19"/>
    <w:rsid w:val="00800079"/>
    <w:rsid w:val="0080008A"/>
    <w:rsid w:val="0080013E"/>
    <w:rsid w:val="00800169"/>
    <w:rsid w:val="00800243"/>
    <w:rsid w:val="00800322"/>
    <w:rsid w:val="00800371"/>
    <w:rsid w:val="0080061D"/>
    <w:rsid w:val="00800849"/>
    <w:rsid w:val="00800A6D"/>
    <w:rsid w:val="00800A91"/>
    <w:rsid w:val="00800C25"/>
    <w:rsid w:val="00800C55"/>
    <w:rsid w:val="00800DA9"/>
    <w:rsid w:val="00800E47"/>
    <w:rsid w:val="00800EA8"/>
    <w:rsid w:val="00801083"/>
    <w:rsid w:val="0080159B"/>
    <w:rsid w:val="008015AE"/>
    <w:rsid w:val="00801873"/>
    <w:rsid w:val="00801922"/>
    <w:rsid w:val="008019F0"/>
    <w:rsid w:val="00801ACE"/>
    <w:rsid w:val="00801BB3"/>
    <w:rsid w:val="00801C64"/>
    <w:rsid w:val="00801C92"/>
    <w:rsid w:val="00801E4F"/>
    <w:rsid w:val="00801EC8"/>
    <w:rsid w:val="008021A2"/>
    <w:rsid w:val="0080226D"/>
    <w:rsid w:val="00802275"/>
    <w:rsid w:val="008023A4"/>
    <w:rsid w:val="00802465"/>
    <w:rsid w:val="0080256A"/>
    <w:rsid w:val="00802643"/>
    <w:rsid w:val="008026C3"/>
    <w:rsid w:val="0080294B"/>
    <w:rsid w:val="00802AE3"/>
    <w:rsid w:val="00802C01"/>
    <w:rsid w:val="00802C83"/>
    <w:rsid w:val="00802CA4"/>
    <w:rsid w:val="00802E5A"/>
    <w:rsid w:val="00802ECC"/>
    <w:rsid w:val="00802ED2"/>
    <w:rsid w:val="00802FD9"/>
    <w:rsid w:val="00802FFE"/>
    <w:rsid w:val="008030C2"/>
    <w:rsid w:val="008031EB"/>
    <w:rsid w:val="0080323A"/>
    <w:rsid w:val="00803251"/>
    <w:rsid w:val="008033DA"/>
    <w:rsid w:val="008034D4"/>
    <w:rsid w:val="008034F7"/>
    <w:rsid w:val="00803638"/>
    <w:rsid w:val="008036B7"/>
    <w:rsid w:val="008039D0"/>
    <w:rsid w:val="00803A35"/>
    <w:rsid w:val="00803AC2"/>
    <w:rsid w:val="00803BF7"/>
    <w:rsid w:val="00803C40"/>
    <w:rsid w:val="00803C4B"/>
    <w:rsid w:val="00803CC0"/>
    <w:rsid w:val="00803D31"/>
    <w:rsid w:val="00803DF5"/>
    <w:rsid w:val="00803E9C"/>
    <w:rsid w:val="0080405B"/>
    <w:rsid w:val="0080408E"/>
    <w:rsid w:val="00804456"/>
    <w:rsid w:val="0080450D"/>
    <w:rsid w:val="0080462A"/>
    <w:rsid w:val="0080478A"/>
    <w:rsid w:val="0080481E"/>
    <w:rsid w:val="008048D0"/>
    <w:rsid w:val="008048D4"/>
    <w:rsid w:val="00804905"/>
    <w:rsid w:val="00804981"/>
    <w:rsid w:val="00804C0B"/>
    <w:rsid w:val="00804F42"/>
    <w:rsid w:val="00804F6E"/>
    <w:rsid w:val="00804F7D"/>
    <w:rsid w:val="00804FCD"/>
    <w:rsid w:val="00804FF7"/>
    <w:rsid w:val="00805015"/>
    <w:rsid w:val="00805035"/>
    <w:rsid w:val="00805046"/>
    <w:rsid w:val="0080521E"/>
    <w:rsid w:val="00805277"/>
    <w:rsid w:val="00805689"/>
    <w:rsid w:val="0080573B"/>
    <w:rsid w:val="0080583F"/>
    <w:rsid w:val="008058BB"/>
    <w:rsid w:val="008059C2"/>
    <w:rsid w:val="008059E6"/>
    <w:rsid w:val="00805AAC"/>
    <w:rsid w:val="00805B5C"/>
    <w:rsid w:val="00805BB1"/>
    <w:rsid w:val="00805BBA"/>
    <w:rsid w:val="00805C2B"/>
    <w:rsid w:val="00805F17"/>
    <w:rsid w:val="0080622E"/>
    <w:rsid w:val="00806402"/>
    <w:rsid w:val="008064E2"/>
    <w:rsid w:val="0080653C"/>
    <w:rsid w:val="00806635"/>
    <w:rsid w:val="00806700"/>
    <w:rsid w:val="00806AB8"/>
    <w:rsid w:val="00806AC3"/>
    <w:rsid w:val="00806B5F"/>
    <w:rsid w:val="00806C3A"/>
    <w:rsid w:val="00806D22"/>
    <w:rsid w:val="00806D89"/>
    <w:rsid w:val="00806E6B"/>
    <w:rsid w:val="00806F8E"/>
    <w:rsid w:val="008070F5"/>
    <w:rsid w:val="00807103"/>
    <w:rsid w:val="008071E0"/>
    <w:rsid w:val="0080724F"/>
    <w:rsid w:val="00807267"/>
    <w:rsid w:val="00807401"/>
    <w:rsid w:val="00807437"/>
    <w:rsid w:val="0080760C"/>
    <w:rsid w:val="00807639"/>
    <w:rsid w:val="0080764D"/>
    <w:rsid w:val="0080776F"/>
    <w:rsid w:val="0080789E"/>
    <w:rsid w:val="00807959"/>
    <w:rsid w:val="00807FA4"/>
    <w:rsid w:val="00810041"/>
    <w:rsid w:val="0081004F"/>
    <w:rsid w:val="0081009A"/>
    <w:rsid w:val="008104D4"/>
    <w:rsid w:val="00810503"/>
    <w:rsid w:val="00810535"/>
    <w:rsid w:val="0081086F"/>
    <w:rsid w:val="00810BF7"/>
    <w:rsid w:val="00810C35"/>
    <w:rsid w:val="00810C72"/>
    <w:rsid w:val="00810D18"/>
    <w:rsid w:val="00810DE2"/>
    <w:rsid w:val="00810FA2"/>
    <w:rsid w:val="0081109D"/>
    <w:rsid w:val="0081116A"/>
    <w:rsid w:val="0081121B"/>
    <w:rsid w:val="008112DF"/>
    <w:rsid w:val="008113E0"/>
    <w:rsid w:val="008116B6"/>
    <w:rsid w:val="008117B5"/>
    <w:rsid w:val="008118B0"/>
    <w:rsid w:val="00811993"/>
    <w:rsid w:val="008119B7"/>
    <w:rsid w:val="008119CD"/>
    <w:rsid w:val="00811A4E"/>
    <w:rsid w:val="00811B07"/>
    <w:rsid w:val="00811C65"/>
    <w:rsid w:val="00811D2D"/>
    <w:rsid w:val="00811F4A"/>
    <w:rsid w:val="0081207D"/>
    <w:rsid w:val="00812277"/>
    <w:rsid w:val="008122E0"/>
    <w:rsid w:val="00812354"/>
    <w:rsid w:val="008124A9"/>
    <w:rsid w:val="00812636"/>
    <w:rsid w:val="00812B56"/>
    <w:rsid w:val="00812C64"/>
    <w:rsid w:val="00812C7E"/>
    <w:rsid w:val="00812DE9"/>
    <w:rsid w:val="00812E26"/>
    <w:rsid w:val="0081314E"/>
    <w:rsid w:val="0081323B"/>
    <w:rsid w:val="00813410"/>
    <w:rsid w:val="00813413"/>
    <w:rsid w:val="0081345A"/>
    <w:rsid w:val="008134BB"/>
    <w:rsid w:val="00813505"/>
    <w:rsid w:val="00813523"/>
    <w:rsid w:val="00813547"/>
    <w:rsid w:val="00813634"/>
    <w:rsid w:val="0081363C"/>
    <w:rsid w:val="008136F5"/>
    <w:rsid w:val="008138B6"/>
    <w:rsid w:val="00813B2B"/>
    <w:rsid w:val="00813C1D"/>
    <w:rsid w:val="00813C66"/>
    <w:rsid w:val="00813D97"/>
    <w:rsid w:val="00813F2A"/>
    <w:rsid w:val="00813FB7"/>
    <w:rsid w:val="008144D4"/>
    <w:rsid w:val="008145FB"/>
    <w:rsid w:val="008148DF"/>
    <w:rsid w:val="00814965"/>
    <w:rsid w:val="00814974"/>
    <w:rsid w:val="00814A6E"/>
    <w:rsid w:val="00814B05"/>
    <w:rsid w:val="00814B69"/>
    <w:rsid w:val="00814CD7"/>
    <w:rsid w:val="00814E27"/>
    <w:rsid w:val="00814F01"/>
    <w:rsid w:val="00814F24"/>
    <w:rsid w:val="00814F65"/>
    <w:rsid w:val="008150DD"/>
    <w:rsid w:val="00815225"/>
    <w:rsid w:val="0081532E"/>
    <w:rsid w:val="0081533E"/>
    <w:rsid w:val="008153EC"/>
    <w:rsid w:val="00815408"/>
    <w:rsid w:val="00815496"/>
    <w:rsid w:val="0081551A"/>
    <w:rsid w:val="00815554"/>
    <w:rsid w:val="00815815"/>
    <w:rsid w:val="008158C5"/>
    <w:rsid w:val="008158CB"/>
    <w:rsid w:val="00815AC4"/>
    <w:rsid w:val="00815B93"/>
    <w:rsid w:val="00815CF1"/>
    <w:rsid w:val="00815D03"/>
    <w:rsid w:val="00815E63"/>
    <w:rsid w:val="00815E7C"/>
    <w:rsid w:val="00815EE3"/>
    <w:rsid w:val="00815F6A"/>
    <w:rsid w:val="00815FD3"/>
    <w:rsid w:val="0081609A"/>
    <w:rsid w:val="008161E1"/>
    <w:rsid w:val="00816260"/>
    <w:rsid w:val="00816278"/>
    <w:rsid w:val="008162D8"/>
    <w:rsid w:val="008163BD"/>
    <w:rsid w:val="00816400"/>
    <w:rsid w:val="008165B0"/>
    <w:rsid w:val="008165EC"/>
    <w:rsid w:val="00816601"/>
    <w:rsid w:val="008167A4"/>
    <w:rsid w:val="008169A2"/>
    <w:rsid w:val="00816A3E"/>
    <w:rsid w:val="00816A60"/>
    <w:rsid w:val="00816A6E"/>
    <w:rsid w:val="00816AE7"/>
    <w:rsid w:val="00816CF2"/>
    <w:rsid w:val="00816D9E"/>
    <w:rsid w:val="00816E73"/>
    <w:rsid w:val="00817089"/>
    <w:rsid w:val="00817144"/>
    <w:rsid w:val="00817223"/>
    <w:rsid w:val="00817286"/>
    <w:rsid w:val="00817459"/>
    <w:rsid w:val="008174A5"/>
    <w:rsid w:val="008174D8"/>
    <w:rsid w:val="00817522"/>
    <w:rsid w:val="008179E0"/>
    <w:rsid w:val="00817A94"/>
    <w:rsid w:val="00817AA0"/>
    <w:rsid w:val="00817C1E"/>
    <w:rsid w:val="00817D70"/>
    <w:rsid w:val="00817DA8"/>
    <w:rsid w:val="00817E97"/>
    <w:rsid w:val="00817E9B"/>
    <w:rsid w:val="00817ED5"/>
    <w:rsid w:val="00817EEB"/>
    <w:rsid w:val="0082010D"/>
    <w:rsid w:val="008201AF"/>
    <w:rsid w:val="008201D9"/>
    <w:rsid w:val="008202C4"/>
    <w:rsid w:val="008204D4"/>
    <w:rsid w:val="00820545"/>
    <w:rsid w:val="00820556"/>
    <w:rsid w:val="00820601"/>
    <w:rsid w:val="008208F6"/>
    <w:rsid w:val="00820918"/>
    <w:rsid w:val="008209EB"/>
    <w:rsid w:val="00820A72"/>
    <w:rsid w:val="00820EC1"/>
    <w:rsid w:val="00820ED2"/>
    <w:rsid w:val="00820F6E"/>
    <w:rsid w:val="00820F92"/>
    <w:rsid w:val="0082105D"/>
    <w:rsid w:val="00821070"/>
    <w:rsid w:val="008211AF"/>
    <w:rsid w:val="008212C2"/>
    <w:rsid w:val="0082130E"/>
    <w:rsid w:val="008213D5"/>
    <w:rsid w:val="00821646"/>
    <w:rsid w:val="00821661"/>
    <w:rsid w:val="008218F5"/>
    <w:rsid w:val="008219D0"/>
    <w:rsid w:val="008219EA"/>
    <w:rsid w:val="00821A3C"/>
    <w:rsid w:val="00821A5A"/>
    <w:rsid w:val="00821A96"/>
    <w:rsid w:val="00821BC6"/>
    <w:rsid w:val="00821DB9"/>
    <w:rsid w:val="00821E60"/>
    <w:rsid w:val="00821EA5"/>
    <w:rsid w:val="00822048"/>
    <w:rsid w:val="00822261"/>
    <w:rsid w:val="008222BC"/>
    <w:rsid w:val="008225C5"/>
    <w:rsid w:val="00822654"/>
    <w:rsid w:val="008228AD"/>
    <w:rsid w:val="0082291E"/>
    <w:rsid w:val="008229A1"/>
    <w:rsid w:val="00822D96"/>
    <w:rsid w:val="00822ED3"/>
    <w:rsid w:val="00822F28"/>
    <w:rsid w:val="0082313C"/>
    <w:rsid w:val="008231C8"/>
    <w:rsid w:val="008232AB"/>
    <w:rsid w:val="0082331E"/>
    <w:rsid w:val="008233B6"/>
    <w:rsid w:val="00823546"/>
    <w:rsid w:val="00823625"/>
    <w:rsid w:val="0082367C"/>
    <w:rsid w:val="008236BB"/>
    <w:rsid w:val="008238D4"/>
    <w:rsid w:val="00823A28"/>
    <w:rsid w:val="00823A80"/>
    <w:rsid w:val="00823AE6"/>
    <w:rsid w:val="00823D17"/>
    <w:rsid w:val="00823EC6"/>
    <w:rsid w:val="00823F86"/>
    <w:rsid w:val="0082424D"/>
    <w:rsid w:val="00824256"/>
    <w:rsid w:val="00824450"/>
    <w:rsid w:val="00824552"/>
    <w:rsid w:val="008246D4"/>
    <w:rsid w:val="008247E3"/>
    <w:rsid w:val="008248BD"/>
    <w:rsid w:val="008248DE"/>
    <w:rsid w:val="00824984"/>
    <w:rsid w:val="008249D7"/>
    <w:rsid w:val="00824AA0"/>
    <w:rsid w:val="00824B4A"/>
    <w:rsid w:val="00824CE4"/>
    <w:rsid w:val="00824DF7"/>
    <w:rsid w:val="00824F76"/>
    <w:rsid w:val="00825151"/>
    <w:rsid w:val="00825164"/>
    <w:rsid w:val="00825213"/>
    <w:rsid w:val="008252B7"/>
    <w:rsid w:val="008252C5"/>
    <w:rsid w:val="0082546B"/>
    <w:rsid w:val="0082566B"/>
    <w:rsid w:val="0082589F"/>
    <w:rsid w:val="00825AE9"/>
    <w:rsid w:val="00825AF3"/>
    <w:rsid w:val="00825BB5"/>
    <w:rsid w:val="00825E94"/>
    <w:rsid w:val="00825F0F"/>
    <w:rsid w:val="00825FA0"/>
    <w:rsid w:val="00825FB4"/>
    <w:rsid w:val="00825FF0"/>
    <w:rsid w:val="00825FF2"/>
    <w:rsid w:val="0082607E"/>
    <w:rsid w:val="0082617E"/>
    <w:rsid w:val="008261A0"/>
    <w:rsid w:val="008262A2"/>
    <w:rsid w:val="008263A6"/>
    <w:rsid w:val="008263E7"/>
    <w:rsid w:val="00826413"/>
    <w:rsid w:val="0082643F"/>
    <w:rsid w:val="008265CF"/>
    <w:rsid w:val="00826616"/>
    <w:rsid w:val="00826752"/>
    <w:rsid w:val="0082677B"/>
    <w:rsid w:val="00826832"/>
    <w:rsid w:val="00826ABB"/>
    <w:rsid w:val="00826B10"/>
    <w:rsid w:val="00826B6F"/>
    <w:rsid w:val="00826B9E"/>
    <w:rsid w:val="00826E00"/>
    <w:rsid w:val="00826ECF"/>
    <w:rsid w:val="00826ED2"/>
    <w:rsid w:val="00826FD1"/>
    <w:rsid w:val="00826FEB"/>
    <w:rsid w:val="00827112"/>
    <w:rsid w:val="00827317"/>
    <w:rsid w:val="00827342"/>
    <w:rsid w:val="00827484"/>
    <w:rsid w:val="008274AC"/>
    <w:rsid w:val="00827593"/>
    <w:rsid w:val="00827825"/>
    <w:rsid w:val="008278F3"/>
    <w:rsid w:val="00827A86"/>
    <w:rsid w:val="00827BEE"/>
    <w:rsid w:val="00827D89"/>
    <w:rsid w:val="00830013"/>
    <w:rsid w:val="00830024"/>
    <w:rsid w:val="00830164"/>
    <w:rsid w:val="008301AF"/>
    <w:rsid w:val="00830449"/>
    <w:rsid w:val="00830559"/>
    <w:rsid w:val="00830677"/>
    <w:rsid w:val="008309D5"/>
    <w:rsid w:val="00830A7B"/>
    <w:rsid w:val="00830B00"/>
    <w:rsid w:val="00830BC9"/>
    <w:rsid w:val="00830BEE"/>
    <w:rsid w:val="00830CA9"/>
    <w:rsid w:val="00830CC1"/>
    <w:rsid w:val="00830D0B"/>
    <w:rsid w:val="00830E86"/>
    <w:rsid w:val="00830EBB"/>
    <w:rsid w:val="0083106B"/>
    <w:rsid w:val="00831084"/>
    <w:rsid w:val="008310D8"/>
    <w:rsid w:val="0083113B"/>
    <w:rsid w:val="008312B6"/>
    <w:rsid w:val="008312D0"/>
    <w:rsid w:val="0083141C"/>
    <w:rsid w:val="00831557"/>
    <w:rsid w:val="0083167C"/>
    <w:rsid w:val="008316B9"/>
    <w:rsid w:val="00831A89"/>
    <w:rsid w:val="00831CC2"/>
    <w:rsid w:val="00831E61"/>
    <w:rsid w:val="00831E7C"/>
    <w:rsid w:val="00831EED"/>
    <w:rsid w:val="00831F8D"/>
    <w:rsid w:val="00832111"/>
    <w:rsid w:val="008321F8"/>
    <w:rsid w:val="00832219"/>
    <w:rsid w:val="0083282E"/>
    <w:rsid w:val="0083289A"/>
    <w:rsid w:val="00832AD5"/>
    <w:rsid w:val="00832B51"/>
    <w:rsid w:val="00832C28"/>
    <w:rsid w:val="00832C55"/>
    <w:rsid w:val="00832D39"/>
    <w:rsid w:val="0083313F"/>
    <w:rsid w:val="008331C5"/>
    <w:rsid w:val="00833357"/>
    <w:rsid w:val="00833402"/>
    <w:rsid w:val="0083348C"/>
    <w:rsid w:val="0083365A"/>
    <w:rsid w:val="008336CC"/>
    <w:rsid w:val="008336F1"/>
    <w:rsid w:val="00833803"/>
    <w:rsid w:val="00833880"/>
    <w:rsid w:val="00833ACD"/>
    <w:rsid w:val="00833CB1"/>
    <w:rsid w:val="00833DD1"/>
    <w:rsid w:val="00833E68"/>
    <w:rsid w:val="00834042"/>
    <w:rsid w:val="008340B9"/>
    <w:rsid w:val="008342B3"/>
    <w:rsid w:val="00834320"/>
    <w:rsid w:val="00834431"/>
    <w:rsid w:val="00834494"/>
    <w:rsid w:val="00834500"/>
    <w:rsid w:val="008345E3"/>
    <w:rsid w:val="00834693"/>
    <w:rsid w:val="008346C2"/>
    <w:rsid w:val="0083483E"/>
    <w:rsid w:val="0083497C"/>
    <w:rsid w:val="00834B3E"/>
    <w:rsid w:val="00834B4F"/>
    <w:rsid w:val="00834B6F"/>
    <w:rsid w:val="00834DA1"/>
    <w:rsid w:val="00834DEF"/>
    <w:rsid w:val="00834E04"/>
    <w:rsid w:val="008351DD"/>
    <w:rsid w:val="00835236"/>
    <w:rsid w:val="00835328"/>
    <w:rsid w:val="00835470"/>
    <w:rsid w:val="0083550F"/>
    <w:rsid w:val="0083562E"/>
    <w:rsid w:val="008356F6"/>
    <w:rsid w:val="0083589A"/>
    <w:rsid w:val="00835ACB"/>
    <w:rsid w:val="00835BBB"/>
    <w:rsid w:val="00835EAD"/>
    <w:rsid w:val="00835F72"/>
    <w:rsid w:val="00835FD5"/>
    <w:rsid w:val="008360C3"/>
    <w:rsid w:val="00836120"/>
    <w:rsid w:val="00836193"/>
    <w:rsid w:val="00836586"/>
    <w:rsid w:val="00836A32"/>
    <w:rsid w:val="00836B00"/>
    <w:rsid w:val="00836C4D"/>
    <w:rsid w:val="00836CC4"/>
    <w:rsid w:val="00836CC6"/>
    <w:rsid w:val="00836E25"/>
    <w:rsid w:val="00836F1B"/>
    <w:rsid w:val="00836FDA"/>
    <w:rsid w:val="00836FDD"/>
    <w:rsid w:val="0083700C"/>
    <w:rsid w:val="0083716B"/>
    <w:rsid w:val="008372AB"/>
    <w:rsid w:val="00837384"/>
    <w:rsid w:val="0083750E"/>
    <w:rsid w:val="00837520"/>
    <w:rsid w:val="00837647"/>
    <w:rsid w:val="0083792A"/>
    <w:rsid w:val="00837995"/>
    <w:rsid w:val="00837C6B"/>
    <w:rsid w:val="00837FAB"/>
    <w:rsid w:val="00840025"/>
    <w:rsid w:val="008400DA"/>
    <w:rsid w:val="0084043C"/>
    <w:rsid w:val="00840440"/>
    <w:rsid w:val="008404D9"/>
    <w:rsid w:val="00840665"/>
    <w:rsid w:val="0084068D"/>
    <w:rsid w:val="008406D5"/>
    <w:rsid w:val="0084082B"/>
    <w:rsid w:val="0084087A"/>
    <w:rsid w:val="00840975"/>
    <w:rsid w:val="00840BF8"/>
    <w:rsid w:val="00840BFC"/>
    <w:rsid w:val="00840FBA"/>
    <w:rsid w:val="00840FE6"/>
    <w:rsid w:val="00841006"/>
    <w:rsid w:val="0084126D"/>
    <w:rsid w:val="00841297"/>
    <w:rsid w:val="0084192C"/>
    <w:rsid w:val="008419EE"/>
    <w:rsid w:val="00841C89"/>
    <w:rsid w:val="00841D4E"/>
    <w:rsid w:val="00841EDB"/>
    <w:rsid w:val="008421FF"/>
    <w:rsid w:val="0084231F"/>
    <w:rsid w:val="00842320"/>
    <w:rsid w:val="0084236E"/>
    <w:rsid w:val="008423BE"/>
    <w:rsid w:val="0084256F"/>
    <w:rsid w:val="0084262F"/>
    <w:rsid w:val="008426D8"/>
    <w:rsid w:val="008427BF"/>
    <w:rsid w:val="0084287D"/>
    <w:rsid w:val="00842931"/>
    <w:rsid w:val="0084294A"/>
    <w:rsid w:val="00842961"/>
    <w:rsid w:val="008429D7"/>
    <w:rsid w:val="00842CEA"/>
    <w:rsid w:val="00842D8E"/>
    <w:rsid w:val="0084307B"/>
    <w:rsid w:val="0084327D"/>
    <w:rsid w:val="008434B9"/>
    <w:rsid w:val="00843613"/>
    <w:rsid w:val="00843793"/>
    <w:rsid w:val="0084383C"/>
    <w:rsid w:val="0084395A"/>
    <w:rsid w:val="00843ABD"/>
    <w:rsid w:val="00843AE4"/>
    <w:rsid w:val="00843B08"/>
    <w:rsid w:val="00843B1B"/>
    <w:rsid w:val="00843BD5"/>
    <w:rsid w:val="00843BE6"/>
    <w:rsid w:val="00843BEF"/>
    <w:rsid w:val="00843D32"/>
    <w:rsid w:val="00843E35"/>
    <w:rsid w:val="00843E52"/>
    <w:rsid w:val="00844036"/>
    <w:rsid w:val="00844147"/>
    <w:rsid w:val="008441C9"/>
    <w:rsid w:val="00844233"/>
    <w:rsid w:val="00844253"/>
    <w:rsid w:val="008444CE"/>
    <w:rsid w:val="008445D2"/>
    <w:rsid w:val="008445E7"/>
    <w:rsid w:val="0084460C"/>
    <w:rsid w:val="0084467D"/>
    <w:rsid w:val="008446DB"/>
    <w:rsid w:val="008446EC"/>
    <w:rsid w:val="008448CC"/>
    <w:rsid w:val="00844A03"/>
    <w:rsid w:val="00844B83"/>
    <w:rsid w:val="00844C10"/>
    <w:rsid w:val="00844D0C"/>
    <w:rsid w:val="00844FB5"/>
    <w:rsid w:val="00845161"/>
    <w:rsid w:val="0084538B"/>
    <w:rsid w:val="008454E9"/>
    <w:rsid w:val="0084552A"/>
    <w:rsid w:val="008456BD"/>
    <w:rsid w:val="00845749"/>
    <w:rsid w:val="0084578C"/>
    <w:rsid w:val="008457B8"/>
    <w:rsid w:val="008459D1"/>
    <w:rsid w:val="008459EA"/>
    <w:rsid w:val="00845A9E"/>
    <w:rsid w:val="00845CEF"/>
    <w:rsid w:val="00845DD1"/>
    <w:rsid w:val="00845F85"/>
    <w:rsid w:val="008461BA"/>
    <w:rsid w:val="0084626B"/>
    <w:rsid w:val="00846425"/>
    <w:rsid w:val="008464D1"/>
    <w:rsid w:val="00846656"/>
    <w:rsid w:val="0084682D"/>
    <w:rsid w:val="00846877"/>
    <w:rsid w:val="00846AC4"/>
    <w:rsid w:val="00846B81"/>
    <w:rsid w:val="00846B98"/>
    <w:rsid w:val="00846BD6"/>
    <w:rsid w:val="00846C16"/>
    <w:rsid w:val="00846C89"/>
    <w:rsid w:val="0084705A"/>
    <w:rsid w:val="00847066"/>
    <w:rsid w:val="008471C6"/>
    <w:rsid w:val="0084722C"/>
    <w:rsid w:val="008472B5"/>
    <w:rsid w:val="0084736D"/>
    <w:rsid w:val="00847485"/>
    <w:rsid w:val="008474EE"/>
    <w:rsid w:val="008476C4"/>
    <w:rsid w:val="008478B1"/>
    <w:rsid w:val="008479AE"/>
    <w:rsid w:val="008479DB"/>
    <w:rsid w:val="00847B40"/>
    <w:rsid w:val="00847BA6"/>
    <w:rsid w:val="00847CCD"/>
    <w:rsid w:val="00847D2B"/>
    <w:rsid w:val="00847DE6"/>
    <w:rsid w:val="00850011"/>
    <w:rsid w:val="0085025C"/>
    <w:rsid w:val="008503FD"/>
    <w:rsid w:val="00850452"/>
    <w:rsid w:val="008505EC"/>
    <w:rsid w:val="008505EE"/>
    <w:rsid w:val="008505F1"/>
    <w:rsid w:val="0085065B"/>
    <w:rsid w:val="00850865"/>
    <w:rsid w:val="008508D3"/>
    <w:rsid w:val="00850993"/>
    <w:rsid w:val="00850A0D"/>
    <w:rsid w:val="00850AC8"/>
    <w:rsid w:val="00850DC3"/>
    <w:rsid w:val="00851039"/>
    <w:rsid w:val="0085121C"/>
    <w:rsid w:val="00851275"/>
    <w:rsid w:val="00851351"/>
    <w:rsid w:val="00851599"/>
    <w:rsid w:val="008515B4"/>
    <w:rsid w:val="00851688"/>
    <w:rsid w:val="00851721"/>
    <w:rsid w:val="00851870"/>
    <w:rsid w:val="00851981"/>
    <w:rsid w:val="00851BA8"/>
    <w:rsid w:val="00851CFA"/>
    <w:rsid w:val="00851D07"/>
    <w:rsid w:val="00851E09"/>
    <w:rsid w:val="00851F88"/>
    <w:rsid w:val="00851FB5"/>
    <w:rsid w:val="008521AE"/>
    <w:rsid w:val="0085225C"/>
    <w:rsid w:val="008522B3"/>
    <w:rsid w:val="008522C8"/>
    <w:rsid w:val="008522E6"/>
    <w:rsid w:val="008523C8"/>
    <w:rsid w:val="008523D0"/>
    <w:rsid w:val="008525C5"/>
    <w:rsid w:val="008525DC"/>
    <w:rsid w:val="008525E3"/>
    <w:rsid w:val="0085261B"/>
    <w:rsid w:val="008529AF"/>
    <w:rsid w:val="008529C7"/>
    <w:rsid w:val="008529EA"/>
    <w:rsid w:val="00852A78"/>
    <w:rsid w:val="00852AFD"/>
    <w:rsid w:val="00852B2F"/>
    <w:rsid w:val="00852B8F"/>
    <w:rsid w:val="00852F72"/>
    <w:rsid w:val="00852F99"/>
    <w:rsid w:val="00853152"/>
    <w:rsid w:val="0085315B"/>
    <w:rsid w:val="008533B3"/>
    <w:rsid w:val="008534EC"/>
    <w:rsid w:val="0085362D"/>
    <w:rsid w:val="008537D0"/>
    <w:rsid w:val="00853859"/>
    <w:rsid w:val="00853891"/>
    <w:rsid w:val="00853982"/>
    <w:rsid w:val="00853AA0"/>
    <w:rsid w:val="00853AAC"/>
    <w:rsid w:val="00853AB0"/>
    <w:rsid w:val="00853E2F"/>
    <w:rsid w:val="00853E36"/>
    <w:rsid w:val="00853F6F"/>
    <w:rsid w:val="00853FC1"/>
    <w:rsid w:val="00854011"/>
    <w:rsid w:val="008540F0"/>
    <w:rsid w:val="0085450F"/>
    <w:rsid w:val="0085474F"/>
    <w:rsid w:val="0085476E"/>
    <w:rsid w:val="00854776"/>
    <w:rsid w:val="00854880"/>
    <w:rsid w:val="00854978"/>
    <w:rsid w:val="00854A0A"/>
    <w:rsid w:val="00854B30"/>
    <w:rsid w:val="00854C90"/>
    <w:rsid w:val="00854E5B"/>
    <w:rsid w:val="00854ECA"/>
    <w:rsid w:val="00854EDC"/>
    <w:rsid w:val="00854F16"/>
    <w:rsid w:val="00854F96"/>
    <w:rsid w:val="00854F9C"/>
    <w:rsid w:val="008551D8"/>
    <w:rsid w:val="00855204"/>
    <w:rsid w:val="00855212"/>
    <w:rsid w:val="00855330"/>
    <w:rsid w:val="00855343"/>
    <w:rsid w:val="00855363"/>
    <w:rsid w:val="0085545E"/>
    <w:rsid w:val="008554C5"/>
    <w:rsid w:val="0085561C"/>
    <w:rsid w:val="00855666"/>
    <w:rsid w:val="008556D2"/>
    <w:rsid w:val="00855714"/>
    <w:rsid w:val="0085575B"/>
    <w:rsid w:val="0085584D"/>
    <w:rsid w:val="0085598B"/>
    <w:rsid w:val="00855A01"/>
    <w:rsid w:val="00855A37"/>
    <w:rsid w:val="00855A91"/>
    <w:rsid w:val="00855A92"/>
    <w:rsid w:val="00855AF1"/>
    <w:rsid w:val="00855B40"/>
    <w:rsid w:val="00855B5B"/>
    <w:rsid w:val="00855BBC"/>
    <w:rsid w:val="00855CA0"/>
    <w:rsid w:val="00855D1D"/>
    <w:rsid w:val="00856054"/>
    <w:rsid w:val="008561A6"/>
    <w:rsid w:val="00856286"/>
    <w:rsid w:val="0085636A"/>
    <w:rsid w:val="00856499"/>
    <w:rsid w:val="00856617"/>
    <w:rsid w:val="00856702"/>
    <w:rsid w:val="00856756"/>
    <w:rsid w:val="0085688E"/>
    <w:rsid w:val="00856A53"/>
    <w:rsid w:val="00856B33"/>
    <w:rsid w:val="00856E57"/>
    <w:rsid w:val="00856F0D"/>
    <w:rsid w:val="00856F33"/>
    <w:rsid w:val="0085709B"/>
    <w:rsid w:val="00857230"/>
    <w:rsid w:val="0085731E"/>
    <w:rsid w:val="008574F0"/>
    <w:rsid w:val="00857618"/>
    <w:rsid w:val="00857658"/>
    <w:rsid w:val="0085773B"/>
    <w:rsid w:val="008578E4"/>
    <w:rsid w:val="00857AF2"/>
    <w:rsid w:val="00857B4E"/>
    <w:rsid w:val="00857B5E"/>
    <w:rsid w:val="00857E48"/>
    <w:rsid w:val="00857E4C"/>
    <w:rsid w:val="00857EEF"/>
    <w:rsid w:val="00857F4D"/>
    <w:rsid w:val="00857FFE"/>
    <w:rsid w:val="00860007"/>
    <w:rsid w:val="008603E8"/>
    <w:rsid w:val="00860425"/>
    <w:rsid w:val="008604BE"/>
    <w:rsid w:val="0086073F"/>
    <w:rsid w:val="00860876"/>
    <w:rsid w:val="008608CE"/>
    <w:rsid w:val="008609AD"/>
    <w:rsid w:val="00860CA7"/>
    <w:rsid w:val="00860CB4"/>
    <w:rsid w:val="00860F52"/>
    <w:rsid w:val="00860FD2"/>
    <w:rsid w:val="008610CC"/>
    <w:rsid w:val="008613EC"/>
    <w:rsid w:val="00861484"/>
    <w:rsid w:val="00861696"/>
    <w:rsid w:val="008617D8"/>
    <w:rsid w:val="00861810"/>
    <w:rsid w:val="00861976"/>
    <w:rsid w:val="00861A4E"/>
    <w:rsid w:val="00861A88"/>
    <w:rsid w:val="00861BB5"/>
    <w:rsid w:val="00861DC9"/>
    <w:rsid w:val="00861DF7"/>
    <w:rsid w:val="00861E04"/>
    <w:rsid w:val="00861E1C"/>
    <w:rsid w:val="00861E96"/>
    <w:rsid w:val="00862008"/>
    <w:rsid w:val="00862189"/>
    <w:rsid w:val="0086230D"/>
    <w:rsid w:val="00862430"/>
    <w:rsid w:val="00862567"/>
    <w:rsid w:val="00862657"/>
    <w:rsid w:val="0086271A"/>
    <w:rsid w:val="00862722"/>
    <w:rsid w:val="0086286B"/>
    <w:rsid w:val="00862952"/>
    <w:rsid w:val="00862CB1"/>
    <w:rsid w:val="00862D35"/>
    <w:rsid w:val="00862E60"/>
    <w:rsid w:val="00862EE7"/>
    <w:rsid w:val="00862F5C"/>
    <w:rsid w:val="00863393"/>
    <w:rsid w:val="008633E9"/>
    <w:rsid w:val="008635BF"/>
    <w:rsid w:val="008635EE"/>
    <w:rsid w:val="0086385A"/>
    <w:rsid w:val="008638D3"/>
    <w:rsid w:val="00863901"/>
    <w:rsid w:val="00863A34"/>
    <w:rsid w:val="00863CC3"/>
    <w:rsid w:val="00863E7E"/>
    <w:rsid w:val="00863EBD"/>
    <w:rsid w:val="0086403E"/>
    <w:rsid w:val="0086406D"/>
    <w:rsid w:val="00864152"/>
    <w:rsid w:val="00864289"/>
    <w:rsid w:val="00864392"/>
    <w:rsid w:val="008643BB"/>
    <w:rsid w:val="00864498"/>
    <w:rsid w:val="008645E5"/>
    <w:rsid w:val="00864666"/>
    <w:rsid w:val="0086473A"/>
    <w:rsid w:val="0086499C"/>
    <w:rsid w:val="00864B1A"/>
    <w:rsid w:val="00864C0D"/>
    <w:rsid w:val="00864C4F"/>
    <w:rsid w:val="00864CE0"/>
    <w:rsid w:val="00864D3F"/>
    <w:rsid w:val="00864E23"/>
    <w:rsid w:val="00864E43"/>
    <w:rsid w:val="00864E6B"/>
    <w:rsid w:val="008652E2"/>
    <w:rsid w:val="008653F2"/>
    <w:rsid w:val="008654C4"/>
    <w:rsid w:val="0086591D"/>
    <w:rsid w:val="008659BC"/>
    <w:rsid w:val="00865A10"/>
    <w:rsid w:val="00865B76"/>
    <w:rsid w:val="00865C57"/>
    <w:rsid w:val="00866097"/>
    <w:rsid w:val="008662F5"/>
    <w:rsid w:val="00866325"/>
    <w:rsid w:val="00866511"/>
    <w:rsid w:val="00866615"/>
    <w:rsid w:val="0086664B"/>
    <w:rsid w:val="00866759"/>
    <w:rsid w:val="0086675A"/>
    <w:rsid w:val="00866949"/>
    <w:rsid w:val="00866988"/>
    <w:rsid w:val="00866B04"/>
    <w:rsid w:val="00866D56"/>
    <w:rsid w:val="00866E0F"/>
    <w:rsid w:val="00866E1A"/>
    <w:rsid w:val="00866E4E"/>
    <w:rsid w:val="00866ECB"/>
    <w:rsid w:val="00866F1E"/>
    <w:rsid w:val="00867051"/>
    <w:rsid w:val="008670DC"/>
    <w:rsid w:val="00867312"/>
    <w:rsid w:val="00867343"/>
    <w:rsid w:val="00867388"/>
    <w:rsid w:val="008674DE"/>
    <w:rsid w:val="008676BD"/>
    <w:rsid w:val="00867764"/>
    <w:rsid w:val="0086787D"/>
    <w:rsid w:val="008678A7"/>
    <w:rsid w:val="0086793C"/>
    <w:rsid w:val="0086798E"/>
    <w:rsid w:val="00867AC1"/>
    <w:rsid w:val="00867EF7"/>
    <w:rsid w:val="00867F7B"/>
    <w:rsid w:val="0087005D"/>
    <w:rsid w:val="008701EC"/>
    <w:rsid w:val="008701EE"/>
    <w:rsid w:val="008701F2"/>
    <w:rsid w:val="008702EC"/>
    <w:rsid w:val="0087048B"/>
    <w:rsid w:val="008705F6"/>
    <w:rsid w:val="00870791"/>
    <w:rsid w:val="0087085A"/>
    <w:rsid w:val="0087088D"/>
    <w:rsid w:val="00870A76"/>
    <w:rsid w:val="00870A7C"/>
    <w:rsid w:val="00870A99"/>
    <w:rsid w:val="00870B49"/>
    <w:rsid w:val="00870CB5"/>
    <w:rsid w:val="00870CBB"/>
    <w:rsid w:val="00870D62"/>
    <w:rsid w:val="00870DD5"/>
    <w:rsid w:val="00870EA6"/>
    <w:rsid w:val="00870FB6"/>
    <w:rsid w:val="008712B4"/>
    <w:rsid w:val="008713A1"/>
    <w:rsid w:val="008713EC"/>
    <w:rsid w:val="0087148A"/>
    <w:rsid w:val="008714FC"/>
    <w:rsid w:val="00871645"/>
    <w:rsid w:val="008717E2"/>
    <w:rsid w:val="00871986"/>
    <w:rsid w:val="00871A7B"/>
    <w:rsid w:val="00871B07"/>
    <w:rsid w:val="00871C2E"/>
    <w:rsid w:val="00871C83"/>
    <w:rsid w:val="00871D6F"/>
    <w:rsid w:val="00871E23"/>
    <w:rsid w:val="00872008"/>
    <w:rsid w:val="008720D8"/>
    <w:rsid w:val="00872131"/>
    <w:rsid w:val="00872472"/>
    <w:rsid w:val="0087256C"/>
    <w:rsid w:val="0087266F"/>
    <w:rsid w:val="008726D2"/>
    <w:rsid w:val="0087272D"/>
    <w:rsid w:val="00872A3C"/>
    <w:rsid w:val="00872B07"/>
    <w:rsid w:val="00872B16"/>
    <w:rsid w:val="00872B27"/>
    <w:rsid w:val="00872BA3"/>
    <w:rsid w:val="00872BEF"/>
    <w:rsid w:val="00872C2F"/>
    <w:rsid w:val="00872CF8"/>
    <w:rsid w:val="00872D39"/>
    <w:rsid w:val="00872ECA"/>
    <w:rsid w:val="00872F42"/>
    <w:rsid w:val="0087300A"/>
    <w:rsid w:val="0087308C"/>
    <w:rsid w:val="00873202"/>
    <w:rsid w:val="00873215"/>
    <w:rsid w:val="008732A6"/>
    <w:rsid w:val="00873336"/>
    <w:rsid w:val="00873461"/>
    <w:rsid w:val="008734FB"/>
    <w:rsid w:val="008735CB"/>
    <w:rsid w:val="00873662"/>
    <w:rsid w:val="00873C1A"/>
    <w:rsid w:val="00873C78"/>
    <w:rsid w:val="00873D64"/>
    <w:rsid w:val="00873D6E"/>
    <w:rsid w:val="00873E50"/>
    <w:rsid w:val="00874057"/>
    <w:rsid w:val="00874091"/>
    <w:rsid w:val="008740E7"/>
    <w:rsid w:val="0087412F"/>
    <w:rsid w:val="00874158"/>
    <w:rsid w:val="008743BF"/>
    <w:rsid w:val="00874433"/>
    <w:rsid w:val="0087462B"/>
    <w:rsid w:val="0087480B"/>
    <w:rsid w:val="00874B19"/>
    <w:rsid w:val="00874C5F"/>
    <w:rsid w:val="00874F79"/>
    <w:rsid w:val="008752E2"/>
    <w:rsid w:val="008753FB"/>
    <w:rsid w:val="00875459"/>
    <w:rsid w:val="00875499"/>
    <w:rsid w:val="008754CA"/>
    <w:rsid w:val="00875598"/>
    <w:rsid w:val="0087569A"/>
    <w:rsid w:val="008757EA"/>
    <w:rsid w:val="00875824"/>
    <w:rsid w:val="00875919"/>
    <w:rsid w:val="00875B14"/>
    <w:rsid w:val="00875B27"/>
    <w:rsid w:val="00875CD2"/>
    <w:rsid w:val="00875D50"/>
    <w:rsid w:val="00875D72"/>
    <w:rsid w:val="00875FF1"/>
    <w:rsid w:val="008761A2"/>
    <w:rsid w:val="008761BD"/>
    <w:rsid w:val="008761C7"/>
    <w:rsid w:val="008761D5"/>
    <w:rsid w:val="008761E2"/>
    <w:rsid w:val="00876310"/>
    <w:rsid w:val="008763A5"/>
    <w:rsid w:val="0087649E"/>
    <w:rsid w:val="008764D9"/>
    <w:rsid w:val="008764F4"/>
    <w:rsid w:val="008765EB"/>
    <w:rsid w:val="00876625"/>
    <w:rsid w:val="008767A0"/>
    <w:rsid w:val="008767F5"/>
    <w:rsid w:val="0087683B"/>
    <w:rsid w:val="0087688D"/>
    <w:rsid w:val="008768FA"/>
    <w:rsid w:val="00876918"/>
    <w:rsid w:val="00876B6B"/>
    <w:rsid w:val="00876D4A"/>
    <w:rsid w:val="00876D5C"/>
    <w:rsid w:val="00876E33"/>
    <w:rsid w:val="00876F53"/>
    <w:rsid w:val="00876FE5"/>
    <w:rsid w:val="00877086"/>
    <w:rsid w:val="008770D7"/>
    <w:rsid w:val="0087710D"/>
    <w:rsid w:val="00877220"/>
    <w:rsid w:val="008772CD"/>
    <w:rsid w:val="008773F7"/>
    <w:rsid w:val="00877446"/>
    <w:rsid w:val="00877639"/>
    <w:rsid w:val="0087763A"/>
    <w:rsid w:val="0087771E"/>
    <w:rsid w:val="00877764"/>
    <w:rsid w:val="008779FD"/>
    <w:rsid w:val="00877BE6"/>
    <w:rsid w:val="00877E7F"/>
    <w:rsid w:val="00877E81"/>
    <w:rsid w:val="00877E97"/>
    <w:rsid w:val="00877EB8"/>
    <w:rsid w:val="00877F69"/>
    <w:rsid w:val="0088000F"/>
    <w:rsid w:val="00880072"/>
    <w:rsid w:val="008800A0"/>
    <w:rsid w:val="0088010F"/>
    <w:rsid w:val="00880137"/>
    <w:rsid w:val="008801D8"/>
    <w:rsid w:val="008802BD"/>
    <w:rsid w:val="00880372"/>
    <w:rsid w:val="0088037E"/>
    <w:rsid w:val="00880434"/>
    <w:rsid w:val="00880459"/>
    <w:rsid w:val="00880479"/>
    <w:rsid w:val="008804AF"/>
    <w:rsid w:val="008804CD"/>
    <w:rsid w:val="00880558"/>
    <w:rsid w:val="0088066A"/>
    <w:rsid w:val="00880C04"/>
    <w:rsid w:val="00880CF1"/>
    <w:rsid w:val="00880D03"/>
    <w:rsid w:val="00880D2A"/>
    <w:rsid w:val="00880D4D"/>
    <w:rsid w:val="00880D64"/>
    <w:rsid w:val="00880E2C"/>
    <w:rsid w:val="00880EED"/>
    <w:rsid w:val="00880FC8"/>
    <w:rsid w:val="00881006"/>
    <w:rsid w:val="0088106C"/>
    <w:rsid w:val="0088109B"/>
    <w:rsid w:val="00881102"/>
    <w:rsid w:val="008812A7"/>
    <w:rsid w:val="008814EC"/>
    <w:rsid w:val="00881510"/>
    <w:rsid w:val="008815B0"/>
    <w:rsid w:val="00881623"/>
    <w:rsid w:val="00881677"/>
    <w:rsid w:val="00881689"/>
    <w:rsid w:val="0088169D"/>
    <w:rsid w:val="00881736"/>
    <w:rsid w:val="008817B2"/>
    <w:rsid w:val="008818D7"/>
    <w:rsid w:val="00881C48"/>
    <w:rsid w:val="00881D8D"/>
    <w:rsid w:val="00881E4F"/>
    <w:rsid w:val="00881EDE"/>
    <w:rsid w:val="00882036"/>
    <w:rsid w:val="00882072"/>
    <w:rsid w:val="0088211A"/>
    <w:rsid w:val="00882231"/>
    <w:rsid w:val="008822F3"/>
    <w:rsid w:val="00882420"/>
    <w:rsid w:val="00882461"/>
    <w:rsid w:val="00882475"/>
    <w:rsid w:val="0088248E"/>
    <w:rsid w:val="00882620"/>
    <w:rsid w:val="0088266B"/>
    <w:rsid w:val="008829A7"/>
    <w:rsid w:val="00882A00"/>
    <w:rsid w:val="00882B02"/>
    <w:rsid w:val="00882BBE"/>
    <w:rsid w:val="00882CD6"/>
    <w:rsid w:val="00882CF8"/>
    <w:rsid w:val="00882DB0"/>
    <w:rsid w:val="00882E03"/>
    <w:rsid w:val="00882E74"/>
    <w:rsid w:val="00882EA3"/>
    <w:rsid w:val="0088339D"/>
    <w:rsid w:val="008833D1"/>
    <w:rsid w:val="008833D8"/>
    <w:rsid w:val="00883425"/>
    <w:rsid w:val="008834B9"/>
    <w:rsid w:val="0088354A"/>
    <w:rsid w:val="0088361C"/>
    <w:rsid w:val="00883784"/>
    <w:rsid w:val="00883803"/>
    <w:rsid w:val="00883809"/>
    <w:rsid w:val="008839B9"/>
    <w:rsid w:val="00883A96"/>
    <w:rsid w:val="00883D56"/>
    <w:rsid w:val="0088408A"/>
    <w:rsid w:val="0088428C"/>
    <w:rsid w:val="0088435E"/>
    <w:rsid w:val="0088437F"/>
    <w:rsid w:val="00884495"/>
    <w:rsid w:val="008845A0"/>
    <w:rsid w:val="00884617"/>
    <w:rsid w:val="00884665"/>
    <w:rsid w:val="0088498F"/>
    <w:rsid w:val="008849A4"/>
    <w:rsid w:val="008849D0"/>
    <w:rsid w:val="00884C51"/>
    <w:rsid w:val="00884C5E"/>
    <w:rsid w:val="00884C84"/>
    <w:rsid w:val="00884DAE"/>
    <w:rsid w:val="00884DCB"/>
    <w:rsid w:val="00884F07"/>
    <w:rsid w:val="00884F19"/>
    <w:rsid w:val="00884FD2"/>
    <w:rsid w:val="00885181"/>
    <w:rsid w:val="00885356"/>
    <w:rsid w:val="008853D1"/>
    <w:rsid w:val="0088544C"/>
    <w:rsid w:val="00885964"/>
    <w:rsid w:val="00885A45"/>
    <w:rsid w:val="00885AA4"/>
    <w:rsid w:val="00885ABE"/>
    <w:rsid w:val="00885B70"/>
    <w:rsid w:val="00885B84"/>
    <w:rsid w:val="00885CFA"/>
    <w:rsid w:val="00885CFF"/>
    <w:rsid w:val="00886001"/>
    <w:rsid w:val="00886093"/>
    <w:rsid w:val="008860EC"/>
    <w:rsid w:val="00886120"/>
    <w:rsid w:val="00886124"/>
    <w:rsid w:val="00886167"/>
    <w:rsid w:val="00886180"/>
    <w:rsid w:val="00886284"/>
    <w:rsid w:val="008862EB"/>
    <w:rsid w:val="00886386"/>
    <w:rsid w:val="008863CE"/>
    <w:rsid w:val="00886446"/>
    <w:rsid w:val="00886523"/>
    <w:rsid w:val="00886974"/>
    <w:rsid w:val="00886A0B"/>
    <w:rsid w:val="00886A78"/>
    <w:rsid w:val="00886C47"/>
    <w:rsid w:val="00886CB4"/>
    <w:rsid w:val="00886CE0"/>
    <w:rsid w:val="00886F08"/>
    <w:rsid w:val="00886FE3"/>
    <w:rsid w:val="00886FEB"/>
    <w:rsid w:val="0088714A"/>
    <w:rsid w:val="008871F0"/>
    <w:rsid w:val="0088728B"/>
    <w:rsid w:val="008872F3"/>
    <w:rsid w:val="0088732F"/>
    <w:rsid w:val="0088737D"/>
    <w:rsid w:val="00887493"/>
    <w:rsid w:val="00887510"/>
    <w:rsid w:val="00887543"/>
    <w:rsid w:val="00887661"/>
    <w:rsid w:val="0088768D"/>
    <w:rsid w:val="0088792F"/>
    <w:rsid w:val="00887966"/>
    <w:rsid w:val="00887AE5"/>
    <w:rsid w:val="00887B95"/>
    <w:rsid w:val="00887BB2"/>
    <w:rsid w:val="00887C7C"/>
    <w:rsid w:val="00887D95"/>
    <w:rsid w:val="00887DD7"/>
    <w:rsid w:val="00890068"/>
    <w:rsid w:val="008900C5"/>
    <w:rsid w:val="00890129"/>
    <w:rsid w:val="00890166"/>
    <w:rsid w:val="00890167"/>
    <w:rsid w:val="0089037E"/>
    <w:rsid w:val="00890395"/>
    <w:rsid w:val="008904D1"/>
    <w:rsid w:val="00890589"/>
    <w:rsid w:val="008905BB"/>
    <w:rsid w:val="00890633"/>
    <w:rsid w:val="0089074C"/>
    <w:rsid w:val="008907A1"/>
    <w:rsid w:val="008907F0"/>
    <w:rsid w:val="00890832"/>
    <w:rsid w:val="00890937"/>
    <w:rsid w:val="008909E8"/>
    <w:rsid w:val="00890A9A"/>
    <w:rsid w:val="00890DEF"/>
    <w:rsid w:val="00890E28"/>
    <w:rsid w:val="00890F7F"/>
    <w:rsid w:val="008910B4"/>
    <w:rsid w:val="008911F7"/>
    <w:rsid w:val="008912F3"/>
    <w:rsid w:val="00891327"/>
    <w:rsid w:val="0089143D"/>
    <w:rsid w:val="0089162C"/>
    <w:rsid w:val="00891664"/>
    <w:rsid w:val="0089168C"/>
    <w:rsid w:val="0089189E"/>
    <w:rsid w:val="008918E9"/>
    <w:rsid w:val="00891C78"/>
    <w:rsid w:val="00891CCA"/>
    <w:rsid w:val="00891D32"/>
    <w:rsid w:val="0089205E"/>
    <w:rsid w:val="00892339"/>
    <w:rsid w:val="008923E0"/>
    <w:rsid w:val="008926CC"/>
    <w:rsid w:val="00892CDD"/>
    <w:rsid w:val="00892D5E"/>
    <w:rsid w:val="00892FB2"/>
    <w:rsid w:val="0089314D"/>
    <w:rsid w:val="00893223"/>
    <w:rsid w:val="0089344D"/>
    <w:rsid w:val="00893660"/>
    <w:rsid w:val="0089370B"/>
    <w:rsid w:val="00893739"/>
    <w:rsid w:val="00893885"/>
    <w:rsid w:val="008938F4"/>
    <w:rsid w:val="00893AF6"/>
    <w:rsid w:val="00893EAE"/>
    <w:rsid w:val="00893ED0"/>
    <w:rsid w:val="00893F95"/>
    <w:rsid w:val="0089404D"/>
    <w:rsid w:val="0089417A"/>
    <w:rsid w:val="00894192"/>
    <w:rsid w:val="008941F2"/>
    <w:rsid w:val="008942AE"/>
    <w:rsid w:val="008943AE"/>
    <w:rsid w:val="008943C7"/>
    <w:rsid w:val="008943E7"/>
    <w:rsid w:val="00894414"/>
    <w:rsid w:val="00894682"/>
    <w:rsid w:val="00894939"/>
    <w:rsid w:val="00894946"/>
    <w:rsid w:val="00895071"/>
    <w:rsid w:val="00895113"/>
    <w:rsid w:val="00895199"/>
    <w:rsid w:val="008951D4"/>
    <w:rsid w:val="008954FD"/>
    <w:rsid w:val="0089554D"/>
    <w:rsid w:val="008956A4"/>
    <w:rsid w:val="008957AF"/>
    <w:rsid w:val="008957D2"/>
    <w:rsid w:val="00895821"/>
    <w:rsid w:val="008958BA"/>
    <w:rsid w:val="00895973"/>
    <w:rsid w:val="008959A1"/>
    <w:rsid w:val="00895A64"/>
    <w:rsid w:val="00895AA6"/>
    <w:rsid w:val="00895B2D"/>
    <w:rsid w:val="00895BCF"/>
    <w:rsid w:val="00895BFF"/>
    <w:rsid w:val="00895C37"/>
    <w:rsid w:val="00895E5D"/>
    <w:rsid w:val="00895E8A"/>
    <w:rsid w:val="00895EAB"/>
    <w:rsid w:val="00895EB5"/>
    <w:rsid w:val="00896015"/>
    <w:rsid w:val="00896226"/>
    <w:rsid w:val="00896291"/>
    <w:rsid w:val="00896357"/>
    <w:rsid w:val="00896400"/>
    <w:rsid w:val="00896479"/>
    <w:rsid w:val="00896481"/>
    <w:rsid w:val="00896554"/>
    <w:rsid w:val="00896691"/>
    <w:rsid w:val="00896707"/>
    <w:rsid w:val="008967B8"/>
    <w:rsid w:val="00896AD9"/>
    <w:rsid w:val="00896E01"/>
    <w:rsid w:val="00896EBA"/>
    <w:rsid w:val="00897349"/>
    <w:rsid w:val="008973D4"/>
    <w:rsid w:val="00897455"/>
    <w:rsid w:val="008974D5"/>
    <w:rsid w:val="008975A4"/>
    <w:rsid w:val="008976A2"/>
    <w:rsid w:val="008976CE"/>
    <w:rsid w:val="008976CF"/>
    <w:rsid w:val="0089786B"/>
    <w:rsid w:val="00897918"/>
    <w:rsid w:val="00897E59"/>
    <w:rsid w:val="00897EB4"/>
    <w:rsid w:val="00897F69"/>
    <w:rsid w:val="008A006A"/>
    <w:rsid w:val="008A0219"/>
    <w:rsid w:val="008A02CA"/>
    <w:rsid w:val="008A0399"/>
    <w:rsid w:val="008A05B7"/>
    <w:rsid w:val="008A05D1"/>
    <w:rsid w:val="008A087B"/>
    <w:rsid w:val="008A088C"/>
    <w:rsid w:val="008A0A7B"/>
    <w:rsid w:val="008A0A8E"/>
    <w:rsid w:val="008A0BC5"/>
    <w:rsid w:val="008A0C7C"/>
    <w:rsid w:val="008A0DE7"/>
    <w:rsid w:val="008A0DFB"/>
    <w:rsid w:val="008A0E60"/>
    <w:rsid w:val="008A0ECC"/>
    <w:rsid w:val="008A1072"/>
    <w:rsid w:val="008A1177"/>
    <w:rsid w:val="008A1225"/>
    <w:rsid w:val="008A154F"/>
    <w:rsid w:val="008A15D2"/>
    <w:rsid w:val="008A1673"/>
    <w:rsid w:val="008A16D6"/>
    <w:rsid w:val="008A16F8"/>
    <w:rsid w:val="008A16FD"/>
    <w:rsid w:val="008A1B96"/>
    <w:rsid w:val="008A1BD2"/>
    <w:rsid w:val="008A1D28"/>
    <w:rsid w:val="008A1E48"/>
    <w:rsid w:val="008A1E65"/>
    <w:rsid w:val="008A1EE7"/>
    <w:rsid w:val="008A2030"/>
    <w:rsid w:val="008A204C"/>
    <w:rsid w:val="008A2108"/>
    <w:rsid w:val="008A2162"/>
    <w:rsid w:val="008A2164"/>
    <w:rsid w:val="008A22B4"/>
    <w:rsid w:val="008A22B8"/>
    <w:rsid w:val="008A22DE"/>
    <w:rsid w:val="008A2459"/>
    <w:rsid w:val="008A2594"/>
    <w:rsid w:val="008A25D6"/>
    <w:rsid w:val="008A27E2"/>
    <w:rsid w:val="008A2855"/>
    <w:rsid w:val="008A28B7"/>
    <w:rsid w:val="008A2A2F"/>
    <w:rsid w:val="008A2B86"/>
    <w:rsid w:val="008A2C54"/>
    <w:rsid w:val="008A2EBD"/>
    <w:rsid w:val="008A3165"/>
    <w:rsid w:val="008A3211"/>
    <w:rsid w:val="008A343F"/>
    <w:rsid w:val="008A3A44"/>
    <w:rsid w:val="008A3A56"/>
    <w:rsid w:val="008A3AF7"/>
    <w:rsid w:val="008A3C9C"/>
    <w:rsid w:val="008A3D09"/>
    <w:rsid w:val="008A3DBF"/>
    <w:rsid w:val="008A3DD0"/>
    <w:rsid w:val="008A3E3C"/>
    <w:rsid w:val="008A3F55"/>
    <w:rsid w:val="008A4093"/>
    <w:rsid w:val="008A40C1"/>
    <w:rsid w:val="008A4104"/>
    <w:rsid w:val="008A4207"/>
    <w:rsid w:val="008A42FD"/>
    <w:rsid w:val="008A43A5"/>
    <w:rsid w:val="008A459D"/>
    <w:rsid w:val="008A45CF"/>
    <w:rsid w:val="008A4652"/>
    <w:rsid w:val="008A480C"/>
    <w:rsid w:val="008A4844"/>
    <w:rsid w:val="008A4B49"/>
    <w:rsid w:val="008A4D5D"/>
    <w:rsid w:val="008A4DD4"/>
    <w:rsid w:val="008A4EF5"/>
    <w:rsid w:val="008A4F7D"/>
    <w:rsid w:val="008A5212"/>
    <w:rsid w:val="008A521E"/>
    <w:rsid w:val="008A5251"/>
    <w:rsid w:val="008A5304"/>
    <w:rsid w:val="008A5361"/>
    <w:rsid w:val="008A5448"/>
    <w:rsid w:val="008A547B"/>
    <w:rsid w:val="008A5711"/>
    <w:rsid w:val="008A57D9"/>
    <w:rsid w:val="008A5891"/>
    <w:rsid w:val="008A59B2"/>
    <w:rsid w:val="008A5AA2"/>
    <w:rsid w:val="008A5C0B"/>
    <w:rsid w:val="008A5C62"/>
    <w:rsid w:val="008A5D20"/>
    <w:rsid w:val="008A5E22"/>
    <w:rsid w:val="008A5E9D"/>
    <w:rsid w:val="008A5ED0"/>
    <w:rsid w:val="008A6082"/>
    <w:rsid w:val="008A6155"/>
    <w:rsid w:val="008A624D"/>
    <w:rsid w:val="008A63DC"/>
    <w:rsid w:val="008A6474"/>
    <w:rsid w:val="008A6605"/>
    <w:rsid w:val="008A6775"/>
    <w:rsid w:val="008A67E2"/>
    <w:rsid w:val="008A684C"/>
    <w:rsid w:val="008A6A95"/>
    <w:rsid w:val="008A6BF2"/>
    <w:rsid w:val="008A6D7F"/>
    <w:rsid w:val="008A6DB5"/>
    <w:rsid w:val="008A6DC4"/>
    <w:rsid w:val="008A6E84"/>
    <w:rsid w:val="008A718D"/>
    <w:rsid w:val="008A71CB"/>
    <w:rsid w:val="008A731D"/>
    <w:rsid w:val="008A7462"/>
    <w:rsid w:val="008A761F"/>
    <w:rsid w:val="008A76FC"/>
    <w:rsid w:val="008A7829"/>
    <w:rsid w:val="008A7C44"/>
    <w:rsid w:val="008A7CBC"/>
    <w:rsid w:val="008A7D94"/>
    <w:rsid w:val="008A7E71"/>
    <w:rsid w:val="008A7EDC"/>
    <w:rsid w:val="008B039B"/>
    <w:rsid w:val="008B0494"/>
    <w:rsid w:val="008B051D"/>
    <w:rsid w:val="008B06C2"/>
    <w:rsid w:val="008B08C5"/>
    <w:rsid w:val="008B0B4D"/>
    <w:rsid w:val="008B0DC7"/>
    <w:rsid w:val="008B0DF5"/>
    <w:rsid w:val="008B0EE8"/>
    <w:rsid w:val="008B1163"/>
    <w:rsid w:val="008B130B"/>
    <w:rsid w:val="008B13A4"/>
    <w:rsid w:val="008B13EE"/>
    <w:rsid w:val="008B14E6"/>
    <w:rsid w:val="008B151E"/>
    <w:rsid w:val="008B157D"/>
    <w:rsid w:val="008B15AF"/>
    <w:rsid w:val="008B16E1"/>
    <w:rsid w:val="008B17DF"/>
    <w:rsid w:val="008B1865"/>
    <w:rsid w:val="008B18E3"/>
    <w:rsid w:val="008B19A3"/>
    <w:rsid w:val="008B19C7"/>
    <w:rsid w:val="008B1AA2"/>
    <w:rsid w:val="008B1ADA"/>
    <w:rsid w:val="008B1C0D"/>
    <w:rsid w:val="008B1C8D"/>
    <w:rsid w:val="008B1EAA"/>
    <w:rsid w:val="008B1FA1"/>
    <w:rsid w:val="008B218F"/>
    <w:rsid w:val="008B2199"/>
    <w:rsid w:val="008B2230"/>
    <w:rsid w:val="008B257E"/>
    <w:rsid w:val="008B2628"/>
    <w:rsid w:val="008B27B3"/>
    <w:rsid w:val="008B28E7"/>
    <w:rsid w:val="008B298A"/>
    <w:rsid w:val="008B2993"/>
    <w:rsid w:val="008B29A4"/>
    <w:rsid w:val="008B2C90"/>
    <w:rsid w:val="008B2D60"/>
    <w:rsid w:val="008B2DA2"/>
    <w:rsid w:val="008B2E8B"/>
    <w:rsid w:val="008B2EAE"/>
    <w:rsid w:val="008B2EE9"/>
    <w:rsid w:val="008B31AE"/>
    <w:rsid w:val="008B31B0"/>
    <w:rsid w:val="008B31FE"/>
    <w:rsid w:val="008B34C1"/>
    <w:rsid w:val="008B34CF"/>
    <w:rsid w:val="008B354F"/>
    <w:rsid w:val="008B3658"/>
    <w:rsid w:val="008B3AE5"/>
    <w:rsid w:val="008B3B71"/>
    <w:rsid w:val="008B3C41"/>
    <w:rsid w:val="008B3D56"/>
    <w:rsid w:val="008B3DB9"/>
    <w:rsid w:val="008B3DD6"/>
    <w:rsid w:val="008B41A6"/>
    <w:rsid w:val="008B4200"/>
    <w:rsid w:val="008B4297"/>
    <w:rsid w:val="008B42AE"/>
    <w:rsid w:val="008B44F4"/>
    <w:rsid w:val="008B45D2"/>
    <w:rsid w:val="008B46A4"/>
    <w:rsid w:val="008B46D2"/>
    <w:rsid w:val="008B47FC"/>
    <w:rsid w:val="008B4AD4"/>
    <w:rsid w:val="008B4B18"/>
    <w:rsid w:val="008B4D35"/>
    <w:rsid w:val="008B4E6F"/>
    <w:rsid w:val="008B4E9C"/>
    <w:rsid w:val="008B5453"/>
    <w:rsid w:val="008B5670"/>
    <w:rsid w:val="008B5865"/>
    <w:rsid w:val="008B5967"/>
    <w:rsid w:val="008B5A3C"/>
    <w:rsid w:val="008B5B13"/>
    <w:rsid w:val="008B5BBF"/>
    <w:rsid w:val="008B5BD8"/>
    <w:rsid w:val="008B5E1A"/>
    <w:rsid w:val="008B60A6"/>
    <w:rsid w:val="008B6212"/>
    <w:rsid w:val="008B6296"/>
    <w:rsid w:val="008B62E2"/>
    <w:rsid w:val="008B6421"/>
    <w:rsid w:val="008B64FE"/>
    <w:rsid w:val="008B6591"/>
    <w:rsid w:val="008B6611"/>
    <w:rsid w:val="008B66B6"/>
    <w:rsid w:val="008B6720"/>
    <w:rsid w:val="008B679F"/>
    <w:rsid w:val="008B687E"/>
    <w:rsid w:val="008B69FA"/>
    <w:rsid w:val="008B6AFB"/>
    <w:rsid w:val="008B6B2A"/>
    <w:rsid w:val="008B6D92"/>
    <w:rsid w:val="008B6D9A"/>
    <w:rsid w:val="008B6EDE"/>
    <w:rsid w:val="008B6F68"/>
    <w:rsid w:val="008B6F6B"/>
    <w:rsid w:val="008B6F71"/>
    <w:rsid w:val="008B705A"/>
    <w:rsid w:val="008B712B"/>
    <w:rsid w:val="008B7368"/>
    <w:rsid w:val="008B74AE"/>
    <w:rsid w:val="008B7511"/>
    <w:rsid w:val="008B757B"/>
    <w:rsid w:val="008B757F"/>
    <w:rsid w:val="008B7916"/>
    <w:rsid w:val="008B7A12"/>
    <w:rsid w:val="008B7A74"/>
    <w:rsid w:val="008B7AF2"/>
    <w:rsid w:val="008B7CBE"/>
    <w:rsid w:val="008B7CE7"/>
    <w:rsid w:val="008B7D3B"/>
    <w:rsid w:val="008B7EA7"/>
    <w:rsid w:val="008B7EB8"/>
    <w:rsid w:val="008B7F34"/>
    <w:rsid w:val="008C02FE"/>
    <w:rsid w:val="008C0428"/>
    <w:rsid w:val="008C0496"/>
    <w:rsid w:val="008C04C3"/>
    <w:rsid w:val="008C054C"/>
    <w:rsid w:val="008C078D"/>
    <w:rsid w:val="008C0924"/>
    <w:rsid w:val="008C099C"/>
    <w:rsid w:val="008C09E3"/>
    <w:rsid w:val="008C0AD4"/>
    <w:rsid w:val="008C0D61"/>
    <w:rsid w:val="008C1138"/>
    <w:rsid w:val="008C12C7"/>
    <w:rsid w:val="008C14EC"/>
    <w:rsid w:val="008C150B"/>
    <w:rsid w:val="008C16C5"/>
    <w:rsid w:val="008C16E3"/>
    <w:rsid w:val="008C171C"/>
    <w:rsid w:val="008C1B78"/>
    <w:rsid w:val="008C1BF5"/>
    <w:rsid w:val="008C1E50"/>
    <w:rsid w:val="008C207E"/>
    <w:rsid w:val="008C2111"/>
    <w:rsid w:val="008C21AC"/>
    <w:rsid w:val="008C2286"/>
    <w:rsid w:val="008C229B"/>
    <w:rsid w:val="008C24C0"/>
    <w:rsid w:val="008C2580"/>
    <w:rsid w:val="008C2966"/>
    <w:rsid w:val="008C2A6E"/>
    <w:rsid w:val="008C2B22"/>
    <w:rsid w:val="008C2B42"/>
    <w:rsid w:val="008C2B43"/>
    <w:rsid w:val="008C2DB1"/>
    <w:rsid w:val="008C2E0B"/>
    <w:rsid w:val="008C2E37"/>
    <w:rsid w:val="008C2EBA"/>
    <w:rsid w:val="008C2EC2"/>
    <w:rsid w:val="008C2ED2"/>
    <w:rsid w:val="008C2F6B"/>
    <w:rsid w:val="008C2FA3"/>
    <w:rsid w:val="008C3023"/>
    <w:rsid w:val="008C3032"/>
    <w:rsid w:val="008C31C6"/>
    <w:rsid w:val="008C3363"/>
    <w:rsid w:val="008C35C0"/>
    <w:rsid w:val="008C3612"/>
    <w:rsid w:val="008C3753"/>
    <w:rsid w:val="008C3760"/>
    <w:rsid w:val="008C38B3"/>
    <w:rsid w:val="008C39EF"/>
    <w:rsid w:val="008C3A57"/>
    <w:rsid w:val="008C3B11"/>
    <w:rsid w:val="008C3C0D"/>
    <w:rsid w:val="008C3D15"/>
    <w:rsid w:val="008C3DCB"/>
    <w:rsid w:val="008C3EE2"/>
    <w:rsid w:val="008C3F3E"/>
    <w:rsid w:val="008C40A1"/>
    <w:rsid w:val="008C41AF"/>
    <w:rsid w:val="008C428E"/>
    <w:rsid w:val="008C438F"/>
    <w:rsid w:val="008C43A8"/>
    <w:rsid w:val="008C43D7"/>
    <w:rsid w:val="008C43FA"/>
    <w:rsid w:val="008C4490"/>
    <w:rsid w:val="008C46FB"/>
    <w:rsid w:val="008C473F"/>
    <w:rsid w:val="008C48D1"/>
    <w:rsid w:val="008C4910"/>
    <w:rsid w:val="008C49EA"/>
    <w:rsid w:val="008C4A12"/>
    <w:rsid w:val="008C4A23"/>
    <w:rsid w:val="008C4A72"/>
    <w:rsid w:val="008C4E60"/>
    <w:rsid w:val="008C4F96"/>
    <w:rsid w:val="008C4FE1"/>
    <w:rsid w:val="008C5177"/>
    <w:rsid w:val="008C533A"/>
    <w:rsid w:val="008C5356"/>
    <w:rsid w:val="008C53C6"/>
    <w:rsid w:val="008C5479"/>
    <w:rsid w:val="008C54C0"/>
    <w:rsid w:val="008C566A"/>
    <w:rsid w:val="008C5895"/>
    <w:rsid w:val="008C58A1"/>
    <w:rsid w:val="008C598F"/>
    <w:rsid w:val="008C59E4"/>
    <w:rsid w:val="008C5AA4"/>
    <w:rsid w:val="008C5B5C"/>
    <w:rsid w:val="008C5BC2"/>
    <w:rsid w:val="008C5BDC"/>
    <w:rsid w:val="008C5C08"/>
    <w:rsid w:val="008C5C18"/>
    <w:rsid w:val="008C5C37"/>
    <w:rsid w:val="008C5F39"/>
    <w:rsid w:val="008C5F9B"/>
    <w:rsid w:val="008C6021"/>
    <w:rsid w:val="008C6208"/>
    <w:rsid w:val="008C6342"/>
    <w:rsid w:val="008C63D8"/>
    <w:rsid w:val="008C6458"/>
    <w:rsid w:val="008C6562"/>
    <w:rsid w:val="008C66B5"/>
    <w:rsid w:val="008C66BB"/>
    <w:rsid w:val="008C6768"/>
    <w:rsid w:val="008C6801"/>
    <w:rsid w:val="008C6895"/>
    <w:rsid w:val="008C68F2"/>
    <w:rsid w:val="008C691E"/>
    <w:rsid w:val="008C6A2A"/>
    <w:rsid w:val="008C6B9E"/>
    <w:rsid w:val="008C6D4F"/>
    <w:rsid w:val="008C6ED2"/>
    <w:rsid w:val="008C6F1D"/>
    <w:rsid w:val="008C7110"/>
    <w:rsid w:val="008C7344"/>
    <w:rsid w:val="008C74A3"/>
    <w:rsid w:val="008C75F5"/>
    <w:rsid w:val="008C7638"/>
    <w:rsid w:val="008C769F"/>
    <w:rsid w:val="008C77CE"/>
    <w:rsid w:val="008C7B10"/>
    <w:rsid w:val="008C7BA6"/>
    <w:rsid w:val="008C7BB2"/>
    <w:rsid w:val="008C7C73"/>
    <w:rsid w:val="008C7DCF"/>
    <w:rsid w:val="008C7F78"/>
    <w:rsid w:val="008C7FD1"/>
    <w:rsid w:val="008D00DD"/>
    <w:rsid w:val="008D00ED"/>
    <w:rsid w:val="008D012D"/>
    <w:rsid w:val="008D02B2"/>
    <w:rsid w:val="008D03A3"/>
    <w:rsid w:val="008D03E2"/>
    <w:rsid w:val="008D04A1"/>
    <w:rsid w:val="008D0598"/>
    <w:rsid w:val="008D071D"/>
    <w:rsid w:val="008D0728"/>
    <w:rsid w:val="008D0931"/>
    <w:rsid w:val="008D0968"/>
    <w:rsid w:val="008D099B"/>
    <w:rsid w:val="008D0A9F"/>
    <w:rsid w:val="008D0B12"/>
    <w:rsid w:val="008D0B4E"/>
    <w:rsid w:val="008D0B92"/>
    <w:rsid w:val="008D0BE3"/>
    <w:rsid w:val="008D0C46"/>
    <w:rsid w:val="008D0C50"/>
    <w:rsid w:val="008D0C6C"/>
    <w:rsid w:val="008D0D45"/>
    <w:rsid w:val="008D0E3C"/>
    <w:rsid w:val="008D0EB7"/>
    <w:rsid w:val="008D0F8C"/>
    <w:rsid w:val="008D10B1"/>
    <w:rsid w:val="008D11E0"/>
    <w:rsid w:val="008D1211"/>
    <w:rsid w:val="008D139B"/>
    <w:rsid w:val="008D14DF"/>
    <w:rsid w:val="008D15C4"/>
    <w:rsid w:val="008D1918"/>
    <w:rsid w:val="008D1BBF"/>
    <w:rsid w:val="008D1C13"/>
    <w:rsid w:val="008D1CB4"/>
    <w:rsid w:val="008D1CE8"/>
    <w:rsid w:val="008D1DC8"/>
    <w:rsid w:val="008D1E0C"/>
    <w:rsid w:val="008D1F53"/>
    <w:rsid w:val="008D2239"/>
    <w:rsid w:val="008D2403"/>
    <w:rsid w:val="008D24F5"/>
    <w:rsid w:val="008D2603"/>
    <w:rsid w:val="008D2605"/>
    <w:rsid w:val="008D269B"/>
    <w:rsid w:val="008D26BB"/>
    <w:rsid w:val="008D2752"/>
    <w:rsid w:val="008D2844"/>
    <w:rsid w:val="008D2871"/>
    <w:rsid w:val="008D28F7"/>
    <w:rsid w:val="008D29CD"/>
    <w:rsid w:val="008D2AEF"/>
    <w:rsid w:val="008D2CB9"/>
    <w:rsid w:val="008D2E05"/>
    <w:rsid w:val="008D2E56"/>
    <w:rsid w:val="008D2EF7"/>
    <w:rsid w:val="008D3059"/>
    <w:rsid w:val="008D3067"/>
    <w:rsid w:val="008D3152"/>
    <w:rsid w:val="008D3256"/>
    <w:rsid w:val="008D3378"/>
    <w:rsid w:val="008D356A"/>
    <w:rsid w:val="008D3965"/>
    <w:rsid w:val="008D3A91"/>
    <w:rsid w:val="008D3B0C"/>
    <w:rsid w:val="008D3C3D"/>
    <w:rsid w:val="008D3D89"/>
    <w:rsid w:val="008D3DA8"/>
    <w:rsid w:val="008D3DDB"/>
    <w:rsid w:val="008D3E30"/>
    <w:rsid w:val="008D412C"/>
    <w:rsid w:val="008D4175"/>
    <w:rsid w:val="008D4187"/>
    <w:rsid w:val="008D4295"/>
    <w:rsid w:val="008D42A8"/>
    <w:rsid w:val="008D43F2"/>
    <w:rsid w:val="008D45F2"/>
    <w:rsid w:val="008D46AD"/>
    <w:rsid w:val="008D47A0"/>
    <w:rsid w:val="008D47E9"/>
    <w:rsid w:val="008D484E"/>
    <w:rsid w:val="008D488D"/>
    <w:rsid w:val="008D4995"/>
    <w:rsid w:val="008D4BEC"/>
    <w:rsid w:val="008D4C3C"/>
    <w:rsid w:val="008D4D14"/>
    <w:rsid w:val="008D4E11"/>
    <w:rsid w:val="008D4FE8"/>
    <w:rsid w:val="008D5033"/>
    <w:rsid w:val="008D5046"/>
    <w:rsid w:val="008D5404"/>
    <w:rsid w:val="008D557F"/>
    <w:rsid w:val="008D5B20"/>
    <w:rsid w:val="008D5BED"/>
    <w:rsid w:val="008D5CDF"/>
    <w:rsid w:val="008D5EA2"/>
    <w:rsid w:val="008D5F7D"/>
    <w:rsid w:val="008D611D"/>
    <w:rsid w:val="008D6133"/>
    <w:rsid w:val="008D615F"/>
    <w:rsid w:val="008D62CD"/>
    <w:rsid w:val="008D63AD"/>
    <w:rsid w:val="008D63FB"/>
    <w:rsid w:val="008D64A0"/>
    <w:rsid w:val="008D6521"/>
    <w:rsid w:val="008D6609"/>
    <w:rsid w:val="008D6683"/>
    <w:rsid w:val="008D69DE"/>
    <w:rsid w:val="008D6A17"/>
    <w:rsid w:val="008D6A6C"/>
    <w:rsid w:val="008D6AF1"/>
    <w:rsid w:val="008D6B50"/>
    <w:rsid w:val="008D6D28"/>
    <w:rsid w:val="008D6D4D"/>
    <w:rsid w:val="008D6D4F"/>
    <w:rsid w:val="008D6E0B"/>
    <w:rsid w:val="008D6E4B"/>
    <w:rsid w:val="008D6FC4"/>
    <w:rsid w:val="008D70E7"/>
    <w:rsid w:val="008D7246"/>
    <w:rsid w:val="008D7395"/>
    <w:rsid w:val="008D7457"/>
    <w:rsid w:val="008D74B7"/>
    <w:rsid w:val="008D7553"/>
    <w:rsid w:val="008D7829"/>
    <w:rsid w:val="008D7848"/>
    <w:rsid w:val="008D787F"/>
    <w:rsid w:val="008D7A7A"/>
    <w:rsid w:val="008D7AC3"/>
    <w:rsid w:val="008D7BD4"/>
    <w:rsid w:val="008D7C59"/>
    <w:rsid w:val="008D7E23"/>
    <w:rsid w:val="008D7E93"/>
    <w:rsid w:val="008E0006"/>
    <w:rsid w:val="008E0138"/>
    <w:rsid w:val="008E029E"/>
    <w:rsid w:val="008E02DA"/>
    <w:rsid w:val="008E05C0"/>
    <w:rsid w:val="008E0611"/>
    <w:rsid w:val="008E06D6"/>
    <w:rsid w:val="008E071A"/>
    <w:rsid w:val="008E0818"/>
    <w:rsid w:val="008E082B"/>
    <w:rsid w:val="008E095F"/>
    <w:rsid w:val="008E0963"/>
    <w:rsid w:val="008E0D42"/>
    <w:rsid w:val="008E0E6F"/>
    <w:rsid w:val="008E0F44"/>
    <w:rsid w:val="008E1098"/>
    <w:rsid w:val="008E1203"/>
    <w:rsid w:val="008E1327"/>
    <w:rsid w:val="008E15FA"/>
    <w:rsid w:val="008E1747"/>
    <w:rsid w:val="008E180E"/>
    <w:rsid w:val="008E1868"/>
    <w:rsid w:val="008E1A2F"/>
    <w:rsid w:val="008E1B13"/>
    <w:rsid w:val="008E1C03"/>
    <w:rsid w:val="008E1C73"/>
    <w:rsid w:val="008E218E"/>
    <w:rsid w:val="008E21BE"/>
    <w:rsid w:val="008E2271"/>
    <w:rsid w:val="008E22B7"/>
    <w:rsid w:val="008E22E4"/>
    <w:rsid w:val="008E254F"/>
    <w:rsid w:val="008E2722"/>
    <w:rsid w:val="008E2775"/>
    <w:rsid w:val="008E2BC4"/>
    <w:rsid w:val="008E2D3F"/>
    <w:rsid w:val="008E2DA3"/>
    <w:rsid w:val="008E2DAA"/>
    <w:rsid w:val="008E2E4D"/>
    <w:rsid w:val="008E2F1E"/>
    <w:rsid w:val="008E3014"/>
    <w:rsid w:val="008E30AE"/>
    <w:rsid w:val="008E33C2"/>
    <w:rsid w:val="008E33CD"/>
    <w:rsid w:val="008E3418"/>
    <w:rsid w:val="008E36A2"/>
    <w:rsid w:val="008E36B3"/>
    <w:rsid w:val="008E3767"/>
    <w:rsid w:val="008E39E5"/>
    <w:rsid w:val="008E3A29"/>
    <w:rsid w:val="008E3B5F"/>
    <w:rsid w:val="008E3BD3"/>
    <w:rsid w:val="008E3BFC"/>
    <w:rsid w:val="008E3C35"/>
    <w:rsid w:val="008E3C63"/>
    <w:rsid w:val="008E3CE4"/>
    <w:rsid w:val="008E3D16"/>
    <w:rsid w:val="008E3E0B"/>
    <w:rsid w:val="008E3E2E"/>
    <w:rsid w:val="008E3F84"/>
    <w:rsid w:val="008E4021"/>
    <w:rsid w:val="008E40CB"/>
    <w:rsid w:val="008E412E"/>
    <w:rsid w:val="008E42C5"/>
    <w:rsid w:val="008E4313"/>
    <w:rsid w:val="008E438C"/>
    <w:rsid w:val="008E43F3"/>
    <w:rsid w:val="008E473D"/>
    <w:rsid w:val="008E479A"/>
    <w:rsid w:val="008E47E2"/>
    <w:rsid w:val="008E48EE"/>
    <w:rsid w:val="008E5030"/>
    <w:rsid w:val="008E516B"/>
    <w:rsid w:val="008E52A0"/>
    <w:rsid w:val="008E56C7"/>
    <w:rsid w:val="008E5BC3"/>
    <w:rsid w:val="008E5CFA"/>
    <w:rsid w:val="008E5D23"/>
    <w:rsid w:val="008E5D82"/>
    <w:rsid w:val="008E5E74"/>
    <w:rsid w:val="008E5F0C"/>
    <w:rsid w:val="008E60D8"/>
    <w:rsid w:val="008E6108"/>
    <w:rsid w:val="008E6122"/>
    <w:rsid w:val="008E6162"/>
    <w:rsid w:val="008E617D"/>
    <w:rsid w:val="008E61F2"/>
    <w:rsid w:val="008E637F"/>
    <w:rsid w:val="008E6416"/>
    <w:rsid w:val="008E658B"/>
    <w:rsid w:val="008E65AD"/>
    <w:rsid w:val="008E6628"/>
    <w:rsid w:val="008E6760"/>
    <w:rsid w:val="008E6AD2"/>
    <w:rsid w:val="008E6CC1"/>
    <w:rsid w:val="008E6F2A"/>
    <w:rsid w:val="008E7141"/>
    <w:rsid w:val="008E73BC"/>
    <w:rsid w:val="008E75FB"/>
    <w:rsid w:val="008E76D7"/>
    <w:rsid w:val="008E76DB"/>
    <w:rsid w:val="008E7753"/>
    <w:rsid w:val="008E7AA2"/>
    <w:rsid w:val="008E7B1D"/>
    <w:rsid w:val="008E7B7C"/>
    <w:rsid w:val="008E7C10"/>
    <w:rsid w:val="008E7C5A"/>
    <w:rsid w:val="008E7C89"/>
    <w:rsid w:val="008E7D86"/>
    <w:rsid w:val="008E7DB5"/>
    <w:rsid w:val="008E7DD8"/>
    <w:rsid w:val="008E7E76"/>
    <w:rsid w:val="008E7FFA"/>
    <w:rsid w:val="008F0025"/>
    <w:rsid w:val="008F003B"/>
    <w:rsid w:val="008F0130"/>
    <w:rsid w:val="008F03F4"/>
    <w:rsid w:val="008F042C"/>
    <w:rsid w:val="008F0482"/>
    <w:rsid w:val="008F0534"/>
    <w:rsid w:val="008F058E"/>
    <w:rsid w:val="008F05F6"/>
    <w:rsid w:val="008F0660"/>
    <w:rsid w:val="008F0749"/>
    <w:rsid w:val="008F089E"/>
    <w:rsid w:val="008F0A1C"/>
    <w:rsid w:val="008F0C15"/>
    <w:rsid w:val="008F0D4C"/>
    <w:rsid w:val="008F0DD2"/>
    <w:rsid w:val="008F0E00"/>
    <w:rsid w:val="008F0E4C"/>
    <w:rsid w:val="008F0E76"/>
    <w:rsid w:val="008F0F0B"/>
    <w:rsid w:val="008F1130"/>
    <w:rsid w:val="008F1443"/>
    <w:rsid w:val="008F1449"/>
    <w:rsid w:val="008F1480"/>
    <w:rsid w:val="008F1602"/>
    <w:rsid w:val="008F16DF"/>
    <w:rsid w:val="008F1856"/>
    <w:rsid w:val="008F1A10"/>
    <w:rsid w:val="008F1AF5"/>
    <w:rsid w:val="008F1B03"/>
    <w:rsid w:val="008F1CA9"/>
    <w:rsid w:val="008F1CCC"/>
    <w:rsid w:val="008F1DEA"/>
    <w:rsid w:val="008F1EB7"/>
    <w:rsid w:val="008F1F09"/>
    <w:rsid w:val="008F2012"/>
    <w:rsid w:val="008F20C2"/>
    <w:rsid w:val="008F20C4"/>
    <w:rsid w:val="008F21B2"/>
    <w:rsid w:val="008F21B4"/>
    <w:rsid w:val="008F2458"/>
    <w:rsid w:val="008F25FE"/>
    <w:rsid w:val="008F268D"/>
    <w:rsid w:val="008F28AE"/>
    <w:rsid w:val="008F28D3"/>
    <w:rsid w:val="008F2943"/>
    <w:rsid w:val="008F2988"/>
    <w:rsid w:val="008F2A6B"/>
    <w:rsid w:val="008F2DDF"/>
    <w:rsid w:val="008F2F1F"/>
    <w:rsid w:val="008F2F4A"/>
    <w:rsid w:val="008F3229"/>
    <w:rsid w:val="008F33A5"/>
    <w:rsid w:val="008F343A"/>
    <w:rsid w:val="008F3485"/>
    <w:rsid w:val="008F34C0"/>
    <w:rsid w:val="008F350E"/>
    <w:rsid w:val="008F3859"/>
    <w:rsid w:val="008F39A5"/>
    <w:rsid w:val="008F3A39"/>
    <w:rsid w:val="008F3C6F"/>
    <w:rsid w:val="008F3DE9"/>
    <w:rsid w:val="008F3F9B"/>
    <w:rsid w:val="008F4239"/>
    <w:rsid w:val="008F4323"/>
    <w:rsid w:val="008F4396"/>
    <w:rsid w:val="008F445D"/>
    <w:rsid w:val="008F465D"/>
    <w:rsid w:val="008F4844"/>
    <w:rsid w:val="008F4932"/>
    <w:rsid w:val="008F499D"/>
    <w:rsid w:val="008F4AC4"/>
    <w:rsid w:val="008F4B76"/>
    <w:rsid w:val="008F4B91"/>
    <w:rsid w:val="008F4C71"/>
    <w:rsid w:val="008F4FBA"/>
    <w:rsid w:val="008F4FC7"/>
    <w:rsid w:val="008F4FFA"/>
    <w:rsid w:val="008F5242"/>
    <w:rsid w:val="008F528E"/>
    <w:rsid w:val="008F53B4"/>
    <w:rsid w:val="008F541F"/>
    <w:rsid w:val="008F54DA"/>
    <w:rsid w:val="008F5659"/>
    <w:rsid w:val="008F5990"/>
    <w:rsid w:val="008F5B18"/>
    <w:rsid w:val="008F5C1A"/>
    <w:rsid w:val="008F5C62"/>
    <w:rsid w:val="008F5CAB"/>
    <w:rsid w:val="008F5D51"/>
    <w:rsid w:val="008F5E71"/>
    <w:rsid w:val="008F5E77"/>
    <w:rsid w:val="008F5EC3"/>
    <w:rsid w:val="008F606F"/>
    <w:rsid w:val="008F6150"/>
    <w:rsid w:val="008F61B3"/>
    <w:rsid w:val="008F65D4"/>
    <w:rsid w:val="008F65E1"/>
    <w:rsid w:val="008F6666"/>
    <w:rsid w:val="008F6748"/>
    <w:rsid w:val="008F6788"/>
    <w:rsid w:val="008F68D3"/>
    <w:rsid w:val="008F6D0D"/>
    <w:rsid w:val="008F6D8D"/>
    <w:rsid w:val="008F6E08"/>
    <w:rsid w:val="008F6E6E"/>
    <w:rsid w:val="008F7112"/>
    <w:rsid w:val="008F7151"/>
    <w:rsid w:val="008F71F2"/>
    <w:rsid w:val="008F7293"/>
    <w:rsid w:val="008F72AC"/>
    <w:rsid w:val="008F7308"/>
    <w:rsid w:val="008F73CD"/>
    <w:rsid w:val="008F74B1"/>
    <w:rsid w:val="008F76AF"/>
    <w:rsid w:val="008F7847"/>
    <w:rsid w:val="008F789C"/>
    <w:rsid w:val="008F78D2"/>
    <w:rsid w:val="008F7CDF"/>
    <w:rsid w:val="008F7E24"/>
    <w:rsid w:val="008F7E99"/>
    <w:rsid w:val="008F7EC3"/>
    <w:rsid w:val="00900087"/>
    <w:rsid w:val="009000A8"/>
    <w:rsid w:val="0090013D"/>
    <w:rsid w:val="0090026D"/>
    <w:rsid w:val="00900344"/>
    <w:rsid w:val="009003E8"/>
    <w:rsid w:val="00900432"/>
    <w:rsid w:val="00900448"/>
    <w:rsid w:val="00900542"/>
    <w:rsid w:val="00900553"/>
    <w:rsid w:val="009005EC"/>
    <w:rsid w:val="00900661"/>
    <w:rsid w:val="009007E4"/>
    <w:rsid w:val="009007F5"/>
    <w:rsid w:val="00900A11"/>
    <w:rsid w:val="00900A64"/>
    <w:rsid w:val="00900AF4"/>
    <w:rsid w:val="00900B00"/>
    <w:rsid w:val="00900EF7"/>
    <w:rsid w:val="00900F40"/>
    <w:rsid w:val="00900FEC"/>
    <w:rsid w:val="00901138"/>
    <w:rsid w:val="009011FC"/>
    <w:rsid w:val="009012AF"/>
    <w:rsid w:val="0090137B"/>
    <w:rsid w:val="009013C0"/>
    <w:rsid w:val="009013DC"/>
    <w:rsid w:val="00901487"/>
    <w:rsid w:val="0090180F"/>
    <w:rsid w:val="009018DF"/>
    <w:rsid w:val="009019D4"/>
    <w:rsid w:val="00901BCB"/>
    <w:rsid w:val="00901C56"/>
    <w:rsid w:val="00901D65"/>
    <w:rsid w:val="00901D6C"/>
    <w:rsid w:val="00901DC2"/>
    <w:rsid w:val="00901EC8"/>
    <w:rsid w:val="00901FE8"/>
    <w:rsid w:val="0090208D"/>
    <w:rsid w:val="009021BE"/>
    <w:rsid w:val="009024D6"/>
    <w:rsid w:val="009025AA"/>
    <w:rsid w:val="009025C7"/>
    <w:rsid w:val="00902835"/>
    <w:rsid w:val="0090287C"/>
    <w:rsid w:val="009028FB"/>
    <w:rsid w:val="00902A85"/>
    <w:rsid w:val="00902B0A"/>
    <w:rsid w:val="00902B40"/>
    <w:rsid w:val="00902B42"/>
    <w:rsid w:val="00902BF3"/>
    <w:rsid w:val="00902CA3"/>
    <w:rsid w:val="009030C2"/>
    <w:rsid w:val="00903173"/>
    <w:rsid w:val="009031A1"/>
    <w:rsid w:val="00903228"/>
    <w:rsid w:val="009033BC"/>
    <w:rsid w:val="00903500"/>
    <w:rsid w:val="009036A1"/>
    <w:rsid w:val="009036C2"/>
    <w:rsid w:val="009037F0"/>
    <w:rsid w:val="00903892"/>
    <w:rsid w:val="00903938"/>
    <w:rsid w:val="00903962"/>
    <w:rsid w:val="009039AF"/>
    <w:rsid w:val="00903A41"/>
    <w:rsid w:val="00903AFD"/>
    <w:rsid w:val="00903BE2"/>
    <w:rsid w:val="00903D15"/>
    <w:rsid w:val="00903E69"/>
    <w:rsid w:val="00903E72"/>
    <w:rsid w:val="00903F2C"/>
    <w:rsid w:val="00903FEB"/>
    <w:rsid w:val="00904018"/>
    <w:rsid w:val="009040D1"/>
    <w:rsid w:val="009041F9"/>
    <w:rsid w:val="0090422D"/>
    <w:rsid w:val="00904252"/>
    <w:rsid w:val="00904266"/>
    <w:rsid w:val="00904351"/>
    <w:rsid w:val="0090437C"/>
    <w:rsid w:val="009043BE"/>
    <w:rsid w:val="009043CE"/>
    <w:rsid w:val="00904424"/>
    <w:rsid w:val="009044E4"/>
    <w:rsid w:val="009048C8"/>
    <w:rsid w:val="009049FA"/>
    <w:rsid w:val="00904B6C"/>
    <w:rsid w:val="00904C23"/>
    <w:rsid w:val="00904D44"/>
    <w:rsid w:val="00904DD0"/>
    <w:rsid w:val="00904E3E"/>
    <w:rsid w:val="00904EC7"/>
    <w:rsid w:val="009054D6"/>
    <w:rsid w:val="00905677"/>
    <w:rsid w:val="009056B5"/>
    <w:rsid w:val="009056F0"/>
    <w:rsid w:val="00905874"/>
    <w:rsid w:val="00905A31"/>
    <w:rsid w:val="00905A5B"/>
    <w:rsid w:val="00905C0B"/>
    <w:rsid w:val="00905CAA"/>
    <w:rsid w:val="00905E34"/>
    <w:rsid w:val="00906473"/>
    <w:rsid w:val="00906747"/>
    <w:rsid w:val="009068CC"/>
    <w:rsid w:val="009069DE"/>
    <w:rsid w:val="00906A47"/>
    <w:rsid w:val="00906B49"/>
    <w:rsid w:val="00906C17"/>
    <w:rsid w:val="00906F2B"/>
    <w:rsid w:val="00906FFC"/>
    <w:rsid w:val="009070A1"/>
    <w:rsid w:val="009070AE"/>
    <w:rsid w:val="00907153"/>
    <w:rsid w:val="009071CD"/>
    <w:rsid w:val="00907372"/>
    <w:rsid w:val="00907395"/>
    <w:rsid w:val="0090744A"/>
    <w:rsid w:val="009074F3"/>
    <w:rsid w:val="00907818"/>
    <w:rsid w:val="00907C2D"/>
    <w:rsid w:val="00907CB0"/>
    <w:rsid w:val="0091006C"/>
    <w:rsid w:val="009102D5"/>
    <w:rsid w:val="009103AF"/>
    <w:rsid w:val="00910659"/>
    <w:rsid w:val="0091065E"/>
    <w:rsid w:val="009109EE"/>
    <w:rsid w:val="00910B9D"/>
    <w:rsid w:val="00910C36"/>
    <w:rsid w:val="00910C4A"/>
    <w:rsid w:val="00910C4C"/>
    <w:rsid w:val="00910CEF"/>
    <w:rsid w:val="00910EE6"/>
    <w:rsid w:val="00911282"/>
    <w:rsid w:val="00911313"/>
    <w:rsid w:val="00911321"/>
    <w:rsid w:val="00911486"/>
    <w:rsid w:val="00911537"/>
    <w:rsid w:val="00911560"/>
    <w:rsid w:val="00911592"/>
    <w:rsid w:val="00911628"/>
    <w:rsid w:val="00911632"/>
    <w:rsid w:val="00911744"/>
    <w:rsid w:val="00911810"/>
    <w:rsid w:val="0091187F"/>
    <w:rsid w:val="009118F5"/>
    <w:rsid w:val="00911927"/>
    <w:rsid w:val="00911A17"/>
    <w:rsid w:val="00911A5B"/>
    <w:rsid w:val="00911B01"/>
    <w:rsid w:val="00911C0B"/>
    <w:rsid w:val="00911F60"/>
    <w:rsid w:val="00911FCF"/>
    <w:rsid w:val="009120CA"/>
    <w:rsid w:val="00912128"/>
    <w:rsid w:val="0091213A"/>
    <w:rsid w:val="00912337"/>
    <w:rsid w:val="00912479"/>
    <w:rsid w:val="00912563"/>
    <w:rsid w:val="009125C0"/>
    <w:rsid w:val="009125EC"/>
    <w:rsid w:val="0091285B"/>
    <w:rsid w:val="009129AF"/>
    <w:rsid w:val="00912DCE"/>
    <w:rsid w:val="00913198"/>
    <w:rsid w:val="009131EF"/>
    <w:rsid w:val="00913291"/>
    <w:rsid w:val="009132F3"/>
    <w:rsid w:val="00913425"/>
    <w:rsid w:val="009136D6"/>
    <w:rsid w:val="0091376E"/>
    <w:rsid w:val="009137F1"/>
    <w:rsid w:val="0091387F"/>
    <w:rsid w:val="00913937"/>
    <w:rsid w:val="00913A00"/>
    <w:rsid w:val="00913EC2"/>
    <w:rsid w:val="0091413E"/>
    <w:rsid w:val="009141B7"/>
    <w:rsid w:val="009143A5"/>
    <w:rsid w:val="00914573"/>
    <w:rsid w:val="0091462E"/>
    <w:rsid w:val="00914C66"/>
    <w:rsid w:val="00914CB4"/>
    <w:rsid w:val="00914D6B"/>
    <w:rsid w:val="00914D70"/>
    <w:rsid w:val="00915432"/>
    <w:rsid w:val="009154AF"/>
    <w:rsid w:val="00915624"/>
    <w:rsid w:val="00915639"/>
    <w:rsid w:val="00915669"/>
    <w:rsid w:val="00915794"/>
    <w:rsid w:val="009157E1"/>
    <w:rsid w:val="0091588E"/>
    <w:rsid w:val="009158A8"/>
    <w:rsid w:val="00915AFB"/>
    <w:rsid w:val="00915BBB"/>
    <w:rsid w:val="00915D5E"/>
    <w:rsid w:val="00915FF0"/>
    <w:rsid w:val="00916037"/>
    <w:rsid w:val="009161B2"/>
    <w:rsid w:val="0091623A"/>
    <w:rsid w:val="00916309"/>
    <w:rsid w:val="0091630F"/>
    <w:rsid w:val="00916443"/>
    <w:rsid w:val="0091647C"/>
    <w:rsid w:val="0091656F"/>
    <w:rsid w:val="0091663A"/>
    <w:rsid w:val="00916784"/>
    <w:rsid w:val="009167FD"/>
    <w:rsid w:val="00916887"/>
    <w:rsid w:val="00916B62"/>
    <w:rsid w:val="00916B6B"/>
    <w:rsid w:val="00916D5D"/>
    <w:rsid w:val="00916D76"/>
    <w:rsid w:val="00916E32"/>
    <w:rsid w:val="00916F45"/>
    <w:rsid w:val="00916F4E"/>
    <w:rsid w:val="00916F6A"/>
    <w:rsid w:val="0091744C"/>
    <w:rsid w:val="009174C3"/>
    <w:rsid w:val="00917544"/>
    <w:rsid w:val="009176E3"/>
    <w:rsid w:val="00917820"/>
    <w:rsid w:val="0091786E"/>
    <w:rsid w:val="00917A4D"/>
    <w:rsid w:val="00917B22"/>
    <w:rsid w:val="00917D85"/>
    <w:rsid w:val="00917DE1"/>
    <w:rsid w:val="00917F4D"/>
    <w:rsid w:val="00917F72"/>
    <w:rsid w:val="00920147"/>
    <w:rsid w:val="00920213"/>
    <w:rsid w:val="009202EA"/>
    <w:rsid w:val="0092062E"/>
    <w:rsid w:val="0092068E"/>
    <w:rsid w:val="00920748"/>
    <w:rsid w:val="009207DB"/>
    <w:rsid w:val="0092087C"/>
    <w:rsid w:val="00920970"/>
    <w:rsid w:val="00920D68"/>
    <w:rsid w:val="00920E4C"/>
    <w:rsid w:val="00920E84"/>
    <w:rsid w:val="0092128C"/>
    <w:rsid w:val="00921446"/>
    <w:rsid w:val="0092147D"/>
    <w:rsid w:val="00921687"/>
    <w:rsid w:val="00921695"/>
    <w:rsid w:val="00921723"/>
    <w:rsid w:val="0092190C"/>
    <w:rsid w:val="00921923"/>
    <w:rsid w:val="00921950"/>
    <w:rsid w:val="00921A11"/>
    <w:rsid w:val="00921A32"/>
    <w:rsid w:val="00921AEE"/>
    <w:rsid w:val="00921B4A"/>
    <w:rsid w:val="00921B52"/>
    <w:rsid w:val="00921CC3"/>
    <w:rsid w:val="00921E25"/>
    <w:rsid w:val="00921E2B"/>
    <w:rsid w:val="00921FAA"/>
    <w:rsid w:val="0092218F"/>
    <w:rsid w:val="00922261"/>
    <w:rsid w:val="0092233C"/>
    <w:rsid w:val="0092238D"/>
    <w:rsid w:val="00922459"/>
    <w:rsid w:val="00922693"/>
    <w:rsid w:val="00922725"/>
    <w:rsid w:val="0092289F"/>
    <w:rsid w:val="0092290D"/>
    <w:rsid w:val="0092294B"/>
    <w:rsid w:val="00922A9F"/>
    <w:rsid w:val="00922C6F"/>
    <w:rsid w:val="00922DD9"/>
    <w:rsid w:val="00922E72"/>
    <w:rsid w:val="00922F76"/>
    <w:rsid w:val="0092325C"/>
    <w:rsid w:val="0092327E"/>
    <w:rsid w:val="00923530"/>
    <w:rsid w:val="009235C8"/>
    <w:rsid w:val="00923609"/>
    <w:rsid w:val="009239A2"/>
    <w:rsid w:val="009239BE"/>
    <w:rsid w:val="009239FF"/>
    <w:rsid w:val="00923A3C"/>
    <w:rsid w:val="00923C5F"/>
    <w:rsid w:val="00923CC5"/>
    <w:rsid w:val="00923D6A"/>
    <w:rsid w:val="00923E87"/>
    <w:rsid w:val="00923F8F"/>
    <w:rsid w:val="009240E5"/>
    <w:rsid w:val="0092417D"/>
    <w:rsid w:val="0092431A"/>
    <w:rsid w:val="009243F7"/>
    <w:rsid w:val="0092446F"/>
    <w:rsid w:val="00924574"/>
    <w:rsid w:val="0092473A"/>
    <w:rsid w:val="00924823"/>
    <w:rsid w:val="00924863"/>
    <w:rsid w:val="009248BB"/>
    <w:rsid w:val="009248E5"/>
    <w:rsid w:val="00924903"/>
    <w:rsid w:val="00924956"/>
    <w:rsid w:val="00924AAC"/>
    <w:rsid w:val="00924C28"/>
    <w:rsid w:val="00924DD1"/>
    <w:rsid w:val="00924ED7"/>
    <w:rsid w:val="00924FE8"/>
    <w:rsid w:val="00924FF3"/>
    <w:rsid w:val="00925010"/>
    <w:rsid w:val="00925017"/>
    <w:rsid w:val="00925047"/>
    <w:rsid w:val="0092509B"/>
    <w:rsid w:val="00925136"/>
    <w:rsid w:val="0092518D"/>
    <w:rsid w:val="009251E4"/>
    <w:rsid w:val="00925213"/>
    <w:rsid w:val="0092535B"/>
    <w:rsid w:val="00925527"/>
    <w:rsid w:val="0092554C"/>
    <w:rsid w:val="009257D4"/>
    <w:rsid w:val="0092581A"/>
    <w:rsid w:val="009258B5"/>
    <w:rsid w:val="009259A3"/>
    <w:rsid w:val="00925A42"/>
    <w:rsid w:val="00925FF9"/>
    <w:rsid w:val="00926037"/>
    <w:rsid w:val="009260C6"/>
    <w:rsid w:val="0092613B"/>
    <w:rsid w:val="009261EA"/>
    <w:rsid w:val="00926284"/>
    <w:rsid w:val="009262D3"/>
    <w:rsid w:val="009263D0"/>
    <w:rsid w:val="00926579"/>
    <w:rsid w:val="00926B1C"/>
    <w:rsid w:val="00926F12"/>
    <w:rsid w:val="009270E0"/>
    <w:rsid w:val="0092727B"/>
    <w:rsid w:val="009273DA"/>
    <w:rsid w:val="00927417"/>
    <w:rsid w:val="009274D6"/>
    <w:rsid w:val="009274DD"/>
    <w:rsid w:val="009276CE"/>
    <w:rsid w:val="009279BC"/>
    <w:rsid w:val="00927B3B"/>
    <w:rsid w:val="00927BCE"/>
    <w:rsid w:val="00927BF1"/>
    <w:rsid w:val="00927C59"/>
    <w:rsid w:val="00927CC7"/>
    <w:rsid w:val="00927E53"/>
    <w:rsid w:val="00927E73"/>
    <w:rsid w:val="00930049"/>
    <w:rsid w:val="009300B8"/>
    <w:rsid w:val="0093042D"/>
    <w:rsid w:val="00930497"/>
    <w:rsid w:val="00930533"/>
    <w:rsid w:val="009306DE"/>
    <w:rsid w:val="00930757"/>
    <w:rsid w:val="00930B10"/>
    <w:rsid w:val="00930B5B"/>
    <w:rsid w:val="00930CD1"/>
    <w:rsid w:val="00930CE1"/>
    <w:rsid w:val="00930D15"/>
    <w:rsid w:val="00930E5F"/>
    <w:rsid w:val="00930F46"/>
    <w:rsid w:val="0093100F"/>
    <w:rsid w:val="0093108F"/>
    <w:rsid w:val="00931137"/>
    <w:rsid w:val="00931274"/>
    <w:rsid w:val="009312BA"/>
    <w:rsid w:val="009312E6"/>
    <w:rsid w:val="00931307"/>
    <w:rsid w:val="00931320"/>
    <w:rsid w:val="0093166D"/>
    <w:rsid w:val="00931892"/>
    <w:rsid w:val="00931A66"/>
    <w:rsid w:val="00931AD6"/>
    <w:rsid w:val="00931CB0"/>
    <w:rsid w:val="00931CBF"/>
    <w:rsid w:val="00931DD7"/>
    <w:rsid w:val="00931DF7"/>
    <w:rsid w:val="00931F42"/>
    <w:rsid w:val="0093228F"/>
    <w:rsid w:val="00932516"/>
    <w:rsid w:val="0093253C"/>
    <w:rsid w:val="0093254F"/>
    <w:rsid w:val="009325BC"/>
    <w:rsid w:val="00932646"/>
    <w:rsid w:val="00932BBC"/>
    <w:rsid w:val="00932D20"/>
    <w:rsid w:val="00932E66"/>
    <w:rsid w:val="00932EB1"/>
    <w:rsid w:val="00932F55"/>
    <w:rsid w:val="0093300F"/>
    <w:rsid w:val="0093316E"/>
    <w:rsid w:val="00933279"/>
    <w:rsid w:val="0093334A"/>
    <w:rsid w:val="0093363A"/>
    <w:rsid w:val="009336DE"/>
    <w:rsid w:val="009339F2"/>
    <w:rsid w:val="00933A76"/>
    <w:rsid w:val="00933BCC"/>
    <w:rsid w:val="00933D77"/>
    <w:rsid w:val="00933E14"/>
    <w:rsid w:val="00933F2D"/>
    <w:rsid w:val="00934179"/>
    <w:rsid w:val="009341AD"/>
    <w:rsid w:val="009342B6"/>
    <w:rsid w:val="0093431D"/>
    <w:rsid w:val="00934438"/>
    <w:rsid w:val="00934483"/>
    <w:rsid w:val="009344A3"/>
    <w:rsid w:val="009345F1"/>
    <w:rsid w:val="00934641"/>
    <w:rsid w:val="0093464B"/>
    <w:rsid w:val="00934718"/>
    <w:rsid w:val="0093471C"/>
    <w:rsid w:val="009347AE"/>
    <w:rsid w:val="0093480E"/>
    <w:rsid w:val="009349AE"/>
    <w:rsid w:val="00934A5F"/>
    <w:rsid w:val="00934A66"/>
    <w:rsid w:val="00934B72"/>
    <w:rsid w:val="00934B90"/>
    <w:rsid w:val="00934C04"/>
    <w:rsid w:val="00934C13"/>
    <w:rsid w:val="00934C89"/>
    <w:rsid w:val="00934C8E"/>
    <w:rsid w:val="00934C92"/>
    <w:rsid w:val="00934CE6"/>
    <w:rsid w:val="00934E72"/>
    <w:rsid w:val="00934F32"/>
    <w:rsid w:val="009350C9"/>
    <w:rsid w:val="009357DA"/>
    <w:rsid w:val="00935AAB"/>
    <w:rsid w:val="00935ADC"/>
    <w:rsid w:val="00935B75"/>
    <w:rsid w:val="00935C6D"/>
    <w:rsid w:val="00935F75"/>
    <w:rsid w:val="00936051"/>
    <w:rsid w:val="00936123"/>
    <w:rsid w:val="00936335"/>
    <w:rsid w:val="0093648F"/>
    <w:rsid w:val="0093649E"/>
    <w:rsid w:val="00936531"/>
    <w:rsid w:val="0093662D"/>
    <w:rsid w:val="0093663D"/>
    <w:rsid w:val="009366B8"/>
    <w:rsid w:val="0093673D"/>
    <w:rsid w:val="00936779"/>
    <w:rsid w:val="0093678A"/>
    <w:rsid w:val="0093683B"/>
    <w:rsid w:val="00936BE1"/>
    <w:rsid w:val="00936C05"/>
    <w:rsid w:val="00936D07"/>
    <w:rsid w:val="00936D8C"/>
    <w:rsid w:val="00936DC9"/>
    <w:rsid w:val="00936E24"/>
    <w:rsid w:val="00936F5F"/>
    <w:rsid w:val="00937149"/>
    <w:rsid w:val="009373C7"/>
    <w:rsid w:val="0093750E"/>
    <w:rsid w:val="00937670"/>
    <w:rsid w:val="00937748"/>
    <w:rsid w:val="009377F2"/>
    <w:rsid w:val="0093785A"/>
    <w:rsid w:val="009378AD"/>
    <w:rsid w:val="009379BA"/>
    <w:rsid w:val="00937A2B"/>
    <w:rsid w:val="00937AB2"/>
    <w:rsid w:val="00937BDC"/>
    <w:rsid w:val="00940062"/>
    <w:rsid w:val="00940295"/>
    <w:rsid w:val="00940312"/>
    <w:rsid w:val="009403A7"/>
    <w:rsid w:val="00940457"/>
    <w:rsid w:val="009404A0"/>
    <w:rsid w:val="00940524"/>
    <w:rsid w:val="009405F9"/>
    <w:rsid w:val="0094061D"/>
    <w:rsid w:val="00940AD0"/>
    <w:rsid w:val="00940B17"/>
    <w:rsid w:val="00940B81"/>
    <w:rsid w:val="00940CD0"/>
    <w:rsid w:val="00940D3C"/>
    <w:rsid w:val="00941001"/>
    <w:rsid w:val="00941136"/>
    <w:rsid w:val="0094117F"/>
    <w:rsid w:val="009411C8"/>
    <w:rsid w:val="00941212"/>
    <w:rsid w:val="0094149D"/>
    <w:rsid w:val="00941713"/>
    <w:rsid w:val="0094187D"/>
    <w:rsid w:val="009418B9"/>
    <w:rsid w:val="0094195C"/>
    <w:rsid w:val="00941976"/>
    <w:rsid w:val="00941AE9"/>
    <w:rsid w:val="00941C16"/>
    <w:rsid w:val="00941CAC"/>
    <w:rsid w:val="00941E06"/>
    <w:rsid w:val="00941E1F"/>
    <w:rsid w:val="00941EA1"/>
    <w:rsid w:val="00941F05"/>
    <w:rsid w:val="0094209B"/>
    <w:rsid w:val="00942325"/>
    <w:rsid w:val="00942356"/>
    <w:rsid w:val="009423AB"/>
    <w:rsid w:val="009423F1"/>
    <w:rsid w:val="009423FF"/>
    <w:rsid w:val="00942525"/>
    <w:rsid w:val="00942574"/>
    <w:rsid w:val="009425F0"/>
    <w:rsid w:val="009425F9"/>
    <w:rsid w:val="00942665"/>
    <w:rsid w:val="0094268F"/>
    <w:rsid w:val="009427E0"/>
    <w:rsid w:val="00942886"/>
    <w:rsid w:val="009429EE"/>
    <w:rsid w:val="00942A01"/>
    <w:rsid w:val="00942A60"/>
    <w:rsid w:val="00942C10"/>
    <w:rsid w:val="00942C8F"/>
    <w:rsid w:val="00942E42"/>
    <w:rsid w:val="00942FF7"/>
    <w:rsid w:val="0094300E"/>
    <w:rsid w:val="0094306B"/>
    <w:rsid w:val="00943356"/>
    <w:rsid w:val="0094345F"/>
    <w:rsid w:val="00943481"/>
    <w:rsid w:val="00943491"/>
    <w:rsid w:val="009435AD"/>
    <w:rsid w:val="0094363C"/>
    <w:rsid w:val="009438CB"/>
    <w:rsid w:val="009439F8"/>
    <w:rsid w:val="00943AEE"/>
    <w:rsid w:val="00943C56"/>
    <w:rsid w:val="00943D4E"/>
    <w:rsid w:val="00943D64"/>
    <w:rsid w:val="00943F4E"/>
    <w:rsid w:val="00944055"/>
    <w:rsid w:val="00944087"/>
    <w:rsid w:val="009440DB"/>
    <w:rsid w:val="0094425F"/>
    <w:rsid w:val="0094436D"/>
    <w:rsid w:val="009443A0"/>
    <w:rsid w:val="00944421"/>
    <w:rsid w:val="00944476"/>
    <w:rsid w:val="0094457D"/>
    <w:rsid w:val="00944767"/>
    <w:rsid w:val="009447F0"/>
    <w:rsid w:val="009448C4"/>
    <w:rsid w:val="00944983"/>
    <w:rsid w:val="009449EE"/>
    <w:rsid w:val="00944A1F"/>
    <w:rsid w:val="00944A24"/>
    <w:rsid w:val="00944A97"/>
    <w:rsid w:val="00944C7A"/>
    <w:rsid w:val="00944E16"/>
    <w:rsid w:val="00944E8A"/>
    <w:rsid w:val="009451A6"/>
    <w:rsid w:val="009452EC"/>
    <w:rsid w:val="0094541A"/>
    <w:rsid w:val="00945420"/>
    <w:rsid w:val="00945436"/>
    <w:rsid w:val="009455AC"/>
    <w:rsid w:val="00945844"/>
    <w:rsid w:val="009458A1"/>
    <w:rsid w:val="0094595A"/>
    <w:rsid w:val="00945970"/>
    <w:rsid w:val="00945B21"/>
    <w:rsid w:val="00945B8C"/>
    <w:rsid w:val="00945BDC"/>
    <w:rsid w:val="00945CF9"/>
    <w:rsid w:val="00945CFE"/>
    <w:rsid w:val="00945DB5"/>
    <w:rsid w:val="00945DF8"/>
    <w:rsid w:val="00945E29"/>
    <w:rsid w:val="00945E3A"/>
    <w:rsid w:val="00945E9D"/>
    <w:rsid w:val="00946229"/>
    <w:rsid w:val="009462B6"/>
    <w:rsid w:val="009462CE"/>
    <w:rsid w:val="00946359"/>
    <w:rsid w:val="0094638C"/>
    <w:rsid w:val="009463D7"/>
    <w:rsid w:val="009464E9"/>
    <w:rsid w:val="009466C3"/>
    <w:rsid w:val="00946A18"/>
    <w:rsid w:val="00946C10"/>
    <w:rsid w:val="00946DAC"/>
    <w:rsid w:val="00946E14"/>
    <w:rsid w:val="00946F17"/>
    <w:rsid w:val="00947087"/>
    <w:rsid w:val="0094710F"/>
    <w:rsid w:val="0094712E"/>
    <w:rsid w:val="009471E1"/>
    <w:rsid w:val="009471F7"/>
    <w:rsid w:val="009472D5"/>
    <w:rsid w:val="0094740C"/>
    <w:rsid w:val="00947523"/>
    <w:rsid w:val="00947552"/>
    <w:rsid w:val="009475A4"/>
    <w:rsid w:val="009475E1"/>
    <w:rsid w:val="00947632"/>
    <w:rsid w:val="009476A4"/>
    <w:rsid w:val="009477B0"/>
    <w:rsid w:val="009478B9"/>
    <w:rsid w:val="009478DB"/>
    <w:rsid w:val="00947A02"/>
    <w:rsid w:val="00947A17"/>
    <w:rsid w:val="00947A2D"/>
    <w:rsid w:val="00947A3F"/>
    <w:rsid w:val="00947B12"/>
    <w:rsid w:val="00947B67"/>
    <w:rsid w:val="00947BBE"/>
    <w:rsid w:val="00947D02"/>
    <w:rsid w:val="00947D32"/>
    <w:rsid w:val="00947D4B"/>
    <w:rsid w:val="00950054"/>
    <w:rsid w:val="00950082"/>
    <w:rsid w:val="009500C9"/>
    <w:rsid w:val="00950182"/>
    <w:rsid w:val="009502B0"/>
    <w:rsid w:val="009502B6"/>
    <w:rsid w:val="009505C7"/>
    <w:rsid w:val="0095062F"/>
    <w:rsid w:val="0095075B"/>
    <w:rsid w:val="009507CA"/>
    <w:rsid w:val="009508D1"/>
    <w:rsid w:val="00950950"/>
    <w:rsid w:val="00950A28"/>
    <w:rsid w:val="00950C80"/>
    <w:rsid w:val="00950E02"/>
    <w:rsid w:val="00950ECA"/>
    <w:rsid w:val="00950FAF"/>
    <w:rsid w:val="00950FF1"/>
    <w:rsid w:val="00951010"/>
    <w:rsid w:val="00951121"/>
    <w:rsid w:val="00951131"/>
    <w:rsid w:val="00951291"/>
    <w:rsid w:val="00951312"/>
    <w:rsid w:val="0095151E"/>
    <w:rsid w:val="00951669"/>
    <w:rsid w:val="009516E6"/>
    <w:rsid w:val="00951821"/>
    <w:rsid w:val="0095191D"/>
    <w:rsid w:val="00951968"/>
    <w:rsid w:val="00951B05"/>
    <w:rsid w:val="00951B3E"/>
    <w:rsid w:val="00951BA2"/>
    <w:rsid w:val="00951EB4"/>
    <w:rsid w:val="009520E1"/>
    <w:rsid w:val="009520F6"/>
    <w:rsid w:val="00952109"/>
    <w:rsid w:val="009521A9"/>
    <w:rsid w:val="0095248D"/>
    <w:rsid w:val="0095250B"/>
    <w:rsid w:val="009525C9"/>
    <w:rsid w:val="00952630"/>
    <w:rsid w:val="00952681"/>
    <w:rsid w:val="0095270F"/>
    <w:rsid w:val="00952740"/>
    <w:rsid w:val="00952916"/>
    <w:rsid w:val="009529AC"/>
    <w:rsid w:val="00952A25"/>
    <w:rsid w:val="00952D4B"/>
    <w:rsid w:val="00952D5D"/>
    <w:rsid w:val="00952E17"/>
    <w:rsid w:val="00953044"/>
    <w:rsid w:val="009531E2"/>
    <w:rsid w:val="00953241"/>
    <w:rsid w:val="0095330D"/>
    <w:rsid w:val="00953465"/>
    <w:rsid w:val="009534EC"/>
    <w:rsid w:val="00953563"/>
    <w:rsid w:val="00953590"/>
    <w:rsid w:val="0095364C"/>
    <w:rsid w:val="009536EF"/>
    <w:rsid w:val="00953746"/>
    <w:rsid w:val="00953839"/>
    <w:rsid w:val="00953994"/>
    <w:rsid w:val="00953A15"/>
    <w:rsid w:val="00953ABB"/>
    <w:rsid w:val="00953B66"/>
    <w:rsid w:val="00953B68"/>
    <w:rsid w:val="00954158"/>
    <w:rsid w:val="00954167"/>
    <w:rsid w:val="009542F3"/>
    <w:rsid w:val="00954311"/>
    <w:rsid w:val="0095434B"/>
    <w:rsid w:val="009544BE"/>
    <w:rsid w:val="0095456D"/>
    <w:rsid w:val="0095457E"/>
    <w:rsid w:val="00954681"/>
    <w:rsid w:val="009546C3"/>
    <w:rsid w:val="009546ED"/>
    <w:rsid w:val="009549AE"/>
    <w:rsid w:val="00954AD6"/>
    <w:rsid w:val="00954B81"/>
    <w:rsid w:val="00954C06"/>
    <w:rsid w:val="00954C6A"/>
    <w:rsid w:val="00954CAB"/>
    <w:rsid w:val="00954E5C"/>
    <w:rsid w:val="00954ECB"/>
    <w:rsid w:val="00954F2C"/>
    <w:rsid w:val="00954FBD"/>
    <w:rsid w:val="009551F5"/>
    <w:rsid w:val="009552CC"/>
    <w:rsid w:val="0095533F"/>
    <w:rsid w:val="009554CF"/>
    <w:rsid w:val="00955904"/>
    <w:rsid w:val="00955922"/>
    <w:rsid w:val="00955A0B"/>
    <w:rsid w:val="00955B55"/>
    <w:rsid w:val="00955C1A"/>
    <w:rsid w:val="00955C4F"/>
    <w:rsid w:val="00955CBF"/>
    <w:rsid w:val="00955CF4"/>
    <w:rsid w:val="00955E97"/>
    <w:rsid w:val="00955F86"/>
    <w:rsid w:val="009560CA"/>
    <w:rsid w:val="009563C3"/>
    <w:rsid w:val="00956413"/>
    <w:rsid w:val="009565AA"/>
    <w:rsid w:val="009566E6"/>
    <w:rsid w:val="00956866"/>
    <w:rsid w:val="00956941"/>
    <w:rsid w:val="0095697F"/>
    <w:rsid w:val="009569DA"/>
    <w:rsid w:val="00956B62"/>
    <w:rsid w:val="00956CC0"/>
    <w:rsid w:val="00956D51"/>
    <w:rsid w:val="00956FA0"/>
    <w:rsid w:val="00957181"/>
    <w:rsid w:val="009571B0"/>
    <w:rsid w:val="00957494"/>
    <w:rsid w:val="00957550"/>
    <w:rsid w:val="00957563"/>
    <w:rsid w:val="009575DC"/>
    <w:rsid w:val="0095764A"/>
    <w:rsid w:val="00957853"/>
    <w:rsid w:val="00957930"/>
    <w:rsid w:val="0095793E"/>
    <w:rsid w:val="00957A3C"/>
    <w:rsid w:val="00957A85"/>
    <w:rsid w:val="00957B7A"/>
    <w:rsid w:val="00957C02"/>
    <w:rsid w:val="00957DA8"/>
    <w:rsid w:val="00957DEC"/>
    <w:rsid w:val="00957F0C"/>
    <w:rsid w:val="00957F6D"/>
    <w:rsid w:val="00957F70"/>
    <w:rsid w:val="00957FC6"/>
    <w:rsid w:val="00957FFA"/>
    <w:rsid w:val="00960195"/>
    <w:rsid w:val="00960224"/>
    <w:rsid w:val="0096022B"/>
    <w:rsid w:val="009602EB"/>
    <w:rsid w:val="00960452"/>
    <w:rsid w:val="0096045F"/>
    <w:rsid w:val="00960509"/>
    <w:rsid w:val="00960655"/>
    <w:rsid w:val="00960707"/>
    <w:rsid w:val="00960769"/>
    <w:rsid w:val="009607C6"/>
    <w:rsid w:val="00960811"/>
    <w:rsid w:val="009608EA"/>
    <w:rsid w:val="00960AAE"/>
    <w:rsid w:val="00960AFA"/>
    <w:rsid w:val="00960B30"/>
    <w:rsid w:val="00960B6F"/>
    <w:rsid w:val="00960DE3"/>
    <w:rsid w:val="00960E83"/>
    <w:rsid w:val="00960EF7"/>
    <w:rsid w:val="009611EE"/>
    <w:rsid w:val="009612BC"/>
    <w:rsid w:val="0096190A"/>
    <w:rsid w:val="00961AA9"/>
    <w:rsid w:val="00961AE3"/>
    <w:rsid w:val="00961E06"/>
    <w:rsid w:val="00961FA3"/>
    <w:rsid w:val="009620E7"/>
    <w:rsid w:val="00962265"/>
    <w:rsid w:val="00962280"/>
    <w:rsid w:val="00962395"/>
    <w:rsid w:val="009623A5"/>
    <w:rsid w:val="00962573"/>
    <w:rsid w:val="00962924"/>
    <w:rsid w:val="0096293A"/>
    <w:rsid w:val="00962AF9"/>
    <w:rsid w:val="00962B5F"/>
    <w:rsid w:val="00962C1A"/>
    <w:rsid w:val="00962D2C"/>
    <w:rsid w:val="00962E52"/>
    <w:rsid w:val="00962FC0"/>
    <w:rsid w:val="00962FFA"/>
    <w:rsid w:val="009631B2"/>
    <w:rsid w:val="009631B4"/>
    <w:rsid w:val="00963252"/>
    <w:rsid w:val="009633D1"/>
    <w:rsid w:val="009634B2"/>
    <w:rsid w:val="0096354F"/>
    <w:rsid w:val="00963574"/>
    <w:rsid w:val="0096359D"/>
    <w:rsid w:val="00963611"/>
    <w:rsid w:val="0096369F"/>
    <w:rsid w:val="00963819"/>
    <w:rsid w:val="00963B9A"/>
    <w:rsid w:val="00963C22"/>
    <w:rsid w:val="00963E8B"/>
    <w:rsid w:val="0096406D"/>
    <w:rsid w:val="0096426F"/>
    <w:rsid w:val="00964333"/>
    <w:rsid w:val="00964379"/>
    <w:rsid w:val="009644C6"/>
    <w:rsid w:val="00964580"/>
    <w:rsid w:val="009646DB"/>
    <w:rsid w:val="0096471C"/>
    <w:rsid w:val="009647CC"/>
    <w:rsid w:val="00964892"/>
    <w:rsid w:val="009648B7"/>
    <w:rsid w:val="009648D7"/>
    <w:rsid w:val="00964A84"/>
    <w:rsid w:val="00964C72"/>
    <w:rsid w:val="00964C7A"/>
    <w:rsid w:val="00964D90"/>
    <w:rsid w:val="00964DA4"/>
    <w:rsid w:val="00964E46"/>
    <w:rsid w:val="00964F8F"/>
    <w:rsid w:val="009650F4"/>
    <w:rsid w:val="00965166"/>
    <w:rsid w:val="00965179"/>
    <w:rsid w:val="009651AC"/>
    <w:rsid w:val="00965226"/>
    <w:rsid w:val="00965255"/>
    <w:rsid w:val="009652EA"/>
    <w:rsid w:val="00965529"/>
    <w:rsid w:val="00965956"/>
    <w:rsid w:val="00965A06"/>
    <w:rsid w:val="00965AE9"/>
    <w:rsid w:val="00965C1F"/>
    <w:rsid w:val="00965CD2"/>
    <w:rsid w:val="00965CE4"/>
    <w:rsid w:val="00965D62"/>
    <w:rsid w:val="00965DD9"/>
    <w:rsid w:val="00965E5E"/>
    <w:rsid w:val="00965FBF"/>
    <w:rsid w:val="0096602C"/>
    <w:rsid w:val="0096607F"/>
    <w:rsid w:val="00966345"/>
    <w:rsid w:val="009664A6"/>
    <w:rsid w:val="009664C5"/>
    <w:rsid w:val="0096667C"/>
    <w:rsid w:val="009667FC"/>
    <w:rsid w:val="0096686D"/>
    <w:rsid w:val="0096688D"/>
    <w:rsid w:val="00966890"/>
    <w:rsid w:val="00966A95"/>
    <w:rsid w:val="00966AF6"/>
    <w:rsid w:val="00966D65"/>
    <w:rsid w:val="00966DB1"/>
    <w:rsid w:val="00966DC1"/>
    <w:rsid w:val="00967095"/>
    <w:rsid w:val="009670D1"/>
    <w:rsid w:val="00967234"/>
    <w:rsid w:val="009672DD"/>
    <w:rsid w:val="00967314"/>
    <w:rsid w:val="0096759A"/>
    <w:rsid w:val="00967669"/>
    <w:rsid w:val="00967687"/>
    <w:rsid w:val="009679B9"/>
    <w:rsid w:val="00967C92"/>
    <w:rsid w:val="00967C9E"/>
    <w:rsid w:val="00967D9A"/>
    <w:rsid w:val="00967E10"/>
    <w:rsid w:val="00970006"/>
    <w:rsid w:val="009701FB"/>
    <w:rsid w:val="0097034B"/>
    <w:rsid w:val="009703A1"/>
    <w:rsid w:val="00970423"/>
    <w:rsid w:val="0097051F"/>
    <w:rsid w:val="00970582"/>
    <w:rsid w:val="009705DC"/>
    <w:rsid w:val="009705DE"/>
    <w:rsid w:val="00970605"/>
    <w:rsid w:val="00970625"/>
    <w:rsid w:val="00970650"/>
    <w:rsid w:val="0097082D"/>
    <w:rsid w:val="0097085A"/>
    <w:rsid w:val="009709D3"/>
    <w:rsid w:val="00970A3E"/>
    <w:rsid w:val="00970B05"/>
    <w:rsid w:val="00970B68"/>
    <w:rsid w:val="00970BEC"/>
    <w:rsid w:val="00970C2F"/>
    <w:rsid w:val="00970C35"/>
    <w:rsid w:val="00970E6B"/>
    <w:rsid w:val="00970EC1"/>
    <w:rsid w:val="00970FCC"/>
    <w:rsid w:val="00971214"/>
    <w:rsid w:val="0097126B"/>
    <w:rsid w:val="009713EB"/>
    <w:rsid w:val="00971446"/>
    <w:rsid w:val="009714E6"/>
    <w:rsid w:val="009716BD"/>
    <w:rsid w:val="00971703"/>
    <w:rsid w:val="00971841"/>
    <w:rsid w:val="0097187B"/>
    <w:rsid w:val="009718ED"/>
    <w:rsid w:val="00971A34"/>
    <w:rsid w:val="00971F21"/>
    <w:rsid w:val="00971F3B"/>
    <w:rsid w:val="0097215D"/>
    <w:rsid w:val="009721F7"/>
    <w:rsid w:val="009725A6"/>
    <w:rsid w:val="009725D3"/>
    <w:rsid w:val="0097265B"/>
    <w:rsid w:val="009726F7"/>
    <w:rsid w:val="00972762"/>
    <w:rsid w:val="0097292F"/>
    <w:rsid w:val="00972A65"/>
    <w:rsid w:val="00972C1F"/>
    <w:rsid w:val="00972D1E"/>
    <w:rsid w:val="009731F0"/>
    <w:rsid w:val="009733CB"/>
    <w:rsid w:val="009733FD"/>
    <w:rsid w:val="00973462"/>
    <w:rsid w:val="00973466"/>
    <w:rsid w:val="00973699"/>
    <w:rsid w:val="0097369D"/>
    <w:rsid w:val="009739BD"/>
    <w:rsid w:val="00973A2B"/>
    <w:rsid w:val="00973ABB"/>
    <w:rsid w:val="00973DA3"/>
    <w:rsid w:val="00973FCE"/>
    <w:rsid w:val="0097403A"/>
    <w:rsid w:val="00974232"/>
    <w:rsid w:val="009745CE"/>
    <w:rsid w:val="009746BE"/>
    <w:rsid w:val="0097471F"/>
    <w:rsid w:val="00974836"/>
    <w:rsid w:val="00974880"/>
    <w:rsid w:val="00974A81"/>
    <w:rsid w:val="00974AA7"/>
    <w:rsid w:val="00974B7A"/>
    <w:rsid w:val="00974C1B"/>
    <w:rsid w:val="00974D57"/>
    <w:rsid w:val="00975197"/>
    <w:rsid w:val="009751B3"/>
    <w:rsid w:val="0097532B"/>
    <w:rsid w:val="009753A5"/>
    <w:rsid w:val="009753FE"/>
    <w:rsid w:val="0097558E"/>
    <w:rsid w:val="0097559D"/>
    <w:rsid w:val="0097567C"/>
    <w:rsid w:val="009756B5"/>
    <w:rsid w:val="009756F3"/>
    <w:rsid w:val="009759C8"/>
    <w:rsid w:val="00975AAE"/>
    <w:rsid w:val="00975AD3"/>
    <w:rsid w:val="00975AFA"/>
    <w:rsid w:val="00975B37"/>
    <w:rsid w:val="00975C66"/>
    <w:rsid w:val="00975D40"/>
    <w:rsid w:val="00975DAA"/>
    <w:rsid w:val="00975DE9"/>
    <w:rsid w:val="00975FA4"/>
    <w:rsid w:val="009760D9"/>
    <w:rsid w:val="0097615B"/>
    <w:rsid w:val="00976197"/>
    <w:rsid w:val="009763F5"/>
    <w:rsid w:val="0097656A"/>
    <w:rsid w:val="0097657E"/>
    <w:rsid w:val="0097660C"/>
    <w:rsid w:val="009767CF"/>
    <w:rsid w:val="009768E7"/>
    <w:rsid w:val="009769CD"/>
    <w:rsid w:val="00976B81"/>
    <w:rsid w:val="00976C99"/>
    <w:rsid w:val="00976D7B"/>
    <w:rsid w:val="00976E36"/>
    <w:rsid w:val="00976E96"/>
    <w:rsid w:val="009770F0"/>
    <w:rsid w:val="00977145"/>
    <w:rsid w:val="009773CE"/>
    <w:rsid w:val="009774B8"/>
    <w:rsid w:val="00977588"/>
    <w:rsid w:val="0097778D"/>
    <w:rsid w:val="009779A6"/>
    <w:rsid w:val="00977A6F"/>
    <w:rsid w:val="00977A76"/>
    <w:rsid w:val="00977C57"/>
    <w:rsid w:val="00977ECF"/>
    <w:rsid w:val="009800A2"/>
    <w:rsid w:val="009800E3"/>
    <w:rsid w:val="0098010F"/>
    <w:rsid w:val="00980113"/>
    <w:rsid w:val="0098020C"/>
    <w:rsid w:val="00980272"/>
    <w:rsid w:val="0098027C"/>
    <w:rsid w:val="009802A2"/>
    <w:rsid w:val="0098034B"/>
    <w:rsid w:val="00980429"/>
    <w:rsid w:val="00980447"/>
    <w:rsid w:val="009804DB"/>
    <w:rsid w:val="00980503"/>
    <w:rsid w:val="0098055F"/>
    <w:rsid w:val="009806B9"/>
    <w:rsid w:val="0098088D"/>
    <w:rsid w:val="00980C5D"/>
    <w:rsid w:val="009810D0"/>
    <w:rsid w:val="0098111D"/>
    <w:rsid w:val="0098112A"/>
    <w:rsid w:val="00981160"/>
    <w:rsid w:val="00981229"/>
    <w:rsid w:val="0098129C"/>
    <w:rsid w:val="0098134F"/>
    <w:rsid w:val="009813FB"/>
    <w:rsid w:val="00981443"/>
    <w:rsid w:val="00981625"/>
    <w:rsid w:val="00981655"/>
    <w:rsid w:val="009816F6"/>
    <w:rsid w:val="00981811"/>
    <w:rsid w:val="009818A2"/>
    <w:rsid w:val="00981AC5"/>
    <w:rsid w:val="00981B40"/>
    <w:rsid w:val="00981CD2"/>
    <w:rsid w:val="00981DAD"/>
    <w:rsid w:val="00981DCC"/>
    <w:rsid w:val="00981E5E"/>
    <w:rsid w:val="00981EB9"/>
    <w:rsid w:val="00982193"/>
    <w:rsid w:val="009822EA"/>
    <w:rsid w:val="00982483"/>
    <w:rsid w:val="00982526"/>
    <w:rsid w:val="009825B4"/>
    <w:rsid w:val="00982649"/>
    <w:rsid w:val="0098281E"/>
    <w:rsid w:val="009828E4"/>
    <w:rsid w:val="00982A19"/>
    <w:rsid w:val="00982CB4"/>
    <w:rsid w:val="00982D0A"/>
    <w:rsid w:val="00982D65"/>
    <w:rsid w:val="0098308B"/>
    <w:rsid w:val="0098330D"/>
    <w:rsid w:val="00983325"/>
    <w:rsid w:val="009833EB"/>
    <w:rsid w:val="00983424"/>
    <w:rsid w:val="00983456"/>
    <w:rsid w:val="00983694"/>
    <w:rsid w:val="00983815"/>
    <w:rsid w:val="009838F0"/>
    <w:rsid w:val="0098399E"/>
    <w:rsid w:val="00983B2E"/>
    <w:rsid w:val="00983BB8"/>
    <w:rsid w:val="00983CA7"/>
    <w:rsid w:val="00984051"/>
    <w:rsid w:val="009840F7"/>
    <w:rsid w:val="00984364"/>
    <w:rsid w:val="009843BB"/>
    <w:rsid w:val="009844C6"/>
    <w:rsid w:val="00984515"/>
    <w:rsid w:val="009845ED"/>
    <w:rsid w:val="0098460F"/>
    <w:rsid w:val="009847AF"/>
    <w:rsid w:val="00984ADE"/>
    <w:rsid w:val="00984B27"/>
    <w:rsid w:val="00984BC0"/>
    <w:rsid w:val="00984CBD"/>
    <w:rsid w:val="00984D41"/>
    <w:rsid w:val="00984D79"/>
    <w:rsid w:val="00984F85"/>
    <w:rsid w:val="009852EF"/>
    <w:rsid w:val="009856D8"/>
    <w:rsid w:val="0098574D"/>
    <w:rsid w:val="009859D5"/>
    <w:rsid w:val="00985A39"/>
    <w:rsid w:val="00985C9B"/>
    <w:rsid w:val="00985D4F"/>
    <w:rsid w:val="00985D92"/>
    <w:rsid w:val="00985F97"/>
    <w:rsid w:val="009860B6"/>
    <w:rsid w:val="009861C8"/>
    <w:rsid w:val="009861FF"/>
    <w:rsid w:val="0098628A"/>
    <w:rsid w:val="00986320"/>
    <w:rsid w:val="00986353"/>
    <w:rsid w:val="009863E4"/>
    <w:rsid w:val="00986409"/>
    <w:rsid w:val="0098643A"/>
    <w:rsid w:val="0098645F"/>
    <w:rsid w:val="00986494"/>
    <w:rsid w:val="009864BF"/>
    <w:rsid w:val="009864E2"/>
    <w:rsid w:val="0098664B"/>
    <w:rsid w:val="009866BE"/>
    <w:rsid w:val="0098679B"/>
    <w:rsid w:val="009867F4"/>
    <w:rsid w:val="00986857"/>
    <w:rsid w:val="009869FE"/>
    <w:rsid w:val="00986B29"/>
    <w:rsid w:val="00986C89"/>
    <w:rsid w:val="00986C8A"/>
    <w:rsid w:val="00986DF2"/>
    <w:rsid w:val="00986F11"/>
    <w:rsid w:val="00987209"/>
    <w:rsid w:val="00987217"/>
    <w:rsid w:val="009875CC"/>
    <w:rsid w:val="009875F9"/>
    <w:rsid w:val="009876B5"/>
    <w:rsid w:val="0098789A"/>
    <w:rsid w:val="00987FE8"/>
    <w:rsid w:val="009901DA"/>
    <w:rsid w:val="0099027D"/>
    <w:rsid w:val="009902D8"/>
    <w:rsid w:val="009904C6"/>
    <w:rsid w:val="00990558"/>
    <w:rsid w:val="0099058A"/>
    <w:rsid w:val="0099076C"/>
    <w:rsid w:val="00990824"/>
    <w:rsid w:val="00990984"/>
    <w:rsid w:val="00990A2A"/>
    <w:rsid w:val="00990A37"/>
    <w:rsid w:val="00990AEE"/>
    <w:rsid w:val="00990B2E"/>
    <w:rsid w:val="00990BA4"/>
    <w:rsid w:val="00990BC8"/>
    <w:rsid w:val="00990C4A"/>
    <w:rsid w:val="00990F2F"/>
    <w:rsid w:val="00990F7B"/>
    <w:rsid w:val="00991048"/>
    <w:rsid w:val="0099104F"/>
    <w:rsid w:val="00991454"/>
    <w:rsid w:val="00991493"/>
    <w:rsid w:val="009914F4"/>
    <w:rsid w:val="0099157B"/>
    <w:rsid w:val="009916C4"/>
    <w:rsid w:val="0099178C"/>
    <w:rsid w:val="009917D4"/>
    <w:rsid w:val="00991997"/>
    <w:rsid w:val="009919FD"/>
    <w:rsid w:val="00991AAF"/>
    <w:rsid w:val="00991C56"/>
    <w:rsid w:val="00991E10"/>
    <w:rsid w:val="00991E96"/>
    <w:rsid w:val="00992013"/>
    <w:rsid w:val="0099206D"/>
    <w:rsid w:val="009921A0"/>
    <w:rsid w:val="009921CA"/>
    <w:rsid w:val="0099239B"/>
    <w:rsid w:val="009923E1"/>
    <w:rsid w:val="0099243F"/>
    <w:rsid w:val="00992518"/>
    <w:rsid w:val="0099267B"/>
    <w:rsid w:val="00992772"/>
    <w:rsid w:val="00992802"/>
    <w:rsid w:val="0099282B"/>
    <w:rsid w:val="00992854"/>
    <w:rsid w:val="0099288A"/>
    <w:rsid w:val="009929C2"/>
    <w:rsid w:val="009929C6"/>
    <w:rsid w:val="00992A6D"/>
    <w:rsid w:val="00992A8A"/>
    <w:rsid w:val="00992C53"/>
    <w:rsid w:val="00992C8E"/>
    <w:rsid w:val="00992E0E"/>
    <w:rsid w:val="00993043"/>
    <w:rsid w:val="00993209"/>
    <w:rsid w:val="00993589"/>
    <w:rsid w:val="009935B8"/>
    <w:rsid w:val="00993694"/>
    <w:rsid w:val="009937BE"/>
    <w:rsid w:val="00993943"/>
    <w:rsid w:val="00993A80"/>
    <w:rsid w:val="00993B15"/>
    <w:rsid w:val="00993DCD"/>
    <w:rsid w:val="00993FB0"/>
    <w:rsid w:val="009940CC"/>
    <w:rsid w:val="0099417C"/>
    <w:rsid w:val="009941E3"/>
    <w:rsid w:val="0099425D"/>
    <w:rsid w:val="00994384"/>
    <w:rsid w:val="009943E0"/>
    <w:rsid w:val="0099450F"/>
    <w:rsid w:val="00994681"/>
    <w:rsid w:val="009949AD"/>
    <w:rsid w:val="00994A0A"/>
    <w:rsid w:val="00994AA1"/>
    <w:rsid w:val="00994AAB"/>
    <w:rsid w:val="009951D8"/>
    <w:rsid w:val="00995254"/>
    <w:rsid w:val="00995446"/>
    <w:rsid w:val="00995672"/>
    <w:rsid w:val="0099569F"/>
    <w:rsid w:val="009956B2"/>
    <w:rsid w:val="009958AC"/>
    <w:rsid w:val="0099593E"/>
    <w:rsid w:val="0099594C"/>
    <w:rsid w:val="00995AF6"/>
    <w:rsid w:val="00995C6C"/>
    <w:rsid w:val="00995C6F"/>
    <w:rsid w:val="00995CE0"/>
    <w:rsid w:val="00995D27"/>
    <w:rsid w:val="00995D4A"/>
    <w:rsid w:val="00995D67"/>
    <w:rsid w:val="00995DFB"/>
    <w:rsid w:val="00995FD6"/>
    <w:rsid w:val="00996069"/>
    <w:rsid w:val="009960CA"/>
    <w:rsid w:val="0099610C"/>
    <w:rsid w:val="009962C4"/>
    <w:rsid w:val="0099633B"/>
    <w:rsid w:val="009964BC"/>
    <w:rsid w:val="009964FF"/>
    <w:rsid w:val="00996633"/>
    <w:rsid w:val="009966E0"/>
    <w:rsid w:val="00996759"/>
    <w:rsid w:val="00996769"/>
    <w:rsid w:val="0099680A"/>
    <w:rsid w:val="009968AD"/>
    <w:rsid w:val="0099692E"/>
    <w:rsid w:val="00996A7D"/>
    <w:rsid w:val="00996B7F"/>
    <w:rsid w:val="00996DBA"/>
    <w:rsid w:val="00996EA9"/>
    <w:rsid w:val="00997139"/>
    <w:rsid w:val="00997292"/>
    <w:rsid w:val="009972B8"/>
    <w:rsid w:val="009972F3"/>
    <w:rsid w:val="00997405"/>
    <w:rsid w:val="009974EB"/>
    <w:rsid w:val="0099757D"/>
    <w:rsid w:val="0099760D"/>
    <w:rsid w:val="00997AAE"/>
    <w:rsid w:val="00997CA5"/>
    <w:rsid w:val="00997D10"/>
    <w:rsid w:val="00997F41"/>
    <w:rsid w:val="009A04B2"/>
    <w:rsid w:val="009A04B9"/>
    <w:rsid w:val="009A04E2"/>
    <w:rsid w:val="009A052A"/>
    <w:rsid w:val="009A055B"/>
    <w:rsid w:val="009A0650"/>
    <w:rsid w:val="009A0752"/>
    <w:rsid w:val="009A07CB"/>
    <w:rsid w:val="009A086F"/>
    <w:rsid w:val="009A09D1"/>
    <w:rsid w:val="009A0AAA"/>
    <w:rsid w:val="009A0D8D"/>
    <w:rsid w:val="009A0E39"/>
    <w:rsid w:val="009A0FD2"/>
    <w:rsid w:val="009A11C7"/>
    <w:rsid w:val="009A14AE"/>
    <w:rsid w:val="009A15C0"/>
    <w:rsid w:val="009A1642"/>
    <w:rsid w:val="009A17F0"/>
    <w:rsid w:val="009A1954"/>
    <w:rsid w:val="009A1A1E"/>
    <w:rsid w:val="009A1A72"/>
    <w:rsid w:val="009A1BE2"/>
    <w:rsid w:val="009A1C94"/>
    <w:rsid w:val="009A1EFD"/>
    <w:rsid w:val="009A2006"/>
    <w:rsid w:val="009A2094"/>
    <w:rsid w:val="009A2199"/>
    <w:rsid w:val="009A21DC"/>
    <w:rsid w:val="009A22F9"/>
    <w:rsid w:val="009A241F"/>
    <w:rsid w:val="009A24B2"/>
    <w:rsid w:val="009A25F8"/>
    <w:rsid w:val="009A269A"/>
    <w:rsid w:val="009A2804"/>
    <w:rsid w:val="009A2997"/>
    <w:rsid w:val="009A2A8E"/>
    <w:rsid w:val="009A2DE2"/>
    <w:rsid w:val="009A3034"/>
    <w:rsid w:val="009A3139"/>
    <w:rsid w:val="009A314B"/>
    <w:rsid w:val="009A32C0"/>
    <w:rsid w:val="009A33C7"/>
    <w:rsid w:val="009A33CB"/>
    <w:rsid w:val="009A3554"/>
    <w:rsid w:val="009A3576"/>
    <w:rsid w:val="009A3910"/>
    <w:rsid w:val="009A391B"/>
    <w:rsid w:val="009A39B8"/>
    <w:rsid w:val="009A39EB"/>
    <w:rsid w:val="009A3B01"/>
    <w:rsid w:val="009A3B07"/>
    <w:rsid w:val="009A3B86"/>
    <w:rsid w:val="009A3BCE"/>
    <w:rsid w:val="009A3D55"/>
    <w:rsid w:val="009A3DA9"/>
    <w:rsid w:val="009A3DCA"/>
    <w:rsid w:val="009A3DEB"/>
    <w:rsid w:val="009A3E1A"/>
    <w:rsid w:val="009A3E95"/>
    <w:rsid w:val="009A3F08"/>
    <w:rsid w:val="009A4007"/>
    <w:rsid w:val="009A404A"/>
    <w:rsid w:val="009A415F"/>
    <w:rsid w:val="009A4257"/>
    <w:rsid w:val="009A43BA"/>
    <w:rsid w:val="009A45D5"/>
    <w:rsid w:val="009A4AF0"/>
    <w:rsid w:val="009A4E1B"/>
    <w:rsid w:val="009A4E57"/>
    <w:rsid w:val="009A4E59"/>
    <w:rsid w:val="009A4E89"/>
    <w:rsid w:val="009A51BE"/>
    <w:rsid w:val="009A524D"/>
    <w:rsid w:val="009A5267"/>
    <w:rsid w:val="009A52D0"/>
    <w:rsid w:val="009A52ED"/>
    <w:rsid w:val="009A533B"/>
    <w:rsid w:val="009A5343"/>
    <w:rsid w:val="009A53C9"/>
    <w:rsid w:val="009A53EE"/>
    <w:rsid w:val="009A565D"/>
    <w:rsid w:val="009A567A"/>
    <w:rsid w:val="009A5B5B"/>
    <w:rsid w:val="009A5D21"/>
    <w:rsid w:val="009A5DF1"/>
    <w:rsid w:val="009A5EC6"/>
    <w:rsid w:val="009A610D"/>
    <w:rsid w:val="009A620A"/>
    <w:rsid w:val="009A6396"/>
    <w:rsid w:val="009A644F"/>
    <w:rsid w:val="009A64A3"/>
    <w:rsid w:val="009A6536"/>
    <w:rsid w:val="009A6646"/>
    <w:rsid w:val="009A665B"/>
    <w:rsid w:val="009A6731"/>
    <w:rsid w:val="009A674C"/>
    <w:rsid w:val="009A68D6"/>
    <w:rsid w:val="009A6A0C"/>
    <w:rsid w:val="009A6AE2"/>
    <w:rsid w:val="009A6B8B"/>
    <w:rsid w:val="009A6B9F"/>
    <w:rsid w:val="009A6BCA"/>
    <w:rsid w:val="009A6BD7"/>
    <w:rsid w:val="009A6BEF"/>
    <w:rsid w:val="009A7100"/>
    <w:rsid w:val="009A7343"/>
    <w:rsid w:val="009A74F9"/>
    <w:rsid w:val="009A752D"/>
    <w:rsid w:val="009A775D"/>
    <w:rsid w:val="009A78D2"/>
    <w:rsid w:val="009A7CDB"/>
    <w:rsid w:val="009B019C"/>
    <w:rsid w:val="009B02C0"/>
    <w:rsid w:val="009B030C"/>
    <w:rsid w:val="009B0388"/>
    <w:rsid w:val="009B0557"/>
    <w:rsid w:val="009B076A"/>
    <w:rsid w:val="009B079B"/>
    <w:rsid w:val="009B07C7"/>
    <w:rsid w:val="009B07CE"/>
    <w:rsid w:val="009B095A"/>
    <w:rsid w:val="009B0AF0"/>
    <w:rsid w:val="009B0BD4"/>
    <w:rsid w:val="009B0D0C"/>
    <w:rsid w:val="009B0F94"/>
    <w:rsid w:val="009B0FE9"/>
    <w:rsid w:val="009B1041"/>
    <w:rsid w:val="009B1279"/>
    <w:rsid w:val="009B12DF"/>
    <w:rsid w:val="009B12E7"/>
    <w:rsid w:val="009B12F2"/>
    <w:rsid w:val="009B1459"/>
    <w:rsid w:val="009B152A"/>
    <w:rsid w:val="009B16B7"/>
    <w:rsid w:val="009B16CD"/>
    <w:rsid w:val="009B1A4C"/>
    <w:rsid w:val="009B1C85"/>
    <w:rsid w:val="009B1CF7"/>
    <w:rsid w:val="009B1EA2"/>
    <w:rsid w:val="009B1F81"/>
    <w:rsid w:val="009B2058"/>
    <w:rsid w:val="009B205E"/>
    <w:rsid w:val="009B2091"/>
    <w:rsid w:val="009B2165"/>
    <w:rsid w:val="009B22D3"/>
    <w:rsid w:val="009B231A"/>
    <w:rsid w:val="009B2394"/>
    <w:rsid w:val="009B2570"/>
    <w:rsid w:val="009B271D"/>
    <w:rsid w:val="009B2814"/>
    <w:rsid w:val="009B290B"/>
    <w:rsid w:val="009B2916"/>
    <w:rsid w:val="009B2965"/>
    <w:rsid w:val="009B2974"/>
    <w:rsid w:val="009B2A23"/>
    <w:rsid w:val="009B2AA8"/>
    <w:rsid w:val="009B2B08"/>
    <w:rsid w:val="009B2BF1"/>
    <w:rsid w:val="009B2D65"/>
    <w:rsid w:val="009B2E2E"/>
    <w:rsid w:val="009B3034"/>
    <w:rsid w:val="009B3084"/>
    <w:rsid w:val="009B3197"/>
    <w:rsid w:val="009B31C6"/>
    <w:rsid w:val="009B32E9"/>
    <w:rsid w:val="009B33A0"/>
    <w:rsid w:val="009B33EE"/>
    <w:rsid w:val="009B343B"/>
    <w:rsid w:val="009B34A1"/>
    <w:rsid w:val="009B35D8"/>
    <w:rsid w:val="009B36C0"/>
    <w:rsid w:val="009B3808"/>
    <w:rsid w:val="009B385B"/>
    <w:rsid w:val="009B387C"/>
    <w:rsid w:val="009B3A70"/>
    <w:rsid w:val="009B3D46"/>
    <w:rsid w:val="009B4206"/>
    <w:rsid w:val="009B43E1"/>
    <w:rsid w:val="009B44D8"/>
    <w:rsid w:val="009B45F9"/>
    <w:rsid w:val="009B483B"/>
    <w:rsid w:val="009B484E"/>
    <w:rsid w:val="009B4911"/>
    <w:rsid w:val="009B4949"/>
    <w:rsid w:val="009B49EB"/>
    <w:rsid w:val="009B4B3A"/>
    <w:rsid w:val="009B4E7A"/>
    <w:rsid w:val="009B4E96"/>
    <w:rsid w:val="009B4EA1"/>
    <w:rsid w:val="009B4F34"/>
    <w:rsid w:val="009B4FBB"/>
    <w:rsid w:val="009B4FF4"/>
    <w:rsid w:val="009B5030"/>
    <w:rsid w:val="009B5295"/>
    <w:rsid w:val="009B5399"/>
    <w:rsid w:val="009B53BF"/>
    <w:rsid w:val="009B5425"/>
    <w:rsid w:val="009B56C0"/>
    <w:rsid w:val="009B5956"/>
    <w:rsid w:val="009B5A34"/>
    <w:rsid w:val="009B5A50"/>
    <w:rsid w:val="009B5ADC"/>
    <w:rsid w:val="009B5B2E"/>
    <w:rsid w:val="009B5B56"/>
    <w:rsid w:val="009B5D24"/>
    <w:rsid w:val="009B5D26"/>
    <w:rsid w:val="009B5DF0"/>
    <w:rsid w:val="009B6034"/>
    <w:rsid w:val="009B6078"/>
    <w:rsid w:val="009B60F9"/>
    <w:rsid w:val="009B6149"/>
    <w:rsid w:val="009B61C5"/>
    <w:rsid w:val="009B61C8"/>
    <w:rsid w:val="009B6578"/>
    <w:rsid w:val="009B6702"/>
    <w:rsid w:val="009B684F"/>
    <w:rsid w:val="009B69E1"/>
    <w:rsid w:val="009B6A7F"/>
    <w:rsid w:val="009B6AC3"/>
    <w:rsid w:val="009B6F27"/>
    <w:rsid w:val="009B7076"/>
    <w:rsid w:val="009B726B"/>
    <w:rsid w:val="009B7364"/>
    <w:rsid w:val="009B769D"/>
    <w:rsid w:val="009B77B0"/>
    <w:rsid w:val="009B7829"/>
    <w:rsid w:val="009B784C"/>
    <w:rsid w:val="009B78C7"/>
    <w:rsid w:val="009B7949"/>
    <w:rsid w:val="009B7AC8"/>
    <w:rsid w:val="009B7C62"/>
    <w:rsid w:val="009B7D5D"/>
    <w:rsid w:val="009B7DE5"/>
    <w:rsid w:val="009C0039"/>
    <w:rsid w:val="009C00A6"/>
    <w:rsid w:val="009C013B"/>
    <w:rsid w:val="009C031B"/>
    <w:rsid w:val="009C0327"/>
    <w:rsid w:val="009C036F"/>
    <w:rsid w:val="009C042B"/>
    <w:rsid w:val="009C04D5"/>
    <w:rsid w:val="009C063E"/>
    <w:rsid w:val="009C06DA"/>
    <w:rsid w:val="009C0712"/>
    <w:rsid w:val="009C0799"/>
    <w:rsid w:val="009C07CE"/>
    <w:rsid w:val="009C0941"/>
    <w:rsid w:val="009C0974"/>
    <w:rsid w:val="009C0C67"/>
    <w:rsid w:val="009C0E28"/>
    <w:rsid w:val="009C0EE0"/>
    <w:rsid w:val="009C1068"/>
    <w:rsid w:val="009C1074"/>
    <w:rsid w:val="009C1078"/>
    <w:rsid w:val="009C1353"/>
    <w:rsid w:val="009C135C"/>
    <w:rsid w:val="009C13C7"/>
    <w:rsid w:val="009C16A6"/>
    <w:rsid w:val="009C19C3"/>
    <w:rsid w:val="009C1AAC"/>
    <w:rsid w:val="009C1ACD"/>
    <w:rsid w:val="009C1F46"/>
    <w:rsid w:val="009C2244"/>
    <w:rsid w:val="009C22E3"/>
    <w:rsid w:val="009C231F"/>
    <w:rsid w:val="009C242C"/>
    <w:rsid w:val="009C2470"/>
    <w:rsid w:val="009C247A"/>
    <w:rsid w:val="009C24A4"/>
    <w:rsid w:val="009C24FF"/>
    <w:rsid w:val="009C26C2"/>
    <w:rsid w:val="009C286F"/>
    <w:rsid w:val="009C2A20"/>
    <w:rsid w:val="009C2AB5"/>
    <w:rsid w:val="009C2AC5"/>
    <w:rsid w:val="009C2ADC"/>
    <w:rsid w:val="009C2B70"/>
    <w:rsid w:val="009C2CEB"/>
    <w:rsid w:val="009C2E65"/>
    <w:rsid w:val="009C2ED4"/>
    <w:rsid w:val="009C2F48"/>
    <w:rsid w:val="009C2F50"/>
    <w:rsid w:val="009C3074"/>
    <w:rsid w:val="009C30C4"/>
    <w:rsid w:val="009C3456"/>
    <w:rsid w:val="009C34AF"/>
    <w:rsid w:val="009C3554"/>
    <w:rsid w:val="009C35B5"/>
    <w:rsid w:val="009C35EE"/>
    <w:rsid w:val="009C36C3"/>
    <w:rsid w:val="009C37D5"/>
    <w:rsid w:val="009C3849"/>
    <w:rsid w:val="009C38AA"/>
    <w:rsid w:val="009C3970"/>
    <w:rsid w:val="009C3A93"/>
    <w:rsid w:val="009C3C71"/>
    <w:rsid w:val="009C3CFF"/>
    <w:rsid w:val="009C3E1B"/>
    <w:rsid w:val="009C3EE2"/>
    <w:rsid w:val="009C3F9F"/>
    <w:rsid w:val="009C405B"/>
    <w:rsid w:val="009C40BC"/>
    <w:rsid w:val="009C4105"/>
    <w:rsid w:val="009C4319"/>
    <w:rsid w:val="009C438C"/>
    <w:rsid w:val="009C4409"/>
    <w:rsid w:val="009C44AC"/>
    <w:rsid w:val="009C44C1"/>
    <w:rsid w:val="009C451C"/>
    <w:rsid w:val="009C451D"/>
    <w:rsid w:val="009C45CC"/>
    <w:rsid w:val="009C47DD"/>
    <w:rsid w:val="009C4847"/>
    <w:rsid w:val="009C48F8"/>
    <w:rsid w:val="009C4C27"/>
    <w:rsid w:val="009C4F4B"/>
    <w:rsid w:val="009C54F8"/>
    <w:rsid w:val="009C55A0"/>
    <w:rsid w:val="009C5686"/>
    <w:rsid w:val="009C5B38"/>
    <w:rsid w:val="009C5B87"/>
    <w:rsid w:val="009C5E9C"/>
    <w:rsid w:val="009C601C"/>
    <w:rsid w:val="009C627A"/>
    <w:rsid w:val="009C62EC"/>
    <w:rsid w:val="009C641C"/>
    <w:rsid w:val="009C64A9"/>
    <w:rsid w:val="009C64D0"/>
    <w:rsid w:val="009C6642"/>
    <w:rsid w:val="009C6A00"/>
    <w:rsid w:val="009C6A01"/>
    <w:rsid w:val="009C6BB8"/>
    <w:rsid w:val="009C6C17"/>
    <w:rsid w:val="009C6DB2"/>
    <w:rsid w:val="009C6EE4"/>
    <w:rsid w:val="009C701C"/>
    <w:rsid w:val="009C70B0"/>
    <w:rsid w:val="009C71FB"/>
    <w:rsid w:val="009C72EC"/>
    <w:rsid w:val="009C7371"/>
    <w:rsid w:val="009C7375"/>
    <w:rsid w:val="009C73E2"/>
    <w:rsid w:val="009C7546"/>
    <w:rsid w:val="009C75FD"/>
    <w:rsid w:val="009C769E"/>
    <w:rsid w:val="009C77B9"/>
    <w:rsid w:val="009C77F5"/>
    <w:rsid w:val="009C7A2A"/>
    <w:rsid w:val="009C7A2F"/>
    <w:rsid w:val="009C7B84"/>
    <w:rsid w:val="009C7C2D"/>
    <w:rsid w:val="009C7C2F"/>
    <w:rsid w:val="009C7D47"/>
    <w:rsid w:val="009C7EF6"/>
    <w:rsid w:val="009D0010"/>
    <w:rsid w:val="009D0048"/>
    <w:rsid w:val="009D00EB"/>
    <w:rsid w:val="009D00FC"/>
    <w:rsid w:val="009D033C"/>
    <w:rsid w:val="009D05F0"/>
    <w:rsid w:val="009D062D"/>
    <w:rsid w:val="009D0778"/>
    <w:rsid w:val="009D0843"/>
    <w:rsid w:val="009D08F4"/>
    <w:rsid w:val="009D09E1"/>
    <w:rsid w:val="009D0BD9"/>
    <w:rsid w:val="009D0C1B"/>
    <w:rsid w:val="009D0D10"/>
    <w:rsid w:val="009D0D1B"/>
    <w:rsid w:val="009D0E78"/>
    <w:rsid w:val="009D0F76"/>
    <w:rsid w:val="009D0F94"/>
    <w:rsid w:val="009D0F95"/>
    <w:rsid w:val="009D1123"/>
    <w:rsid w:val="009D11CA"/>
    <w:rsid w:val="009D11CB"/>
    <w:rsid w:val="009D1385"/>
    <w:rsid w:val="009D13E2"/>
    <w:rsid w:val="009D1449"/>
    <w:rsid w:val="009D1855"/>
    <w:rsid w:val="009D1897"/>
    <w:rsid w:val="009D19F3"/>
    <w:rsid w:val="009D1A4E"/>
    <w:rsid w:val="009D1A6A"/>
    <w:rsid w:val="009D1A7A"/>
    <w:rsid w:val="009D1BE5"/>
    <w:rsid w:val="009D1CA8"/>
    <w:rsid w:val="009D1CFD"/>
    <w:rsid w:val="009D2133"/>
    <w:rsid w:val="009D2167"/>
    <w:rsid w:val="009D2230"/>
    <w:rsid w:val="009D2330"/>
    <w:rsid w:val="009D235B"/>
    <w:rsid w:val="009D236B"/>
    <w:rsid w:val="009D2493"/>
    <w:rsid w:val="009D25AA"/>
    <w:rsid w:val="009D261A"/>
    <w:rsid w:val="009D26DF"/>
    <w:rsid w:val="009D2805"/>
    <w:rsid w:val="009D2806"/>
    <w:rsid w:val="009D28BB"/>
    <w:rsid w:val="009D2AFF"/>
    <w:rsid w:val="009D2EE3"/>
    <w:rsid w:val="009D30AF"/>
    <w:rsid w:val="009D313B"/>
    <w:rsid w:val="009D32A7"/>
    <w:rsid w:val="009D339E"/>
    <w:rsid w:val="009D33D6"/>
    <w:rsid w:val="009D35B1"/>
    <w:rsid w:val="009D3616"/>
    <w:rsid w:val="009D3661"/>
    <w:rsid w:val="009D36F3"/>
    <w:rsid w:val="009D387D"/>
    <w:rsid w:val="009D3981"/>
    <w:rsid w:val="009D3990"/>
    <w:rsid w:val="009D3BCE"/>
    <w:rsid w:val="009D3C59"/>
    <w:rsid w:val="009D3CE1"/>
    <w:rsid w:val="009D3D6C"/>
    <w:rsid w:val="009D4028"/>
    <w:rsid w:val="009D4069"/>
    <w:rsid w:val="009D407F"/>
    <w:rsid w:val="009D40C0"/>
    <w:rsid w:val="009D40EA"/>
    <w:rsid w:val="009D4123"/>
    <w:rsid w:val="009D4354"/>
    <w:rsid w:val="009D43B9"/>
    <w:rsid w:val="009D46FA"/>
    <w:rsid w:val="009D482A"/>
    <w:rsid w:val="009D4A59"/>
    <w:rsid w:val="009D4A7B"/>
    <w:rsid w:val="009D4BBF"/>
    <w:rsid w:val="009D4D86"/>
    <w:rsid w:val="009D4E4D"/>
    <w:rsid w:val="009D4FB3"/>
    <w:rsid w:val="009D50D3"/>
    <w:rsid w:val="009D516D"/>
    <w:rsid w:val="009D5327"/>
    <w:rsid w:val="009D55DC"/>
    <w:rsid w:val="009D5622"/>
    <w:rsid w:val="009D5694"/>
    <w:rsid w:val="009D56A2"/>
    <w:rsid w:val="009D57C3"/>
    <w:rsid w:val="009D5812"/>
    <w:rsid w:val="009D58A4"/>
    <w:rsid w:val="009D5949"/>
    <w:rsid w:val="009D5EFA"/>
    <w:rsid w:val="009D6057"/>
    <w:rsid w:val="009D6339"/>
    <w:rsid w:val="009D640C"/>
    <w:rsid w:val="009D6423"/>
    <w:rsid w:val="009D6566"/>
    <w:rsid w:val="009D6732"/>
    <w:rsid w:val="009D67A2"/>
    <w:rsid w:val="009D6813"/>
    <w:rsid w:val="009D6996"/>
    <w:rsid w:val="009D6B6B"/>
    <w:rsid w:val="009D6E41"/>
    <w:rsid w:val="009D6E4A"/>
    <w:rsid w:val="009D70ED"/>
    <w:rsid w:val="009D7233"/>
    <w:rsid w:val="009D7295"/>
    <w:rsid w:val="009D7310"/>
    <w:rsid w:val="009D7545"/>
    <w:rsid w:val="009D7613"/>
    <w:rsid w:val="009D785B"/>
    <w:rsid w:val="009D78CB"/>
    <w:rsid w:val="009D79A5"/>
    <w:rsid w:val="009D79C3"/>
    <w:rsid w:val="009D7BA2"/>
    <w:rsid w:val="009D7BB7"/>
    <w:rsid w:val="009D7C27"/>
    <w:rsid w:val="009D7FB0"/>
    <w:rsid w:val="009E02B5"/>
    <w:rsid w:val="009E032D"/>
    <w:rsid w:val="009E0372"/>
    <w:rsid w:val="009E06CB"/>
    <w:rsid w:val="009E07A3"/>
    <w:rsid w:val="009E07FA"/>
    <w:rsid w:val="009E08FD"/>
    <w:rsid w:val="009E09DE"/>
    <w:rsid w:val="009E09FA"/>
    <w:rsid w:val="009E0AA8"/>
    <w:rsid w:val="009E0B54"/>
    <w:rsid w:val="009E0E96"/>
    <w:rsid w:val="009E0F04"/>
    <w:rsid w:val="009E0F6F"/>
    <w:rsid w:val="009E1011"/>
    <w:rsid w:val="009E12E0"/>
    <w:rsid w:val="009E1308"/>
    <w:rsid w:val="009E134B"/>
    <w:rsid w:val="009E1655"/>
    <w:rsid w:val="009E1677"/>
    <w:rsid w:val="009E175E"/>
    <w:rsid w:val="009E17FD"/>
    <w:rsid w:val="009E1872"/>
    <w:rsid w:val="009E18B2"/>
    <w:rsid w:val="009E1BEA"/>
    <w:rsid w:val="009E1C5B"/>
    <w:rsid w:val="009E1D9B"/>
    <w:rsid w:val="009E1F0F"/>
    <w:rsid w:val="009E1F8C"/>
    <w:rsid w:val="009E20C4"/>
    <w:rsid w:val="009E219C"/>
    <w:rsid w:val="009E21AE"/>
    <w:rsid w:val="009E21E2"/>
    <w:rsid w:val="009E2236"/>
    <w:rsid w:val="009E2334"/>
    <w:rsid w:val="009E2710"/>
    <w:rsid w:val="009E2738"/>
    <w:rsid w:val="009E28E6"/>
    <w:rsid w:val="009E293C"/>
    <w:rsid w:val="009E295E"/>
    <w:rsid w:val="009E29B5"/>
    <w:rsid w:val="009E29BB"/>
    <w:rsid w:val="009E2A25"/>
    <w:rsid w:val="009E2A8A"/>
    <w:rsid w:val="009E2AE3"/>
    <w:rsid w:val="009E2B5A"/>
    <w:rsid w:val="009E2C5F"/>
    <w:rsid w:val="009E2DB7"/>
    <w:rsid w:val="009E2E54"/>
    <w:rsid w:val="009E2E5F"/>
    <w:rsid w:val="009E2F3F"/>
    <w:rsid w:val="009E2FA6"/>
    <w:rsid w:val="009E2FBC"/>
    <w:rsid w:val="009E3089"/>
    <w:rsid w:val="009E30B5"/>
    <w:rsid w:val="009E30DA"/>
    <w:rsid w:val="009E3447"/>
    <w:rsid w:val="009E3482"/>
    <w:rsid w:val="009E3545"/>
    <w:rsid w:val="009E35CE"/>
    <w:rsid w:val="009E35D6"/>
    <w:rsid w:val="009E360D"/>
    <w:rsid w:val="009E368A"/>
    <w:rsid w:val="009E3948"/>
    <w:rsid w:val="009E3AE6"/>
    <w:rsid w:val="009E3B2D"/>
    <w:rsid w:val="009E3BA5"/>
    <w:rsid w:val="009E3BBE"/>
    <w:rsid w:val="009E3C98"/>
    <w:rsid w:val="009E3DC3"/>
    <w:rsid w:val="009E3DCD"/>
    <w:rsid w:val="009E3DD5"/>
    <w:rsid w:val="009E3DF5"/>
    <w:rsid w:val="009E43F0"/>
    <w:rsid w:val="009E442A"/>
    <w:rsid w:val="009E459A"/>
    <w:rsid w:val="009E46F9"/>
    <w:rsid w:val="009E4798"/>
    <w:rsid w:val="009E487A"/>
    <w:rsid w:val="009E489D"/>
    <w:rsid w:val="009E4931"/>
    <w:rsid w:val="009E4AB6"/>
    <w:rsid w:val="009E4E28"/>
    <w:rsid w:val="009E4E3D"/>
    <w:rsid w:val="009E4EEC"/>
    <w:rsid w:val="009E4FCC"/>
    <w:rsid w:val="009E50CC"/>
    <w:rsid w:val="009E532A"/>
    <w:rsid w:val="009E5370"/>
    <w:rsid w:val="009E54C5"/>
    <w:rsid w:val="009E54D5"/>
    <w:rsid w:val="009E562E"/>
    <w:rsid w:val="009E577B"/>
    <w:rsid w:val="009E57A0"/>
    <w:rsid w:val="009E59AA"/>
    <w:rsid w:val="009E59DB"/>
    <w:rsid w:val="009E5A06"/>
    <w:rsid w:val="009E5E1D"/>
    <w:rsid w:val="009E5EF5"/>
    <w:rsid w:val="009E5FED"/>
    <w:rsid w:val="009E60D5"/>
    <w:rsid w:val="009E60DE"/>
    <w:rsid w:val="009E61E1"/>
    <w:rsid w:val="009E6203"/>
    <w:rsid w:val="009E6255"/>
    <w:rsid w:val="009E6264"/>
    <w:rsid w:val="009E63AC"/>
    <w:rsid w:val="009E65CE"/>
    <w:rsid w:val="009E6773"/>
    <w:rsid w:val="009E687C"/>
    <w:rsid w:val="009E68AC"/>
    <w:rsid w:val="009E69DC"/>
    <w:rsid w:val="009E6B0F"/>
    <w:rsid w:val="009E6C72"/>
    <w:rsid w:val="009E6CCD"/>
    <w:rsid w:val="009E6EC2"/>
    <w:rsid w:val="009E6EDE"/>
    <w:rsid w:val="009E6F00"/>
    <w:rsid w:val="009E7154"/>
    <w:rsid w:val="009E747E"/>
    <w:rsid w:val="009E7698"/>
    <w:rsid w:val="009E7914"/>
    <w:rsid w:val="009E7916"/>
    <w:rsid w:val="009E7A74"/>
    <w:rsid w:val="009E7AF2"/>
    <w:rsid w:val="009E7B58"/>
    <w:rsid w:val="009E7CB4"/>
    <w:rsid w:val="009E7DAD"/>
    <w:rsid w:val="009E7E41"/>
    <w:rsid w:val="009F0280"/>
    <w:rsid w:val="009F03D0"/>
    <w:rsid w:val="009F0476"/>
    <w:rsid w:val="009F0688"/>
    <w:rsid w:val="009F07D4"/>
    <w:rsid w:val="009F08A5"/>
    <w:rsid w:val="009F0954"/>
    <w:rsid w:val="009F0B3F"/>
    <w:rsid w:val="009F0C72"/>
    <w:rsid w:val="009F0CB7"/>
    <w:rsid w:val="009F0CF6"/>
    <w:rsid w:val="009F0D5A"/>
    <w:rsid w:val="009F0F50"/>
    <w:rsid w:val="009F0F53"/>
    <w:rsid w:val="009F0FCB"/>
    <w:rsid w:val="009F102D"/>
    <w:rsid w:val="009F10EF"/>
    <w:rsid w:val="009F1108"/>
    <w:rsid w:val="009F127C"/>
    <w:rsid w:val="009F12B4"/>
    <w:rsid w:val="009F12C8"/>
    <w:rsid w:val="009F1513"/>
    <w:rsid w:val="009F1744"/>
    <w:rsid w:val="009F191E"/>
    <w:rsid w:val="009F193A"/>
    <w:rsid w:val="009F1A11"/>
    <w:rsid w:val="009F1A2F"/>
    <w:rsid w:val="009F1A82"/>
    <w:rsid w:val="009F1B78"/>
    <w:rsid w:val="009F1C5E"/>
    <w:rsid w:val="009F1C7D"/>
    <w:rsid w:val="009F214A"/>
    <w:rsid w:val="009F21DF"/>
    <w:rsid w:val="009F2372"/>
    <w:rsid w:val="009F2507"/>
    <w:rsid w:val="009F2521"/>
    <w:rsid w:val="009F2579"/>
    <w:rsid w:val="009F25EF"/>
    <w:rsid w:val="009F2736"/>
    <w:rsid w:val="009F2772"/>
    <w:rsid w:val="009F27D3"/>
    <w:rsid w:val="009F28D0"/>
    <w:rsid w:val="009F28D4"/>
    <w:rsid w:val="009F2950"/>
    <w:rsid w:val="009F296C"/>
    <w:rsid w:val="009F29C6"/>
    <w:rsid w:val="009F2AAB"/>
    <w:rsid w:val="009F2B19"/>
    <w:rsid w:val="009F2E5A"/>
    <w:rsid w:val="009F2E73"/>
    <w:rsid w:val="009F2E9F"/>
    <w:rsid w:val="009F2F70"/>
    <w:rsid w:val="009F3071"/>
    <w:rsid w:val="009F31C4"/>
    <w:rsid w:val="009F336E"/>
    <w:rsid w:val="009F3427"/>
    <w:rsid w:val="009F3677"/>
    <w:rsid w:val="009F38BE"/>
    <w:rsid w:val="009F39D0"/>
    <w:rsid w:val="009F3B77"/>
    <w:rsid w:val="009F3BD9"/>
    <w:rsid w:val="009F3D30"/>
    <w:rsid w:val="009F3DAD"/>
    <w:rsid w:val="009F3DF2"/>
    <w:rsid w:val="009F3F4C"/>
    <w:rsid w:val="009F3FEC"/>
    <w:rsid w:val="009F4002"/>
    <w:rsid w:val="009F4029"/>
    <w:rsid w:val="009F4269"/>
    <w:rsid w:val="009F4312"/>
    <w:rsid w:val="009F4388"/>
    <w:rsid w:val="009F43A0"/>
    <w:rsid w:val="009F443E"/>
    <w:rsid w:val="009F4457"/>
    <w:rsid w:val="009F4577"/>
    <w:rsid w:val="009F460F"/>
    <w:rsid w:val="009F4625"/>
    <w:rsid w:val="009F4805"/>
    <w:rsid w:val="009F4827"/>
    <w:rsid w:val="009F487E"/>
    <w:rsid w:val="009F48A3"/>
    <w:rsid w:val="009F4914"/>
    <w:rsid w:val="009F4A10"/>
    <w:rsid w:val="009F4AC7"/>
    <w:rsid w:val="009F4B32"/>
    <w:rsid w:val="009F4C80"/>
    <w:rsid w:val="009F51E0"/>
    <w:rsid w:val="009F569E"/>
    <w:rsid w:val="009F56A9"/>
    <w:rsid w:val="009F5783"/>
    <w:rsid w:val="009F5816"/>
    <w:rsid w:val="009F59B1"/>
    <w:rsid w:val="009F59D8"/>
    <w:rsid w:val="009F5A74"/>
    <w:rsid w:val="009F5CD8"/>
    <w:rsid w:val="009F5E08"/>
    <w:rsid w:val="009F5E98"/>
    <w:rsid w:val="009F5F0F"/>
    <w:rsid w:val="009F5F25"/>
    <w:rsid w:val="009F6068"/>
    <w:rsid w:val="009F6469"/>
    <w:rsid w:val="009F6A11"/>
    <w:rsid w:val="009F6A5D"/>
    <w:rsid w:val="009F6BA3"/>
    <w:rsid w:val="009F6E21"/>
    <w:rsid w:val="009F6EFB"/>
    <w:rsid w:val="009F6F69"/>
    <w:rsid w:val="009F70DD"/>
    <w:rsid w:val="009F711E"/>
    <w:rsid w:val="009F7179"/>
    <w:rsid w:val="009F724B"/>
    <w:rsid w:val="009F7349"/>
    <w:rsid w:val="009F73E1"/>
    <w:rsid w:val="009F74D2"/>
    <w:rsid w:val="009F76B5"/>
    <w:rsid w:val="009F7798"/>
    <w:rsid w:val="009F78AF"/>
    <w:rsid w:val="009F79D8"/>
    <w:rsid w:val="009F79F8"/>
    <w:rsid w:val="009F7A21"/>
    <w:rsid w:val="009F7A6A"/>
    <w:rsid w:val="009F7A94"/>
    <w:rsid w:val="009F7D6D"/>
    <w:rsid w:val="009F7E94"/>
    <w:rsid w:val="009F7EBE"/>
    <w:rsid w:val="009F7F3E"/>
    <w:rsid w:val="00A00222"/>
    <w:rsid w:val="00A0032C"/>
    <w:rsid w:val="00A005AD"/>
    <w:rsid w:val="00A006A7"/>
    <w:rsid w:val="00A00755"/>
    <w:rsid w:val="00A00818"/>
    <w:rsid w:val="00A00C0D"/>
    <w:rsid w:val="00A00D5F"/>
    <w:rsid w:val="00A00E32"/>
    <w:rsid w:val="00A00EC1"/>
    <w:rsid w:val="00A00F74"/>
    <w:rsid w:val="00A00FBF"/>
    <w:rsid w:val="00A01086"/>
    <w:rsid w:val="00A01133"/>
    <w:rsid w:val="00A0142A"/>
    <w:rsid w:val="00A01431"/>
    <w:rsid w:val="00A01467"/>
    <w:rsid w:val="00A0158C"/>
    <w:rsid w:val="00A01698"/>
    <w:rsid w:val="00A01827"/>
    <w:rsid w:val="00A01909"/>
    <w:rsid w:val="00A019FE"/>
    <w:rsid w:val="00A01A43"/>
    <w:rsid w:val="00A01C47"/>
    <w:rsid w:val="00A01E4A"/>
    <w:rsid w:val="00A01EEB"/>
    <w:rsid w:val="00A01F0A"/>
    <w:rsid w:val="00A01F17"/>
    <w:rsid w:val="00A01F98"/>
    <w:rsid w:val="00A02281"/>
    <w:rsid w:val="00A02449"/>
    <w:rsid w:val="00A025E0"/>
    <w:rsid w:val="00A026E0"/>
    <w:rsid w:val="00A027F7"/>
    <w:rsid w:val="00A02A87"/>
    <w:rsid w:val="00A02C6F"/>
    <w:rsid w:val="00A02E94"/>
    <w:rsid w:val="00A02F03"/>
    <w:rsid w:val="00A03006"/>
    <w:rsid w:val="00A0304D"/>
    <w:rsid w:val="00A03166"/>
    <w:rsid w:val="00A031E3"/>
    <w:rsid w:val="00A031F8"/>
    <w:rsid w:val="00A032DC"/>
    <w:rsid w:val="00A03430"/>
    <w:rsid w:val="00A034D2"/>
    <w:rsid w:val="00A035B3"/>
    <w:rsid w:val="00A0383A"/>
    <w:rsid w:val="00A0388D"/>
    <w:rsid w:val="00A03BB2"/>
    <w:rsid w:val="00A03C87"/>
    <w:rsid w:val="00A03CFF"/>
    <w:rsid w:val="00A03D6E"/>
    <w:rsid w:val="00A03EAE"/>
    <w:rsid w:val="00A03F0D"/>
    <w:rsid w:val="00A04015"/>
    <w:rsid w:val="00A041DC"/>
    <w:rsid w:val="00A04279"/>
    <w:rsid w:val="00A04450"/>
    <w:rsid w:val="00A0447F"/>
    <w:rsid w:val="00A04835"/>
    <w:rsid w:val="00A04BB1"/>
    <w:rsid w:val="00A04DEF"/>
    <w:rsid w:val="00A04ECC"/>
    <w:rsid w:val="00A05064"/>
    <w:rsid w:val="00A050C6"/>
    <w:rsid w:val="00A05142"/>
    <w:rsid w:val="00A051C3"/>
    <w:rsid w:val="00A05250"/>
    <w:rsid w:val="00A05266"/>
    <w:rsid w:val="00A05348"/>
    <w:rsid w:val="00A053A3"/>
    <w:rsid w:val="00A0548E"/>
    <w:rsid w:val="00A05836"/>
    <w:rsid w:val="00A05A1F"/>
    <w:rsid w:val="00A05C05"/>
    <w:rsid w:val="00A05C6B"/>
    <w:rsid w:val="00A05CCC"/>
    <w:rsid w:val="00A05EF4"/>
    <w:rsid w:val="00A05EFE"/>
    <w:rsid w:val="00A05F72"/>
    <w:rsid w:val="00A06003"/>
    <w:rsid w:val="00A06095"/>
    <w:rsid w:val="00A060AC"/>
    <w:rsid w:val="00A0615E"/>
    <w:rsid w:val="00A062B8"/>
    <w:rsid w:val="00A064AA"/>
    <w:rsid w:val="00A066AF"/>
    <w:rsid w:val="00A06747"/>
    <w:rsid w:val="00A06906"/>
    <w:rsid w:val="00A06A3E"/>
    <w:rsid w:val="00A06BCB"/>
    <w:rsid w:val="00A06F6C"/>
    <w:rsid w:val="00A071C7"/>
    <w:rsid w:val="00A073EE"/>
    <w:rsid w:val="00A0744B"/>
    <w:rsid w:val="00A076BD"/>
    <w:rsid w:val="00A077A1"/>
    <w:rsid w:val="00A07866"/>
    <w:rsid w:val="00A07902"/>
    <w:rsid w:val="00A07B68"/>
    <w:rsid w:val="00A07BD4"/>
    <w:rsid w:val="00A07C96"/>
    <w:rsid w:val="00A07CFF"/>
    <w:rsid w:val="00A07F26"/>
    <w:rsid w:val="00A07FA0"/>
    <w:rsid w:val="00A10120"/>
    <w:rsid w:val="00A10160"/>
    <w:rsid w:val="00A101CB"/>
    <w:rsid w:val="00A101DA"/>
    <w:rsid w:val="00A1023A"/>
    <w:rsid w:val="00A1052D"/>
    <w:rsid w:val="00A105CE"/>
    <w:rsid w:val="00A10644"/>
    <w:rsid w:val="00A107D0"/>
    <w:rsid w:val="00A107D2"/>
    <w:rsid w:val="00A1092D"/>
    <w:rsid w:val="00A109F6"/>
    <w:rsid w:val="00A10B61"/>
    <w:rsid w:val="00A10B6D"/>
    <w:rsid w:val="00A10C11"/>
    <w:rsid w:val="00A10C7B"/>
    <w:rsid w:val="00A10FB5"/>
    <w:rsid w:val="00A10FCE"/>
    <w:rsid w:val="00A112F3"/>
    <w:rsid w:val="00A1134E"/>
    <w:rsid w:val="00A116AD"/>
    <w:rsid w:val="00A11806"/>
    <w:rsid w:val="00A1197E"/>
    <w:rsid w:val="00A119BB"/>
    <w:rsid w:val="00A11B83"/>
    <w:rsid w:val="00A11BB9"/>
    <w:rsid w:val="00A11C4F"/>
    <w:rsid w:val="00A11C5A"/>
    <w:rsid w:val="00A11C93"/>
    <w:rsid w:val="00A11DE6"/>
    <w:rsid w:val="00A12164"/>
    <w:rsid w:val="00A1224F"/>
    <w:rsid w:val="00A12335"/>
    <w:rsid w:val="00A12338"/>
    <w:rsid w:val="00A12345"/>
    <w:rsid w:val="00A123F5"/>
    <w:rsid w:val="00A1253D"/>
    <w:rsid w:val="00A1262C"/>
    <w:rsid w:val="00A1266A"/>
    <w:rsid w:val="00A127B0"/>
    <w:rsid w:val="00A1281B"/>
    <w:rsid w:val="00A12846"/>
    <w:rsid w:val="00A12A79"/>
    <w:rsid w:val="00A12CD5"/>
    <w:rsid w:val="00A12CE0"/>
    <w:rsid w:val="00A12D40"/>
    <w:rsid w:val="00A12D6B"/>
    <w:rsid w:val="00A12E36"/>
    <w:rsid w:val="00A12E7E"/>
    <w:rsid w:val="00A12F13"/>
    <w:rsid w:val="00A12F3A"/>
    <w:rsid w:val="00A130FF"/>
    <w:rsid w:val="00A13116"/>
    <w:rsid w:val="00A1324D"/>
    <w:rsid w:val="00A1329D"/>
    <w:rsid w:val="00A133DA"/>
    <w:rsid w:val="00A133F6"/>
    <w:rsid w:val="00A1381E"/>
    <w:rsid w:val="00A1383B"/>
    <w:rsid w:val="00A1386A"/>
    <w:rsid w:val="00A138C7"/>
    <w:rsid w:val="00A13AB9"/>
    <w:rsid w:val="00A13ACF"/>
    <w:rsid w:val="00A13B25"/>
    <w:rsid w:val="00A13B9A"/>
    <w:rsid w:val="00A13C33"/>
    <w:rsid w:val="00A13C6E"/>
    <w:rsid w:val="00A13C83"/>
    <w:rsid w:val="00A13CF1"/>
    <w:rsid w:val="00A13E08"/>
    <w:rsid w:val="00A13E24"/>
    <w:rsid w:val="00A14075"/>
    <w:rsid w:val="00A140B9"/>
    <w:rsid w:val="00A1433A"/>
    <w:rsid w:val="00A14382"/>
    <w:rsid w:val="00A14421"/>
    <w:rsid w:val="00A14476"/>
    <w:rsid w:val="00A14591"/>
    <w:rsid w:val="00A145C4"/>
    <w:rsid w:val="00A147D0"/>
    <w:rsid w:val="00A1487E"/>
    <w:rsid w:val="00A14BDB"/>
    <w:rsid w:val="00A14D4A"/>
    <w:rsid w:val="00A14D72"/>
    <w:rsid w:val="00A14DCB"/>
    <w:rsid w:val="00A14FA2"/>
    <w:rsid w:val="00A1521D"/>
    <w:rsid w:val="00A152E9"/>
    <w:rsid w:val="00A154ED"/>
    <w:rsid w:val="00A154EF"/>
    <w:rsid w:val="00A155F4"/>
    <w:rsid w:val="00A15610"/>
    <w:rsid w:val="00A1563D"/>
    <w:rsid w:val="00A1564E"/>
    <w:rsid w:val="00A1573B"/>
    <w:rsid w:val="00A158BC"/>
    <w:rsid w:val="00A158CE"/>
    <w:rsid w:val="00A15A59"/>
    <w:rsid w:val="00A15B5E"/>
    <w:rsid w:val="00A15BDB"/>
    <w:rsid w:val="00A15DB6"/>
    <w:rsid w:val="00A15E4A"/>
    <w:rsid w:val="00A15F96"/>
    <w:rsid w:val="00A1617E"/>
    <w:rsid w:val="00A1621E"/>
    <w:rsid w:val="00A1634F"/>
    <w:rsid w:val="00A164FA"/>
    <w:rsid w:val="00A167D9"/>
    <w:rsid w:val="00A169C4"/>
    <w:rsid w:val="00A16A30"/>
    <w:rsid w:val="00A16AB2"/>
    <w:rsid w:val="00A16B37"/>
    <w:rsid w:val="00A16F57"/>
    <w:rsid w:val="00A17036"/>
    <w:rsid w:val="00A17058"/>
    <w:rsid w:val="00A17060"/>
    <w:rsid w:val="00A1724E"/>
    <w:rsid w:val="00A17296"/>
    <w:rsid w:val="00A172D7"/>
    <w:rsid w:val="00A1730B"/>
    <w:rsid w:val="00A1736D"/>
    <w:rsid w:val="00A17449"/>
    <w:rsid w:val="00A17591"/>
    <w:rsid w:val="00A175F1"/>
    <w:rsid w:val="00A177BC"/>
    <w:rsid w:val="00A17A16"/>
    <w:rsid w:val="00A17AF7"/>
    <w:rsid w:val="00A17C84"/>
    <w:rsid w:val="00A17DEA"/>
    <w:rsid w:val="00A17F11"/>
    <w:rsid w:val="00A20170"/>
    <w:rsid w:val="00A20202"/>
    <w:rsid w:val="00A2040C"/>
    <w:rsid w:val="00A2042C"/>
    <w:rsid w:val="00A2044E"/>
    <w:rsid w:val="00A2054C"/>
    <w:rsid w:val="00A20699"/>
    <w:rsid w:val="00A20843"/>
    <w:rsid w:val="00A20867"/>
    <w:rsid w:val="00A20984"/>
    <w:rsid w:val="00A20B4A"/>
    <w:rsid w:val="00A20B66"/>
    <w:rsid w:val="00A20BC5"/>
    <w:rsid w:val="00A20C06"/>
    <w:rsid w:val="00A20E1A"/>
    <w:rsid w:val="00A20FEA"/>
    <w:rsid w:val="00A20FFA"/>
    <w:rsid w:val="00A21085"/>
    <w:rsid w:val="00A210C2"/>
    <w:rsid w:val="00A211E7"/>
    <w:rsid w:val="00A21506"/>
    <w:rsid w:val="00A215CA"/>
    <w:rsid w:val="00A21886"/>
    <w:rsid w:val="00A21A18"/>
    <w:rsid w:val="00A21CDC"/>
    <w:rsid w:val="00A21D44"/>
    <w:rsid w:val="00A21E7B"/>
    <w:rsid w:val="00A21F2D"/>
    <w:rsid w:val="00A21FFD"/>
    <w:rsid w:val="00A22031"/>
    <w:rsid w:val="00A221EB"/>
    <w:rsid w:val="00A222DE"/>
    <w:rsid w:val="00A223A6"/>
    <w:rsid w:val="00A22500"/>
    <w:rsid w:val="00A22508"/>
    <w:rsid w:val="00A225C3"/>
    <w:rsid w:val="00A227DC"/>
    <w:rsid w:val="00A22840"/>
    <w:rsid w:val="00A22848"/>
    <w:rsid w:val="00A22A05"/>
    <w:rsid w:val="00A22A4B"/>
    <w:rsid w:val="00A22B87"/>
    <w:rsid w:val="00A22BEC"/>
    <w:rsid w:val="00A22C53"/>
    <w:rsid w:val="00A22CA0"/>
    <w:rsid w:val="00A22E44"/>
    <w:rsid w:val="00A23050"/>
    <w:rsid w:val="00A2316F"/>
    <w:rsid w:val="00A231EF"/>
    <w:rsid w:val="00A23228"/>
    <w:rsid w:val="00A23237"/>
    <w:rsid w:val="00A2340C"/>
    <w:rsid w:val="00A236DD"/>
    <w:rsid w:val="00A23714"/>
    <w:rsid w:val="00A2383C"/>
    <w:rsid w:val="00A2386B"/>
    <w:rsid w:val="00A238AD"/>
    <w:rsid w:val="00A238BB"/>
    <w:rsid w:val="00A23A15"/>
    <w:rsid w:val="00A23BA3"/>
    <w:rsid w:val="00A23D92"/>
    <w:rsid w:val="00A24053"/>
    <w:rsid w:val="00A24128"/>
    <w:rsid w:val="00A24210"/>
    <w:rsid w:val="00A24391"/>
    <w:rsid w:val="00A2440B"/>
    <w:rsid w:val="00A244CD"/>
    <w:rsid w:val="00A244E5"/>
    <w:rsid w:val="00A24874"/>
    <w:rsid w:val="00A24913"/>
    <w:rsid w:val="00A249C2"/>
    <w:rsid w:val="00A24A1D"/>
    <w:rsid w:val="00A24A80"/>
    <w:rsid w:val="00A24BAB"/>
    <w:rsid w:val="00A24C6F"/>
    <w:rsid w:val="00A24C7B"/>
    <w:rsid w:val="00A24EBF"/>
    <w:rsid w:val="00A24ED2"/>
    <w:rsid w:val="00A25039"/>
    <w:rsid w:val="00A2505D"/>
    <w:rsid w:val="00A250D4"/>
    <w:rsid w:val="00A25154"/>
    <w:rsid w:val="00A25259"/>
    <w:rsid w:val="00A254FF"/>
    <w:rsid w:val="00A2550D"/>
    <w:rsid w:val="00A25518"/>
    <w:rsid w:val="00A2553D"/>
    <w:rsid w:val="00A2563E"/>
    <w:rsid w:val="00A256A2"/>
    <w:rsid w:val="00A256C0"/>
    <w:rsid w:val="00A257E1"/>
    <w:rsid w:val="00A25C3D"/>
    <w:rsid w:val="00A25F2E"/>
    <w:rsid w:val="00A25F6F"/>
    <w:rsid w:val="00A2609F"/>
    <w:rsid w:val="00A260CE"/>
    <w:rsid w:val="00A2615F"/>
    <w:rsid w:val="00A26173"/>
    <w:rsid w:val="00A261BE"/>
    <w:rsid w:val="00A262B3"/>
    <w:rsid w:val="00A262C2"/>
    <w:rsid w:val="00A262CE"/>
    <w:rsid w:val="00A263D7"/>
    <w:rsid w:val="00A26561"/>
    <w:rsid w:val="00A2657F"/>
    <w:rsid w:val="00A26646"/>
    <w:rsid w:val="00A266E3"/>
    <w:rsid w:val="00A268B0"/>
    <w:rsid w:val="00A268D7"/>
    <w:rsid w:val="00A268F0"/>
    <w:rsid w:val="00A268FA"/>
    <w:rsid w:val="00A2697D"/>
    <w:rsid w:val="00A269AC"/>
    <w:rsid w:val="00A26A22"/>
    <w:rsid w:val="00A26ADE"/>
    <w:rsid w:val="00A26DF2"/>
    <w:rsid w:val="00A270A3"/>
    <w:rsid w:val="00A270CC"/>
    <w:rsid w:val="00A271F7"/>
    <w:rsid w:val="00A271FE"/>
    <w:rsid w:val="00A2720E"/>
    <w:rsid w:val="00A27279"/>
    <w:rsid w:val="00A2729A"/>
    <w:rsid w:val="00A2730E"/>
    <w:rsid w:val="00A273F0"/>
    <w:rsid w:val="00A274DD"/>
    <w:rsid w:val="00A2754B"/>
    <w:rsid w:val="00A27558"/>
    <w:rsid w:val="00A27707"/>
    <w:rsid w:val="00A27713"/>
    <w:rsid w:val="00A2780F"/>
    <w:rsid w:val="00A27840"/>
    <w:rsid w:val="00A27981"/>
    <w:rsid w:val="00A27984"/>
    <w:rsid w:val="00A27B19"/>
    <w:rsid w:val="00A27BB2"/>
    <w:rsid w:val="00A27D7D"/>
    <w:rsid w:val="00A27F68"/>
    <w:rsid w:val="00A27F6F"/>
    <w:rsid w:val="00A27F7D"/>
    <w:rsid w:val="00A27FA6"/>
    <w:rsid w:val="00A30278"/>
    <w:rsid w:val="00A30308"/>
    <w:rsid w:val="00A30329"/>
    <w:rsid w:val="00A30331"/>
    <w:rsid w:val="00A303C8"/>
    <w:rsid w:val="00A3047D"/>
    <w:rsid w:val="00A3050B"/>
    <w:rsid w:val="00A30518"/>
    <w:rsid w:val="00A30588"/>
    <w:rsid w:val="00A30627"/>
    <w:rsid w:val="00A30645"/>
    <w:rsid w:val="00A306D4"/>
    <w:rsid w:val="00A30740"/>
    <w:rsid w:val="00A308AC"/>
    <w:rsid w:val="00A308DA"/>
    <w:rsid w:val="00A30CA3"/>
    <w:rsid w:val="00A30DEA"/>
    <w:rsid w:val="00A30FAE"/>
    <w:rsid w:val="00A30FEE"/>
    <w:rsid w:val="00A3115E"/>
    <w:rsid w:val="00A3141E"/>
    <w:rsid w:val="00A317FD"/>
    <w:rsid w:val="00A31881"/>
    <w:rsid w:val="00A31889"/>
    <w:rsid w:val="00A318DB"/>
    <w:rsid w:val="00A3192E"/>
    <w:rsid w:val="00A31B5B"/>
    <w:rsid w:val="00A31BCB"/>
    <w:rsid w:val="00A31C37"/>
    <w:rsid w:val="00A31D56"/>
    <w:rsid w:val="00A31DAF"/>
    <w:rsid w:val="00A31E03"/>
    <w:rsid w:val="00A31E8E"/>
    <w:rsid w:val="00A31F02"/>
    <w:rsid w:val="00A3206B"/>
    <w:rsid w:val="00A32098"/>
    <w:rsid w:val="00A321A0"/>
    <w:rsid w:val="00A323CB"/>
    <w:rsid w:val="00A323EC"/>
    <w:rsid w:val="00A32457"/>
    <w:rsid w:val="00A324CE"/>
    <w:rsid w:val="00A327EB"/>
    <w:rsid w:val="00A32870"/>
    <w:rsid w:val="00A32ABD"/>
    <w:rsid w:val="00A32BD5"/>
    <w:rsid w:val="00A32CC8"/>
    <w:rsid w:val="00A32D78"/>
    <w:rsid w:val="00A32DDC"/>
    <w:rsid w:val="00A32FDD"/>
    <w:rsid w:val="00A32FF7"/>
    <w:rsid w:val="00A33007"/>
    <w:rsid w:val="00A330B9"/>
    <w:rsid w:val="00A332FE"/>
    <w:rsid w:val="00A3332B"/>
    <w:rsid w:val="00A334F7"/>
    <w:rsid w:val="00A33525"/>
    <w:rsid w:val="00A336A1"/>
    <w:rsid w:val="00A337B4"/>
    <w:rsid w:val="00A338F0"/>
    <w:rsid w:val="00A3397B"/>
    <w:rsid w:val="00A33A63"/>
    <w:rsid w:val="00A33A86"/>
    <w:rsid w:val="00A33C35"/>
    <w:rsid w:val="00A33C8B"/>
    <w:rsid w:val="00A33D92"/>
    <w:rsid w:val="00A33EB1"/>
    <w:rsid w:val="00A33EB6"/>
    <w:rsid w:val="00A33F0F"/>
    <w:rsid w:val="00A33FCC"/>
    <w:rsid w:val="00A3401E"/>
    <w:rsid w:val="00A340AB"/>
    <w:rsid w:val="00A341CA"/>
    <w:rsid w:val="00A342FB"/>
    <w:rsid w:val="00A3431E"/>
    <w:rsid w:val="00A34418"/>
    <w:rsid w:val="00A345DD"/>
    <w:rsid w:val="00A347A0"/>
    <w:rsid w:val="00A3487B"/>
    <w:rsid w:val="00A3496B"/>
    <w:rsid w:val="00A349F9"/>
    <w:rsid w:val="00A34A3B"/>
    <w:rsid w:val="00A34A8B"/>
    <w:rsid w:val="00A34CB0"/>
    <w:rsid w:val="00A34DD2"/>
    <w:rsid w:val="00A34E79"/>
    <w:rsid w:val="00A34EDC"/>
    <w:rsid w:val="00A350FD"/>
    <w:rsid w:val="00A35222"/>
    <w:rsid w:val="00A3527A"/>
    <w:rsid w:val="00A35414"/>
    <w:rsid w:val="00A354CC"/>
    <w:rsid w:val="00A35513"/>
    <w:rsid w:val="00A35539"/>
    <w:rsid w:val="00A359AC"/>
    <w:rsid w:val="00A35A16"/>
    <w:rsid w:val="00A35CE7"/>
    <w:rsid w:val="00A35DD8"/>
    <w:rsid w:val="00A35E8D"/>
    <w:rsid w:val="00A35F4D"/>
    <w:rsid w:val="00A36026"/>
    <w:rsid w:val="00A3619B"/>
    <w:rsid w:val="00A3646D"/>
    <w:rsid w:val="00A365AF"/>
    <w:rsid w:val="00A365B8"/>
    <w:rsid w:val="00A365BC"/>
    <w:rsid w:val="00A365F3"/>
    <w:rsid w:val="00A36A37"/>
    <w:rsid w:val="00A36AA7"/>
    <w:rsid w:val="00A36BD5"/>
    <w:rsid w:val="00A371EE"/>
    <w:rsid w:val="00A372F4"/>
    <w:rsid w:val="00A376D8"/>
    <w:rsid w:val="00A37704"/>
    <w:rsid w:val="00A379AD"/>
    <w:rsid w:val="00A37A9A"/>
    <w:rsid w:val="00A37FC4"/>
    <w:rsid w:val="00A40075"/>
    <w:rsid w:val="00A4037A"/>
    <w:rsid w:val="00A403E7"/>
    <w:rsid w:val="00A404D0"/>
    <w:rsid w:val="00A4057F"/>
    <w:rsid w:val="00A406B8"/>
    <w:rsid w:val="00A40867"/>
    <w:rsid w:val="00A4088D"/>
    <w:rsid w:val="00A408CC"/>
    <w:rsid w:val="00A409A4"/>
    <w:rsid w:val="00A40A68"/>
    <w:rsid w:val="00A40AB6"/>
    <w:rsid w:val="00A40B3A"/>
    <w:rsid w:val="00A40D50"/>
    <w:rsid w:val="00A40E41"/>
    <w:rsid w:val="00A40E55"/>
    <w:rsid w:val="00A40E9B"/>
    <w:rsid w:val="00A410DE"/>
    <w:rsid w:val="00A41283"/>
    <w:rsid w:val="00A412A4"/>
    <w:rsid w:val="00A417A6"/>
    <w:rsid w:val="00A417A8"/>
    <w:rsid w:val="00A417CC"/>
    <w:rsid w:val="00A41904"/>
    <w:rsid w:val="00A41911"/>
    <w:rsid w:val="00A41A9C"/>
    <w:rsid w:val="00A41B34"/>
    <w:rsid w:val="00A41B72"/>
    <w:rsid w:val="00A41C4A"/>
    <w:rsid w:val="00A41D92"/>
    <w:rsid w:val="00A41E2F"/>
    <w:rsid w:val="00A41EDD"/>
    <w:rsid w:val="00A42228"/>
    <w:rsid w:val="00A42335"/>
    <w:rsid w:val="00A424B9"/>
    <w:rsid w:val="00A425DA"/>
    <w:rsid w:val="00A425F4"/>
    <w:rsid w:val="00A426D6"/>
    <w:rsid w:val="00A42749"/>
    <w:rsid w:val="00A427EC"/>
    <w:rsid w:val="00A427EF"/>
    <w:rsid w:val="00A42988"/>
    <w:rsid w:val="00A42B1C"/>
    <w:rsid w:val="00A42C09"/>
    <w:rsid w:val="00A42E5D"/>
    <w:rsid w:val="00A42E6D"/>
    <w:rsid w:val="00A43056"/>
    <w:rsid w:val="00A43089"/>
    <w:rsid w:val="00A43107"/>
    <w:rsid w:val="00A43313"/>
    <w:rsid w:val="00A4335C"/>
    <w:rsid w:val="00A433E9"/>
    <w:rsid w:val="00A43557"/>
    <w:rsid w:val="00A4355D"/>
    <w:rsid w:val="00A43A5A"/>
    <w:rsid w:val="00A43B7C"/>
    <w:rsid w:val="00A43D14"/>
    <w:rsid w:val="00A43ED7"/>
    <w:rsid w:val="00A43EE7"/>
    <w:rsid w:val="00A43F19"/>
    <w:rsid w:val="00A43FCC"/>
    <w:rsid w:val="00A44001"/>
    <w:rsid w:val="00A440D8"/>
    <w:rsid w:val="00A44284"/>
    <w:rsid w:val="00A446D3"/>
    <w:rsid w:val="00A446F3"/>
    <w:rsid w:val="00A44905"/>
    <w:rsid w:val="00A44915"/>
    <w:rsid w:val="00A44951"/>
    <w:rsid w:val="00A44C04"/>
    <w:rsid w:val="00A44C64"/>
    <w:rsid w:val="00A44CB0"/>
    <w:rsid w:val="00A44D1A"/>
    <w:rsid w:val="00A44D33"/>
    <w:rsid w:val="00A451FA"/>
    <w:rsid w:val="00A45267"/>
    <w:rsid w:val="00A45365"/>
    <w:rsid w:val="00A455C6"/>
    <w:rsid w:val="00A4566D"/>
    <w:rsid w:val="00A4573A"/>
    <w:rsid w:val="00A4577A"/>
    <w:rsid w:val="00A457BB"/>
    <w:rsid w:val="00A45802"/>
    <w:rsid w:val="00A45B6D"/>
    <w:rsid w:val="00A45C68"/>
    <w:rsid w:val="00A45C6B"/>
    <w:rsid w:val="00A45E47"/>
    <w:rsid w:val="00A45F1A"/>
    <w:rsid w:val="00A45F48"/>
    <w:rsid w:val="00A45F88"/>
    <w:rsid w:val="00A46112"/>
    <w:rsid w:val="00A4622E"/>
    <w:rsid w:val="00A46252"/>
    <w:rsid w:val="00A462EF"/>
    <w:rsid w:val="00A46359"/>
    <w:rsid w:val="00A463C9"/>
    <w:rsid w:val="00A46522"/>
    <w:rsid w:val="00A4652F"/>
    <w:rsid w:val="00A46949"/>
    <w:rsid w:val="00A46987"/>
    <w:rsid w:val="00A469D4"/>
    <w:rsid w:val="00A46C4F"/>
    <w:rsid w:val="00A46DFF"/>
    <w:rsid w:val="00A47064"/>
    <w:rsid w:val="00A470AC"/>
    <w:rsid w:val="00A470DA"/>
    <w:rsid w:val="00A4720C"/>
    <w:rsid w:val="00A4724E"/>
    <w:rsid w:val="00A4744E"/>
    <w:rsid w:val="00A476CE"/>
    <w:rsid w:val="00A477BC"/>
    <w:rsid w:val="00A47894"/>
    <w:rsid w:val="00A478D2"/>
    <w:rsid w:val="00A47956"/>
    <w:rsid w:val="00A47981"/>
    <w:rsid w:val="00A47B4C"/>
    <w:rsid w:val="00A47BFA"/>
    <w:rsid w:val="00A47D07"/>
    <w:rsid w:val="00A47F73"/>
    <w:rsid w:val="00A47FB9"/>
    <w:rsid w:val="00A47FD6"/>
    <w:rsid w:val="00A5004B"/>
    <w:rsid w:val="00A50149"/>
    <w:rsid w:val="00A50380"/>
    <w:rsid w:val="00A503CA"/>
    <w:rsid w:val="00A50622"/>
    <w:rsid w:val="00A5064C"/>
    <w:rsid w:val="00A5088C"/>
    <w:rsid w:val="00A50C38"/>
    <w:rsid w:val="00A50E54"/>
    <w:rsid w:val="00A50F74"/>
    <w:rsid w:val="00A5101F"/>
    <w:rsid w:val="00A510EF"/>
    <w:rsid w:val="00A51198"/>
    <w:rsid w:val="00A51421"/>
    <w:rsid w:val="00A5163D"/>
    <w:rsid w:val="00A517B1"/>
    <w:rsid w:val="00A517E5"/>
    <w:rsid w:val="00A51959"/>
    <w:rsid w:val="00A51966"/>
    <w:rsid w:val="00A519A6"/>
    <w:rsid w:val="00A51BCD"/>
    <w:rsid w:val="00A51CE1"/>
    <w:rsid w:val="00A51D39"/>
    <w:rsid w:val="00A51E5A"/>
    <w:rsid w:val="00A51EFD"/>
    <w:rsid w:val="00A51F56"/>
    <w:rsid w:val="00A521AB"/>
    <w:rsid w:val="00A521C7"/>
    <w:rsid w:val="00A5221C"/>
    <w:rsid w:val="00A5231A"/>
    <w:rsid w:val="00A52393"/>
    <w:rsid w:val="00A524CC"/>
    <w:rsid w:val="00A5265E"/>
    <w:rsid w:val="00A5274C"/>
    <w:rsid w:val="00A527FE"/>
    <w:rsid w:val="00A52861"/>
    <w:rsid w:val="00A528EA"/>
    <w:rsid w:val="00A529AF"/>
    <w:rsid w:val="00A52A33"/>
    <w:rsid w:val="00A52B59"/>
    <w:rsid w:val="00A52B6C"/>
    <w:rsid w:val="00A52CB8"/>
    <w:rsid w:val="00A52D80"/>
    <w:rsid w:val="00A52E22"/>
    <w:rsid w:val="00A52E3E"/>
    <w:rsid w:val="00A52FCA"/>
    <w:rsid w:val="00A530E5"/>
    <w:rsid w:val="00A532DC"/>
    <w:rsid w:val="00A532F8"/>
    <w:rsid w:val="00A5333F"/>
    <w:rsid w:val="00A53562"/>
    <w:rsid w:val="00A53620"/>
    <w:rsid w:val="00A536C3"/>
    <w:rsid w:val="00A536FB"/>
    <w:rsid w:val="00A537C0"/>
    <w:rsid w:val="00A538CE"/>
    <w:rsid w:val="00A539D5"/>
    <w:rsid w:val="00A53AC4"/>
    <w:rsid w:val="00A53CBC"/>
    <w:rsid w:val="00A53E87"/>
    <w:rsid w:val="00A54099"/>
    <w:rsid w:val="00A542A6"/>
    <w:rsid w:val="00A542FD"/>
    <w:rsid w:val="00A54409"/>
    <w:rsid w:val="00A5460D"/>
    <w:rsid w:val="00A5461D"/>
    <w:rsid w:val="00A54991"/>
    <w:rsid w:val="00A54A78"/>
    <w:rsid w:val="00A54B6B"/>
    <w:rsid w:val="00A54DE8"/>
    <w:rsid w:val="00A54E31"/>
    <w:rsid w:val="00A54FAD"/>
    <w:rsid w:val="00A5502A"/>
    <w:rsid w:val="00A55527"/>
    <w:rsid w:val="00A5560F"/>
    <w:rsid w:val="00A5578E"/>
    <w:rsid w:val="00A557AF"/>
    <w:rsid w:val="00A557F0"/>
    <w:rsid w:val="00A558D2"/>
    <w:rsid w:val="00A55975"/>
    <w:rsid w:val="00A55B35"/>
    <w:rsid w:val="00A55D16"/>
    <w:rsid w:val="00A55ECF"/>
    <w:rsid w:val="00A56035"/>
    <w:rsid w:val="00A56155"/>
    <w:rsid w:val="00A56347"/>
    <w:rsid w:val="00A566D6"/>
    <w:rsid w:val="00A56731"/>
    <w:rsid w:val="00A56B5F"/>
    <w:rsid w:val="00A56B96"/>
    <w:rsid w:val="00A56D26"/>
    <w:rsid w:val="00A56F91"/>
    <w:rsid w:val="00A57532"/>
    <w:rsid w:val="00A5753B"/>
    <w:rsid w:val="00A5755B"/>
    <w:rsid w:val="00A5768F"/>
    <w:rsid w:val="00A57800"/>
    <w:rsid w:val="00A578CF"/>
    <w:rsid w:val="00A578FE"/>
    <w:rsid w:val="00A5794A"/>
    <w:rsid w:val="00A57A24"/>
    <w:rsid w:val="00A57A3E"/>
    <w:rsid w:val="00A57A7D"/>
    <w:rsid w:val="00A57D28"/>
    <w:rsid w:val="00A57D35"/>
    <w:rsid w:val="00A57D88"/>
    <w:rsid w:val="00A57EFE"/>
    <w:rsid w:val="00A57F01"/>
    <w:rsid w:val="00A60241"/>
    <w:rsid w:val="00A60243"/>
    <w:rsid w:val="00A60288"/>
    <w:rsid w:val="00A6038E"/>
    <w:rsid w:val="00A60437"/>
    <w:rsid w:val="00A60441"/>
    <w:rsid w:val="00A60486"/>
    <w:rsid w:val="00A604DE"/>
    <w:rsid w:val="00A606F1"/>
    <w:rsid w:val="00A607CB"/>
    <w:rsid w:val="00A6080C"/>
    <w:rsid w:val="00A609D3"/>
    <w:rsid w:val="00A60A21"/>
    <w:rsid w:val="00A60A41"/>
    <w:rsid w:val="00A60AD1"/>
    <w:rsid w:val="00A60AFA"/>
    <w:rsid w:val="00A60B3C"/>
    <w:rsid w:val="00A60C84"/>
    <w:rsid w:val="00A60DC4"/>
    <w:rsid w:val="00A60E78"/>
    <w:rsid w:val="00A611AB"/>
    <w:rsid w:val="00A612A0"/>
    <w:rsid w:val="00A612FE"/>
    <w:rsid w:val="00A6131B"/>
    <w:rsid w:val="00A6134B"/>
    <w:rsid w:val="00A61368"/>
    <w:rsid w:val="00A6136A"/>
    <w:rsid w:val="00A61379"/>
    <w:rsid w:val="00A613A0"/>
    <w:rsid w:val="00A61447"/>
    <w:rsid w:val="00A615DD"/>
    <w:rsid w:val="00A6166E"/>
    <w:rsid w:val="00A6197A"/>
    <w:rsid w:val="00A61A0D"/>
    <w:rsid w:val="00A61EE9"/>
    <w:rsid w:val="00A61F55"/>
    <w:rsid w:val="00A61F9A"/>
    <w:rsid w:val="00A620A7"/>
    <w:rsid w:val="00A620C7"/>
    <w:rsid w:val="00A62473"/>
    <w:rsid w:val="00A624AE"/>
    <w:rsid w:val="00A624E7"/>
    <w:rsid w:val="00A62557"/>
    <w:rsid w:val="00A62657"/>
    <w:rsid w:val="00A626CD"/>
    <w:rsid w:val="00A6279A"/>
    <w:rsid w:val="00A628D8"/>
    <w:rsid w:val="00A62B0C"/>
    <w:rsid w:val="00A62BDD"/>
    <w:rsid w:val="00A62C58"/>
    <w:rsid w:val="00A62E61"/>
    <w:rsid w:val="00A62ECF"/>
    <w:rsid w:val="00A6303E"/>
    <w:rsid w:val="00A6311C"/>
    <w:rsid w:val="00A63136"/>
    <w:rsid w:val="00A63163"/>
    <w:rsid w:val="00A631AC"/>
    <w:rsid w:val="00A63355"/>
    <w:rsid w:val="00A633C6"/>
    <w:rsid w:val="00A63532"/>
    <w:rsid w:val="00A6364D"/>
    <w:rsid w:val="00A63ACF"/>
    <w:rsid w:val="00A63C60"/>
    <w:rsid w:val="00A63D1F"/>
    <w:rsid w:val="00A63D37"/>
    <w:rsid w:val="00A63DA4"/>
    <w:rsid w:val="00A64034"/>
    <w:rsid w:val="00A64050"/>
    <w:rsid w:val="00A64134"/>
    <w:rsid w:val="00A64307"/>
    <w:rsid w:val="00A6436D"/>
    <w:rsid w:val="00A643E9"/>
    <w:rsid w:val="00A644D5"/>
    <w:rsid w:val="00A64675"/>
    <w:rsid w:val="00A648BA"/>
    <w:rsid w:val="00A64A5C"/>
    <w:rsid w:val="00A64AA7"/>
    <w:rsid w:val="00A64D66"/>
    <w:rsid w:val="00A64E83"/>
    <w:rsid w:val="00A6518F"/>
    <w:rsid w:val="00A651F6"/>
    <w:rsid w:val="00A6528A"/>
    <w:rsid w:val="00A6536B"/>
    <w:rsid w:val="00A6537F"/>
    <w:rsid w:val="00A654C6"/>
    <w:rsid w:val="00A65606"/>
    <w:rsid w:val="00A656A0"/>
    <w:rsid w:val="00A65720"/>
    <w:rsid w:val="00A65723"/>
    <w:rsid w:val="00A6574D"/>
    <w:rsid w:val="00A658C8"/>
    <w:rsid w:val="00A65B89"/>
    <w:rsid w:val="00A65E3C"/>
    <w:rsid w:val="00A6617D"/>
    <w:rsid w:val="00A663CD"/>
    <w:rsid w:val="00A664EE"/>
    <w:rsid w:val="00A66546"/>
    <w:rsid w:val="00A665B5"/>
    <w:rsid w:val="00A667FA"/>
    <w:rsid w:val="00A66B8B"/>
    <w:rsid w:val="00A67322"/>
    <w:rsid w:val="00A673D5"/>
    <w:rsid w:val="00A674E1"/>
    <w:rsid w:val="00A67527"/>
    <w:rsid w:val="00A675E9"/>
    <w:rsid w:val="00A67690"/>
    <w:rsid w:val="00A67759"/>
    <w:rsid w:val="00A67929"/>
    <w:rsid w:val="00A6796C"/>
    <w:rsid w:val="00A679A2"/>
    <w:rsid w:val="00A67CAF"/>
    <w:rsid w:val="00A67D6A"/>
    <w:rsid w:val="00A67D9A"/>
    <w:rsid w:val="00A67DB8"/>
    <w:rsid w:val="00A67DDC"/>
    <w:rsid w:val="00A67DE2"/>
    <w:rsid w:val="00A67EA2"/>
    <w:rsid w:val="00A67ED1"/>
    <w:rsid w:val="00A70016"/>
    <w:rsid w:val="00A7005C"/>
    <w:rsid w:val="00A70099"/>
    <w:rsid w:val="00A70107"/>
    <w:rsid w:val="00A7021D"/>
    <w:rsid w:val="00A70264"/>
    <w:rsid w:val="00A70286"/>
    <w:rsid w:val="00A702C9"/>
    <w:rsid w:val="00A70300"/>
    <w:rsid w:val="00A70329"/>
    <w:rsid w:val="00A70488"/>
    <w:rsid w:val="00A70513"/>
    <w:rsid w:val="00A70522"/>
    <w:rsid w:val="00A70623"/>
    <w:rsid w:val="00A707BB"/>
    <w:rsid w:val="00A70858"/>
    <w:rsid w:val="00A708C7"/>
    <w:rsid w:val="00A709B2"/>
    <w:rsid w:val="00A709CB"/>
    <w:rsid w:val="00A70C33"/>
    <w:rsid w:val="00A70C3F"/>
    <w:rsid w:val="00A70D10"/>
    <w:rsid w:val="00A70EA2"/>
    <w:rsid w:val="00A713B9"/>
    <w:rsid w:val="00A71467"/>
    <w:rsid w:val="00A71592"/>
    <w:rsid w:val="00A7162F"/>
    <w:rsid w:val="00A71638"/>
    <w:rsid w:val="00A7165F"/>
    <w:rsid w:val="00A7166E"/>
    <w:rsid w:val="00A71798"/>
    <w:rsid w:val="00A717E9"/>
    <w:rsid w:val="00A7183D"/>
    <w:rsid w:val="00A718DA"/>
    <w:rsid w:val="00A71959"/>
    <w:rsid w:val="00A71CDA"/>
    <w:rsid w:val="00A71DC2"/>
    <w:rsid w:val="00A71E56"/>
    <w:rsid w:val="00A71F20"/>
    <w:rsid w:val="00A71F6D"/>
    <w:rsid w:val="00A72003"/>
    <w:rsid w:val="00A72034"/>
    <w:rsid w:val="00A720EA"/>
    <w:rsid w:val="00A72215"/>
    <w:rsid w:val="00A7240B"/>
    <w:rsid w:val="00A724C9"/>
    <w:rsid w:val="00A72568"/>
    <w:rsid w:val="00A725D7"/>
    <w:rsid w:val="00A72AB1"/>
    <w:rsid w:val="00A72B32"/>
    <w:rsid w:val="00A72B51"/>
    <w:rsid w:val="00A72B66"/>
    <w:rsid w:val="00A72B9D"/>
    <w:rsid w:val="00A72BB0"/>
    <w:rsid w:val="00A72C43"/>
    <w:rsid w:val="00A72C7B"/>
    <w:rsid w:val="00A72D02"/>
    <w:rsid w:val="00A72D9B"/>
    <w:rsid w:val="00A72DC5"/>
    <w:rsid w:val="00A72EA2"/>
    <w:rsid w:val="00A730B2"/>
    <w:rsid w:val="00A733D3"/>
    <w:rsid w:val="00A73652"/>
    <w:rsid w:val="00A7375D"/>
    <w:rsid w:val="00A73852"/>
    <w:rsid w:val="00A73B64"/>
    <w:rsid w:val="00A73BC2"/>
    <w:rsid w:val="00A73C79"/>
    <w:rsid w:val="00A73DA7"/>
    <w:rsid w:val="00A73DEC"/>
    <w:rsid w:val="00A73E3E"/>
    <w:rsid w:val="00A73E7B"/>
    <w:rsid w:val="00A73FDA"/>
    <w:rsid w:val="00A74000"/>
    <w:rsid w:val="00A7418A"/>
    <w:rsid w:val="00A743D5"/>
    <w:rsid w:val="00A74500"/>
    <w:rsid w:val="00A745E6"/>
    <w:rsid w:val="00A74664"/>
    <w:rsid w:val="00A74717"/>
    <w:rsid w:val="00A7473E"/>
    <w:rsid w:val="00A747F1"/>
    <w:rsid w:val="00A74823"/>
    <w:rsid w:val="00A7486A"/>
    <w:rsid w:val="00A74877"/>
    <w:rsid w:val="00A748F2"/>
    <w:rsid w:val="00A749C5"/>
    <w:rsid w:val="00A74F0A"/>
    <w:rsid w:val="00A7506B"/>
    <w:rsid w:val="00A7520E"/>
    <w:rsid w:val="00A752E0"/>
    <w:rsid w:val="00A75408"/>
    <w:rsid w:val="00A7558C"/>
    <w:rsid w:val="00A759BF"/>
    <w:rsid w:val="00A759C9"/>
    <w:rsid w:val="00A75B99"/>
    <w:rsid w:val="00A75CCD"/>
    <w:rsid w:val="00A75EB9"/>
    <w:rsid w:val="00A75FF2"/>
    <w:rsid w:val="00A76203"/>
    <w:rsid w:val="00A76294"/>
    <w:rsid w:val="00A763AD"/>
    <w:rsid w:val="00A763C5"/>
    <w:rsid w:val="00A7652E"/>
    <w:rsid w:val="00A765D0"/>
    <w:rsid w:val="00A769A2"/>
    <w:rsid w:val="00A76EA2"/>
    <w:rsid w:val="00A76F6F"/>
    <w:rsid w:val="00A76FE4"/>
    <w:rsid w:val="00A77017"/>
    <w:rsid w:val="00A7719F"/>
    <w:rsid w:val="00A771A7"/>
    <w:rsid w:val="00A771C3"/>
    <w:rsid w:val="00A77305"/>
    <w:rsid w:val="00A77312"/>
    <w:rsid w:val="00A773BB"/>
    <w:rsid w:val="00A77494"/>
    <w:rsid w:val="00A774EF"/>
    <w:rsid w:val="00A775C7"/>
    <w:rsid w:val="00A77632"/>
    <w:rsid w:val="00A77645"/>
    <w:rsid w:val="00A77681"/>
    <w:rsid w:val="00A77772"/>
    <w:rsid w:val="00A77A1A"/>
    <w:rsid w:val="00A77A3B"/>
    <w:rsid w:val="00A77AEC"/>
    <w:rsid w:val="00A77CBB"/>
    <w:rsid w:val="00A800FD"/>
    <w:rsid w:val="00A801EE"/>
    <w:rsid w:val="00A802F3"/>
    <w:rsid w:val="00A80333"/>
    <w:rsid w:val="00A8048E"/>
    <w:rsid w:val="00A80597"/>
    <w:rsid w:val="00A80611"/>
    <w:rsid w:val="00A8084C"/>
    <w:rsid w:val="00A80882"/>
    <w:rsid w:val="00A809FD"/>
    <w:rsid w:val="00A80BDC"/>
    <w:rsid w:val="00A80FEE"/>
    <w:rsid w:val="00A810D7"/>
    <w:rsid w:val="00A81135"/>
    <w:rsid w:val="00A81340"/>
    <w:rsid w:val="00A814D3"/>
    <w:rsid w:val="00A815B6"/>
    <w:rsid w:val="00A81609"/>
    <w:rsid w:val="00A819AB"/>
    <w:rsid w:val="00A81A05"/>
    <w:rsid w:val="00A81A28"/>
    <w:rsid w:val="00A81B2F"/>
    <w:rsid w:val="00A81C1B"/>
    <w:rsid w:val="00A81CDB"/>
    <w:rsid w:val="00A81D62"/>
    <w:rsid w:val="00A81D90"/>
    <w:rsid w:val="00A81ED6"/>
    <w:rsid w:val="00A82335"/>
    <w:rsid w:val="00A82683"/>
    <w:rsid w:val="00A827DA"/>
    <w:rsid w:val="00A82955"/>
    <w:rsid w:val="00A82AF2"/>
    <w:rsid w:val="00A82C80"/>
    <w:rsid w:val="00A82C99"/>
    <w:rsid w:val="00A82CE8"/>
    <w:rsid w:val="00A82D0C"/>
    <w:rsid w:val="00A82D30"/>
    <w:rsid w:val="00A830EF"/>
    <w:rsid w:val="00A8335F"/>
    <w:rsid w:val="00A83369"/>
    <w:rsid w:val="00A833EA"/>
    <w:rsid w:val="00A83438"/>
    <w:rsid w:val="00A83597"/>
    <w:rsid w:val="00A835AE"/>
    <w:rsid w:val="00A835E9"/>
    <w:rsid w:val="00A839B7"/>
    <w:rsid w:val="00A83B4F"/>
    <w:rsid w:val="00A83E80"/>
    <w:rsid w:val="00A83EE6"/>
    <w:rsid w:val="00A83F61"/>
    <w:rsid w:val="00A84011"/>
    <w:rsid w:val="00A84074"/>
    <w:rsid w:val="00A84168"/>
    <w:rsid w:val="00A84500"/>
    <w:rsid w:val="00A84506"/>
    <w:rsid w:val="00A847C9"/>
    <w:rsid w:val="00A84859"/>
    <w:rsid w:val="00A84A9B"/>
    <w:rsid w:val="00A84A9E"/>
    <w:rsid w:val="00A84B64"/>
    <w:rsid w:val="00A84D5E"/>
    <w:rsid w:val="00A8507E"/>
    <w:rsid w:val="00A852A9"/>
    <w:rsid w:val="00A85387"/>
    <w:rsid w:val="00A853DB"/>
    <w:rsid w:val="00A853F4"/>
    <w:rsid w:val="00A854E4"/>
    <w:rsid w:val="00A857AE"/>
    <w:rsid w:val="00A858A1"/>
    <w:rsid w:val="00A85905"/>
    <w:rsid w:val="00A85AAE"/>
    <w:rsid w:val="00A85BC8"/>
    <w:rsid w:val="00A85E4A"/>
    <w:rsid w:val="00A85ED5"/>
    <w:rsid w:val="00A86119"/>
    <w:rsid w:val="00A86154"/>
    <w:rsid w:val="00A86337"/>
    <w:rsid w:val="00A863F5"/>
    <w:rsid w:val="00A864B0"/>
    <w:rsid w:val="00A866B6"/>
    <w:rsid w:val="00A86BC1"/>
    <w:rsid w:val="00A86EA7"/>
    <w:rsid w:val="00A86F6A"/>
    <w:rsid w:val="00A86FCA"/>
    <w:rsid w:val="00A87019"/>
    <w:rsid w:val="00A87034"/>
    <w:rsid w:val="00A87181"/>
    <w:rsid w:val="00A8723B"/>
    <w:rsid w:val="00A8727B"/>
    <w:rsid w:val="00A872D5"/>
    <w:rsid w:val="00A876B3"/>
    <w:rsid w:val="00A87776"/>
    <w:rsid w:val="00A877B6"/>
    <w:rsid w:val="00A87802"/>
    <w:rsid w:val="00A8781C"/>
    <w:rsid w:val="00A878A2"/>
    <w:rsid w:val="00A879B4"/>
    <w:rsid w:val="00A87DA7"/>
    <w:rsid w:val="00A87E46"/>
    <w:rsid w:val="00A87E70"/>
    <w:rsid w:val="00A90193"/>
    <w:rsid w:val="00A90355"/>
    <w:rsid w:val="00A90381"/>
    <w:rsid w:val="00A9043D"/>
    <w:rsid w:val="00A905E4"/>
    <w:rsid w:val="00A90645"/>
    <w:rsid w:val="00A9066C"/>
    <w:rsid w:val="00A90732"/>
    <w:rsid w:val="00A90826"/>
    <w:rsid w:val="00A90985"/>
    <w:rsid w:val="00A909B7"/>
    <w:rsid w:val="00A90BD9"/>
    <w:rsid w:val="00A90C1A"/>
    <w:rsid w:val="00A90C3D"/>
    <w:rsid w:val="00A90C6A"/>
    <w:rsid w:val="00A90DF0"/>
    <w:rsid w:val="00A90E8B"/>
    <w:rsid w:val="00A90F17"/>
    <w:rsid w:val="00A91045"/>
    <w:rsid w:val="00A91078"/>
    <w:rsid w:val="00A91183"/>
    <w:rsid w:val="00A912A7"/>
    <w:rsid w:val="00A9130A"/>
    <w:rsid w:val="00A91335"/>
    <w:rsid w:val="00A9133B"/>
    <w:rsid w:val="00A913D3"/>
    <w:rsid w:val="00A9147A"/>
    <w:rsid w:val="00A91481"/>
    <w:rsid w:val="00A916B5"/>
    <w:rsid w:val="00A91714"/>
    <w:rsid w:val="00A9187D"/>
    <w:rsid w:val="00A91AF3"/>
    <w:rsid w:val="00A91B50"/>
    <w:rsid w:val="00A91E35"/>
    <w:rsid w:val="00A91F07"/>
    <w:rsid w:val="00A92064"/>
    <w:rsid w:val="00A92182"/>
    <w:rsid w:val="00A921B0"/>
    <w:rsid w:val="00A9248E"/>
    <w:rsid w:val="00A92686"/>
    <w:rsid w:val="00A926C7"/>
    <w:rsid w:val="00A926D6"/>
    <w:rsid w:val="00A92980"/>
    <w:rsid w:val="00A92C0A"/>
    <w:rsid w:val="00A92CCD"/>
    <w:rsid w:val="00A92DBD"/>
    <w:rsid w:val="00A92F72"/>
    <w:rsid w:val="00A92FE3"/>
    <w:rsid w:val="00A93077"/>
    <w:rsid w:val="00A93163"/>
    <w:rsid w:val="00A932EC"/>
    <w:rsid w:val="00A93367"/>
    <w:rsid w:val="00A933B1"/>
    <w:rsid w:val="00A933D4"/>
    <w:rsid w:val="00A93440"/>
    <w:rsid w:val="00A9344C"/>
    <w:rsid w:val="00A9372F"/>
    <w:rsid w:val="00A9378C"/>
    <w:rsid w:val="00A93885"/>
    <w:rsid w:val="00A938D5"/>
    <w:rsid w:val="00A93926"/>
    <w:rsid w:val="00A9396A"/>
    <w:rsid w:val="00A9396D"/>
    <w:rsid w:val="00A93D47"/>
    <w:rsid w:val="00A93F2F"/>
    <w:rsid w:val="00A94068"/>
    <w:rsid w:val="00A94095"/>
    <w:rsid w:val="00A94408"/>
    <w:rsid w:val="00A948DE"/>
    <w:rsid w:val="00A948F8"/>
    <w:rsid w:val="00A94987"/>
    <w:rsid w:val="00A94A52"/>
    <w:rsid w:val="00A94A70"/>
    <w:rsid w:val="00A94E43"/>
    <w:rsid w:val="00A95042"/>
    <w:rsid w:val="00A9505E"/>
    <w:rsid w:val="00A9510D"/>
    <w:rsid w:val="00A954AE"/>
    <w:rsid w:val="00A9567A"/>
    <w:rsid w:val="00A95690"/>
    <w:rsid w:val="00A95884"/>
    <w:rsid w:val="00A9588F"/>
    <w:rsid w:val="00A95927"/>
    <w:rsid w:val="00A95B4D"/>
    <w:rsid w:val="00A95BBB"/>
    <w:rsid w:val="00A95BC3"/>
    <w:rsid w:val="00A95CA1"/>
    <w:rsid w:val="00A95D10"/>
    <w:rsid w:val="00A95D4B"/>
    <w:rsid w:val="00A95D94"/>
    <w:rsid w:val="00A95ED1"/>
    <w:rsid w:val="00A95F86"/>
    <w:rsid w:val="00A95FDE"/>
    <w:rsid w:val="00A96003"/>
    <w:rsid w:val="00A96555"/>
    <w:rsid w:val="00A96579"/>
    <w:rsid w:val="00A9670E"/>
    <w:rsid w:val="00A967D6"/>
    <w:rsid w:val="00A9687B"/>
    <w:rsid w:val="00A968FF"/>
    <w:rsid w:val="00A96986"/>
    <w:rsid w:val="00A96A1B"/>
    <w:rsid w:val="00A96AB0"/>
    <w:rsid w:val="00A96B8C"/>
    <w:rsid w:val="00A96C97"/>
    <w:rsid w:val="00A97263"/>
    <w:rsid w:val="00A974C7"/>
    <w:rsid w:val="00A975F4"/>
    <w:rsid w:val="00A9768E"/>
    <w:rsid w:val="00A976C3"/>
    <w:rsid w:val="00A9770B"/>
    <w:rsid w:val="00A9774F"/>
    <w:rsid w:val="00A97835"/>
    <w:rsid w:val="00A9793E"/>
    <w:rsid w:val="00A97C66"/>
    <w:rsid w:val="00A97CC3"/>
    <w:rsid w:val="00A97D9D"/>
    <w:rsid w:val="00A97EC8"/>
    <w:rsid w:val="00AA00DC"/>
    <w:rsid w:val="00AA0204"/>
    <w:rsid w:val="00AA036A"/>
    <w:rsid w:val="00AA037B"/>
    <w:rsid w:val="00AA0446"/>
    <w:rsid w:val="00AA0556"/>
    <w:rsid w:val="00AA05D4"/>
    <w:rsid w:val="00AA06AF"/>
    <w:rsid w:val="00AA06B5"/>
    <w:rsid w:val="00AA09D3"/>
    <w:rsid w:val="00AA0B74"/>
    <w:rsid w:val="00AA0C18"/>
    <w:rsid w:val="00AA0E6C"/>
    <w:rsid w:val="00AA0E92"/>
    <w:rsid w:val="00AA0FD5"/>
    <w:rsid w:val="00AA1112"/>
    <w:rsid w:val="00AA11C1"/>
    <w:rsid w:val="00AA124C"/>
    <w:rsid w:val="00AA132A"/>
    <w:rsid w:val="00AA1373"/>
    <w:rsid w:val="00AA1441"/>
    <w:rsid w:val="00AA14AD"/>
    <w:rsid w:val="00AA1591"/>
    <w:rsid w:val="00AA1620"/>
    <w:rsid w:val="00AA17C4"/>
    <w:rsid w:val="00AA192A"/>
    <w:rsid w:val="00AA19CD"/>
    <w:rsid w:val="00AA19D4"/>
    <w:rsid w:val="00AA19F8"/>
    <w:rsid w:val="00AA1BA1"/>
    <w:rsid w:val="00AA1BFF"/>
    <w:rsid w:val="00AA1CE0"/>
    <w:rsid w:val="00AA1E14"/>
    <w:rsid w:val="00AA1E4D"/>
    <w:rsid w:val="00AA2011"/>
    <w:rsid w:val="00AA20CF"/>
    <w:rsid w:val="00AA20DD"/>
    <w:rsid w:val="00AA225D"/>
    <w:rsid w:val="00AA2456"/>
    <w:rsid w:val="00AA2484"/>
    <w:rsid w:val="00AA24DE"/>
    <w:rsid w:val="00AA2582"/>
    <w:rsid w:val="00AA29F7"/>
    <w:rsid w:val="00AA2AF6"/>
    <w:rsid w:val="00AA2D85"/>
    <w:rsid w:val="00AA3202"/>
    <w:rsid w:val="00AA342F"/>
    <w:rsid w:val="00AA36EC"/>
    <w:rsid w:val="00AA3815"/>
    <w:rsid w:val="00AA38E3"/>
    <w:rsid w:val="00AA3C06"/>
    <w:rsid w:val="00AA3C45"/>
    <w:rsid w:val="00AA3C4F"/>
    <w:rsid w:val="00AA3D4E"/>
    <w:rsid w:val="00AA3EED"/>
    <w:rsid w:val="00AA4215"/>
    <w:rsid w:val="00AA43AF"/>
    <w:rsid w:val="00AA455B"/>
    <w:rsid w:val="00AA456D"/>
    <w:rsid w:val="00AA45BA"/>
    <w:rsid w:val="00AA4756"/>
    <w:rsid w:val="00AA49E7"/>
    <w:rsid w:val="00AA4BC8"/>
    <w:rsid w:val="00AA4C5C"/>
    <w:rsid w:val="00AA4CF1"/>
    <w:rsid w:val="00AA4E62"/>
    <w:rsid w:val="00AA4F1C"/>
    <w:rsid w:val="00AA4F85"/>
    <w:rsid w:val="00AA5015"/>
    <w:rsid w:val="00AA5095"/>
    <w:rsid w:val="00AA51E8"/>
    <w:rsid w:val="00AA5282"/>
    <w:rsid w:val="00AA528C"/>
    <w:rsid w:val="00AA530D"/>
    <w:rsid w:val="00AA5392"/>
    <w:rsid w:val="00AA53FB"/>
    <w:rsid w:val="00AA54C7"/>
    <w:rsid w:val="00AA5942"/>
    <w:rsid w:val="00AA5AE7"/>
    <w:rsid w:val="00AA5EA6"/>
    <w:rsid w:val="00AA5EBF"/>
    <w:rsid w:val="00AA603D"/>
    <w:rsid w:val="00AA6315"/>
    <w:rsid w:val="00AA6503"/>
    <w:rsid w:val="00AA6551"/>
    <w:rsid w:val="00AA657D"/>
    <w:rsid w:val="00AA65A5"/>
    <w:rsid w:val="00AA65E9"/>
    <w:rsid w:val="00AA660F"/>
    <w:rsid w:val="00AA662F"/>
    <w:rsid w:val="00AA6719"/>
    <w:rsid w:val="00AA6751"/>
    <w:rsid w:val="00AA698B"/>
    <w:rsid w:val="00AA6A8B"/>
    <w:rsid w:val="00AA6AFC"/>
    <w:rsid w:val="00AA6CC4"/>
    <w:rsid w:val="00AA6D6B"/>
    <w:rsid w:val="00AA6F4F"/>
    <w:rsid w:val="00AA6FCD"/>
    <w:rsid w:val="00AA70A0"/>
    <w:rsid w:val="00AA7123"/>
    <w:rsid w:val="00AA725A"/>
    <w:rsid w:val="00AA73C2"/>
    <w:rsid w:val="00AA73FC"/>
    <w:rsid w:val="00AA74E1"/>
    <w:rsid w:val="00AA782A"/>
    <w:rsid w:val="00AA789F"/>
    <w:rsid w:val="00AA7955"/>
    <w:rsid w:val="00AA79DD"/>
    <w:rsid w:val="00AA7A45"/>
    <w:rsid w:val="00AA7C1B"/>
    <w:rsid w:val="00AA7D8D"/>
    <w:rsid w:val="00AA7E14"/>
    <w:rsid w:val="00AA7E2D"/>
    <w:rsid w:val="00AA7E5F"/>
    <w:rsid w:val="00AA7EF0"/>
    <w:rsid w:val="00AB01A9"/>
    <w:rsid w:val="00AB04EE"/>
    <w:rsid w:val="00AB051B"/>
    <w:rsid w:val="00AB0522"/>
    <w:rsid w:val="00AB05C7"/>
    <w:rsid w:val="00AB0677"/>
    <w:rsid w:val="00AB0715"/>
    <w:rsid w:val="00AB071F"/>
    <w:rsid w:val="00AB0849"/>
    <w:rsid w:val="00AB08A7"/>
    <w:rsid w:val="00AB09B6"/>
    <w:rsid w:val="00AB0A80"/>
    <w:rsid w:val="00AB0AA9"/>
    <w:rsid w:val="00AB0AE6"/>
    <w:rsid w:val="00AB0B22"/>
    <w:rsid w:val="00AB0C5F"/>
    <w:rsid w:val="00AB0D68"/>
    <w:rsid w:val="00AB0DD7"/>
    <w:rsid w:val="00AB0EA5"/>
    <w:rsid w:val="00AB112D"/>
    <w:rsid w:val="00AB1130"/>
    <w:rsid w:val="00AB11AA"/>
    <w:rsid w:val="00AB1406"/>
    <w:rsid w:val="00AB146D"/>
    <w:rsid w:val="00AB16EC"/>
    <w:rsid w:val="00AB1B86"/>
    <w:rsid w:val="00AB1C07"/>
    <w:rsid w:val="00AB21A6"/>
    <w:rsid w:val="00AB225C"/>
    <w:rsid w:val="00AB233D"/>
    <w:rsid w:val="00AB23E1"/>
    <w:rsid w:val="00AB2488"/>
    <w:rsid w:val="00AB24EE"/>
    <w:rsid w:val="00AB26A1"/>
    <w:rsid w:val="00AB26A6"/>
    <w:rsid w:val="00AB26A8"/>
    <w:rsid w:val="00AB2827"/>
    <w:rsid w:val="00AB28A9"/>
    <w:rsid w:val="00AB28D1"/>
    <w:rsid w:val="00AB2A7F"/>
    <w:rsid w:val="00AB2CF2"/>
    <w:rsid w:val="00AB2CFE"/>
    <w:rsid w:val="00AB2D35"/>
    <w:rsid w:val="00AB2D3D"/>
    <w:rsid w:val="00AB2E52"/>
    <w:rsid w:val="00AB2FE7"/>
    <w:rsid w:val="00AB3036"/>
    <w:rsid w:val="00AB3205"/>
    <w:rsid w:val="00AB3242"/>
    <w:rsid w:val="00AB3293"/>
    <w:rsid w:val="00AB348A"/>
    <w:rsid w:val="00AB356F"/>
    <w:rsid w:val="00AB35AF"/>
    <w:rsid w:val="00AB361F"/>
    <w:rsid w:val="00AB3870"/>
    <w:rsid w:val="00AB396E"/>
    <w:rsid w:val="00AB3B79"/>
    <w:rsid w:val="00AB3C32"/>
    <w:rsid w:val="00AB3CD6"/>
    <w:rsid w:val="00AB3F1E"/>
    <w:rsid w:val="00AB3F43"/>
    <w:rsid w:val="00AB4040"/>
    <w:rsid w:val="00AB4112"/>
    <w:rsid w:val="00AB4147"/>
    <w:rsid w:val="00AB42DD"/>
    <w:rsid w:val="00AB4374"/>
    <w:rsid w:val="00AB4428"/>
    <w:rsid w:val="00AB450B"/>
    <w:rsid w:val="00AB4655"/>
    <w:rsid w:val="00AB476C"/>
    <w:rsid w:val="00AB47C4"/>
    <w:rsid w:val="00AB4859"/>
    <w:rsid w:val="00AB4876"/>
    <w:rsid w:val="00AB48BD"/>
    <w:rsid w:val="00AB48D9"/>
    <w:rsid w:val="00AB49E0"/>
    <w:rsid w:val="00AB4BBE"/>
    <w:rsid w:val="00AB4C3F"/>
    <w:rsid w:val="00AB4C74"/>
    <w:rsid w:val="00AB4D97"/>
    <w:rsid w:val="00AB4DDB"/>
    <w:rsid w:val="00AB52A5"/>
    <w:rsid w:val="00AB53FF"/>
    <w:rsid w:val="00AB57D2"/>
    <w:rsid w:val="00AB586E"/>
    <w:rsid w:val="00AB58A8"/>
    <w:rsid w:val="00AB599F"/>
    <w:rsid w:val="00AB5ABD"/>
    <w:rsid w:val="00AB5AD1"/>
    <w:rsid w:val="00AB5AE2"/>
    <w:rsid w:val="00AB5C52"/>
    <w:rsid w:val="00AB5C6C"/>
    <w:rsid w:val="00AB5CC9"/>
    <w:rsid w:val="00AB5E2B"/>
    <w:rsid w:val="00AB5E7E"/>
    <w:rsid w:val="00AB5FB6"/>
    <w:rsid w:val="00AB6119"/>
    <w:rsid w:val="00AB6170"/>
    <w:rsid w:val="00AB61A8"/>
    <w:rsid w:val="00AB61C9"/>
    <w:rsid w:val="00AB61D5"/>
    <w:rsid w:val="00AB6338"/>
    <w:rsid w:val="00AB63BF"/>
    <w:rsid w:val="00AB63E6"/>
    <w:rsid w:val="00AB6596"/>
    <w:rsid w:val="00AB6719"/>
    <w:rsid w:val="00AB69E2"/>
    <w:rsid w:val="00AB6D26"/>
    <w:rsid w:val="00AB705A"/>
    <w:rsid w:val="00AB706F"/>
    <w:rsid w:val="00AB70EB"/>
    <w:rsid w:val="00AB7606"/>
    <w:rsid w:val="00AB7784"/>
    <w:rsid w:val="00AB7878"/>
    <w:rsid w:val="00AB7970"/>
    <w:rsid w:val="00AB7EF9"/>
    <w:rsid w:val="00AB7FBE"/>
    <w:rsid w:val="00AC0179"/>
    <w:rsid w:val="00AC04CB"/>
    <w:rsid w:val="00AC0786"/>
    <w:rsid w:val="00AC084C"/>
    <w:rsid w:val="00AC0994"/>
    <w:rsid w:val="00AC0A88"/>
    <w:rsid w:val="00AC0C15"/>
    <w:rsid w:val="00AC0C29"/>
    <w:rsid w:val="00AC0E18"/>
    <w:rsid w:val="00AC1090"/>
    <w:rsid w:val="00AC10EF"/>
    <w:rsid w:val="00AC10F9"/>
    <w:rsid w:val="00AC1329"/>
    <w:rsid w:val="00AC1334"/>
    <w:rsid w:val="00AC13A4"/>
    <w:rsid w:val="00AC158B"/>
    <w:rsid w:val="00AC15B0"/>
    <w:rsid w:val="00AC15E6"/>
    <w:rsid w:val="00AC170C"/>
    <w:rsid w:val="00AC1747"/>
    <w:rsid w:val="00AC179C"/>
    <w:rsid w:val="00AC17AE"/>
    <w:rsid w:val="00AC183B"/>
    <w:rsid w:val="00AC19D4"/>
    <w:rsid w:val="00AC1A89"/>
    <w:rsid w:val="00AC1AA9"/>
    <w:rsid w:val="00AC1CBB"/>
    <w:rsid w:val="00AC1D41"/>
    <w:rsid w:val="00AC1EBF"/>
    <w:rsid w:val="00AC1EC0"/>
    <w:rsid w:val="00AC1F55"/>
    <w:rsid w:val="00AC2617"/>
    <w:rsid w:val="00AC2650"/>
    <w:rsid w:val="00AC27C1"/>
    <w:rsid w:val="00AC2B1E"/>
    <w:rsid w:val="00AC2B36"/>
    <w:rsid w:val="00AC2BF8"/>
    <w:rsid w:val="00AC2DC1"/>
    <w:rsid w:val="00AC2F2A"/>
    <w:rsid w:val="00AC2FA6"/>
    <w:rsid w:val="00AC2FC9"/>
    <w:rsid w:val="00AC316D"/>
    <w:rsid w:val="00AC31A7"/>
    <w:rsid w:val="00AC31EB"/>
    <w:rsid w:val="00AC34EE"/>
    <w:rsid w:val="00AC37B9"/>
    <w:rsid w:val="00AC37FC"/>
    <w:rsid w:val="00AC384A"/>
    <w:rsid w:val="00AC38E9"/>
    <w:rsid w:val="00AC3960"/>
    <w:rsid w:val="00AC3974"/>
    <w:rsid w:val="00AC3A45"/>
    <w:rsid w:val="00AC3B51"/>
    <w:rsid w:val="00AC3BD4"/>
    <w:rsid w:val="00AC3C28"/>
    <w:rsid w:val="00AC3C92"/>
    <w:rsid w:val="00AC3EBF"/>
    <w:rsid w:val="00AC3F9F"/>
    <w:rsid w:val="00AC4193"/>
    <w:rsid w:val="00AC419B"/>
    <w:rsid w:val="00AC4576"/>
    <w:rsid w:val="00AC4647"/>
    <w:rsid w:val="00AC4675"/>
    <w:rsid w:val="00AC4910"/>
    <w:rsid w:val="00AC499E"/>
    <w:rsid w:val="00AC4A03"/>
    <w:rsid w:val="00AC4BDE"/>
    <w:rsid w:val="00AC4D3B"/>
    <w:rsid w:val="00AC4D5C"/>
    <w:rsid w:val="00AC4D87"/>
    <w:rsid w:val="00AC4E54"/>
    <w:rsid w:val="00AC4EA7"/>
    <w:rsid w:val="00AC4ECB"/>
    <w:rsid w:val="00AC4F27"/>
    <w:rsid w:val="00AC4FA4"/>
    <w:rsid w:val="00AC508A"/>
    <w:rsid w:val="00AC5173"/>
    <w:rsid w:val="00AC5197"/>
    <w:rsid w:val="00AC51E9"/>
    <w:rsid w:val="00AC521B"/>
    <w:rsid w:val="00AC529F"/>
    <w:rsid w:val="00AC55EB"/>
    <w:rsid w:val="00AC561A"/>
    <w:rsid w:val="00AC5662"/>
    <w:rsid w:val="00AC56D9"/>
    <w:rsid w:val="00AC57A2"/>
    <w:rsid w:val="00AC57F6"/>
    <w:rsid w:val="00AC5829"/>
    <w:rsid w:val="00AC5891"/>
    <w:rsid w:val="00AC5A5A"/>
    <w:rsid w:val="00AC5B9A"/>
    <w:rsid w:val="00AC5CFF"/>
    <w:rsid w:val="00AC5DDD"/>
    <w:rsid w:val="00AC5EBE"/>
    <w:rsid w:val="00AC5F06"/>
    <w:rsid w:val="00AC5FB4"/>
    <w:rsid w:val="00AC60CA"/>
    <w:rsid w:val="00AC6121"/>
    <w:rsid w:val="00AC639E"/>
    <w:rsid w:val="00AC6472"/>
    <w:rsid w:val="00AC64A2"/>
    <w:rsid w:val="00AC6778"/>
    <w:rsid w:val="00AC6928"/>
    <w:rsid w:val="00AC692A"/>
    <w:rsid w:val="00AC69B7"/>
    <w:rsid w:val="00AC6A62"/>
    <w:rsid w:val="00AC6B3E"/>
    <w:rsid w:val="00AC6CB0"/>
    <w:rsid w:val="00AC6DCF"/>
    <w:rsid w:val="00AC7014"/>
    <w:rsid w:val="00AC70E3"/>
    <w:rsid w:val="00AC70F5"/>
    <w:rsid w:val="00AC717F"/>
    <w:rsid w:val="00AC7222"/>
    <w:rsid w:val="00AC722D"/>
    <w:rsid w:val="00AC74F2"/>
    <w:rsid w:val="00AC7579"/>
    <w:rsid w:val="00AC75CE"/>
    <w:rsid w:val="00AC75D3"/>
    <w:rsid w:val="00AC77AD"/>
    <w:rsid w:val="00AC7802"/>
    <w:rsid w:val="00AC7818"/>
    <w:rsid w:val="00AC78F0"/>
    <w:rsid w:val="00AC79C8"/>
    <w:rsid w:val="00AC79DE"/>
    <w:rsid w:val="00AC7A8D"/>
    <w:rsid w:val="00AC7BF0"/>
    <w:rsid w:val="00AC7C1E"/>
    <w:rsid w:val="00AC7D9C"/>
    <w:rsid w:val="00AC7E08"/>
    <w:rsid w:val="00AC7E43"/>
    <w:rsid w:val="00AC7F1D"/>
    <w:rsid w:val="00AD01C9"/>
    <w:rsid w:val="00AD01E0"/>
    <w:rsid w:val="00AD0477"/>
    <w:rsid w:val="00AD04A0"/>
    <w:rsid w:val="00AD04E4"/>
    <w:rsid w:val="00AD060E"/>
    <w:rsid w:val="00AD062D"/>
    <w:rsid w:val="00AD06CD"/>
    <w:rsid w:val="00AD06FC"/>
    <w:rsid w:val="00AD0963"/>
    <w:rsid w:val="00AD09B4"/>
    <w:rsid w:val="00AD0A4E"/>
    <w:rsid w:val="00AD0A6D"/>
    <w:rsid w:val="00AD0C09"/>
    <w:rsid w:val="00AD0C48"/>
    <w:rsid w:val="00AD0DA5"/>
    <w:rsid w:val="00AD0DD4"/>
    <w:rsid w:val="00AD0E78"/>
    <w:rsid w:val="00AD0EF5"/>
    <w:rsid w:val="00AD0F7E"/>
    <w:rsid w:val="00AD101B"/>
    <w:rsid w:val="00AD11C8"/>
    <w:rsid w:val="00AD1223"/>
    <w:rsid w:val="00AD1542"/>
    <w:rsid w:val="00AD15C9"/>
    <w:rsid w:val="00AD175C"/>
    <w:rsid w:val="00AD1825"/>
    <w:rsid w:val="00AD183D"/>
    <w:rsid w:val="00AD18FD"/>
    <w:rsid w:val="00AD191D"/>
    <w:rsid w:val="00AD1BA4"/>
    <w:rsid w:val="00AD1BC5"/>
    <w:rsid w:val="00AD1BDE"/>
    <w:rsid w:val="00AD1C8D"/>
    <w:rsid w:val="00AD1CAD"/>
    <w:rsid w:val="00AD1F6F"/>
    <w:rsid w:val="00AD2104"/>
    <w:rsid w:val="00AD2163"/>
    <w:rsid w:val="00AD2334"/>
    <w:rsid w:val="00AD238B"/>
    <w:rsid w:val="00AD2406"/>
    <w:rsid w:val="00AD243E"/>
    <w:rsid w:val="00AD243F"/>
    <w:rsid w:val="00AD277A"/>
    <w:rsid w:val="00AD296A"/>
    <w:rsid w:val="00AD2A59"/>
    <w:rsid w:val="00AD2D7E"/>
    <w:rsid w:val="00AD2FFD"/>
    <w:rsid w:val="00AD3398"/>
    <w:rsid w:val="00AD3497"/>
    <w:rsid w:val="00AD34A9"/>
    <w:rsid w:val="00AD3A12"/>
    <w:rsid w:val="00AD3BCA"/>
    <w:rsid w:val="00AD3C39"/>
    <w:rsid w:val="00AD3DD4"/>
    <w:rsid w:val="00AD3DE4"/>
    <w:rsid w:val="00AD4048"/>
    <w:rsid w:val="00AD407E"/>
    <w:rsid w:val="00AD407F"/>
    <w:rsid w:val="00AD40E4"/>
    <w:rsid w:val="00AD40FF"/>
    <w:rsid w:val="00AD4148"/>
    <w:rsid w:val="00AD4151"/>
    <w:rsid w:val="00AD4263"/>
    <w:rsid w:val="00AD431A"/>
    <w:rsid w:val="00AD442E"/>
    <w:rsid w:val="00AD44B9"/>
    <w:rsid w:val="00AD47E7"/>
    <w:rsid w:val="00AD485F"/>
    <w:rsid w:val="00AD48D2"/>
    <w:rsid w:val="00AD48FD"/>
    <w:rsid w:val="00AD4A42"/>
    <w:rsid w:val="00AD4A52"/>
    <w:rsid w:val="00AD4ADC"/>
    <w:rsid w:val="00AD4F55"/>
    <w:rsid w:val="00AD4F88"/>
    <w:rsid w:val="00AD5362"/>
    <w:rsid w:val="00AD541F"/>
    <w:rsid w:val="00AD5452"/>
    <w:rsid w:val="00AD5664"/>
    <w:rsid w:val="00AD566F"/>
    <w:rsid w:val="00AD56D4"/>
    <w:rsid w:val="00AD586C"/>
    <w:rsid w:val="00AD58AF"/>
    <w:rsid w:val="00AD5B2A"/>
    <w:rsid w:val="00AD5BA7"/>
    <w:rsid w:val="00AD5C63"/>
    <w:rsid w:val="00AD5E36"/>
    <w:rsid w:val="00AD5ED3"/>
    <w:rsid w:val="00AD5EF9"/>
    <w:rsid w:val="00AD5F10"/>
    <w:rsid w:val="00AD6253"/>
    <w:rsid w:val="00AD6470"/>
    <w:rsid w:val="00AD66CF"/>
    <w:rsid w:val="00AD68BD"/>
    <w:rsid w:val="00AD68C2"/>
    <w:rsid w:val="00AD68D0"/>
    <w:rsid w:val="00AD6A0D"/>
    <w:rsid w:val="00AD6EF3"/>
    <w:rsid w:val="00AD6FE5"/>
    <w:rsid w:val="00AD7018"/>
    <w:rsid w:val="00AD7094"/>
    <w:rsid w:val="00AD70F5"/>
    <w:rsid w:val="00AD7101"/>
    <w:rsid w:val="00AD71A3"/>
    <w:rsid w:val="00AD722B"/>
    <w:rsid w:val="00AD7353"/>
    <w:rsid w:val="00AD7641"/>
    <w:rsid w:val="00AD766A"/>
    <w:rsid w:val="00AD7695"/>
    <w:rsid w:val="00AD76A1"/>
    <w:rsid w:val="00AD7716"/>
    <w:rsid w:val="00AD7809"/>
    <w:rsid w:val="00AD7846"/>
    <w:rsid w:val="00AD784A"/>
    <w:rsid w:val="00AD790E"/>
    <w:rsid w:val="00AD7989"/>
    <w:rsid w:val="00AD7A2C"/>
    <w:rsid w:val="00AD7EC8"/>
    <w:rsid w:val="00AE0047"/>
    <w:rsid w:val="00AE00C2"/>
    <w:rsid w:val="00AE00D6"/>
    <w:rsid w:val="00AE02FD"/>
    <w:rsid w:val="00AE04F2"/>
    <w:rsid w:val="00AE04F4"/>
    <w:rsid w:val="00AE05D1"/>
    <w:rsid w:val="00AE080B"/>
    <w:rsid w:val="00AE0931"/>
    <w:rsid w:val="00AE097D"/>
    <w:rsid w:val="00AE0A80"/>
    <w:rsid w:val="00AE0B04"/>
    <w:rsid w:val="00AE0BB3"/>
    <w:rsid w:val="00AE0D5D"/>
    <w:rsid w:val="00AE0F58"/>
    <w:rsid w:val="00AE0FAF"/>
    <w:rsid w:val="00AE1187"/>
    <w:rsid w:val="00AE1258"/>
    <w:rsid w:val="00AE13C2"/>
    <w:rsid w:val="00AE13E5"/>
    <w:rsid w:val="00AE14C3"/>
    <w:rsid w:val="00AE1531"/>
    <w:rsid w:val="00AE160B"/>
    <w:rsid w:val="00AE1626"/>
    <w:rsid w:val="00AE1640"/>
    <w:rsid w:val="00AE1765"/>
    <w:rsid w:val="00AE182D"/>
    <w:rsid w:val="00AE1903"/>
    <w:rsid w:val="00AE1950"/>
    <w:rsid w:val="00AE19A1"/>
    <w:rsid w:val="00AE1B59"/>
    <w:rsid w:val="00AE1BC0"/>
    <w:rsid w:val="00AE2057"/>
    <w:rsid w:val="00AE21E7"/>
    <w:rsid w:val="00AE2243"/>
    <w:rsid w:val="00AE2668"/>
    <w:rsid w:val="00AE26BF"/>
    <w:rsid w:val="00AE2B60"/>
    <w:rsid w:val="00AE2B7D"/>
    <w:rsid w:val="00AE2C09"/>
    <w:rsid w:val="00AE2DBE"/>
    <w:rsid w:val="00AE2EAB"/>
    <w:rsid w:val="00AE2FF9"/>
    <w:rsid w:val="00AE3342"/>
    <w:rsid w:val="00AE33CD"/>
    <w:rsid w:val="00AE34CE"/>
    <w:rsid w:val="00AE34E1"/>
    <w:rsid w:val="00AE3500"/>
    <w:rsid w:val="00AE350D"/>
    <w:rsid w:val="00AE3615"/>
    <w:rsid w:val="00AE378E"/>
    <w:rsid w:val="00AE38C0"/>
    <w:rsid w:val="00AE38C4"/>
    <w:rsid w:val="00AE38ED"/>
    <w:rsid w:val="00AE39FC"/>
    <w:rsid w:val="00AE3A71"/>
    <w:rsid w:val="00AE3B98"/>
    <w:rsid w:val="00AE3E94"/>
    <w:rsid w:val="00AE3EF3"/>
    <w:rsid w:val="00AE3FC4"/>
    <w:rsid w:val="00AE3FFD"/>
    <w:rsid w:val="00AE4098"/>
    <w:rsid w:val="00AE40F2"/>
    <w:rsid w:val="00AE4241"/>
    <w:rsid w:val="00AE42B5"/>
    <w:rsid w:val="00AE4385"/>
    <w:rsid w:val="00AE43AB"/>
    <w:rsid w:val="00AE4425"/>
    <w:rsid w:val="00AE44E5"/>
    <w:rsid w:val="00AE49F3"/>
    <w:rsid w:val="00AE4B94"/>
    <w:rsid w:val="00AE4E96"/>
    <w:rsid w:val="00AE4EC8"/>
    <w:rsid w:val="00AE51A0"/>
    <w:rsid w:val="00AE53B8"/>
    <w:rsid w:val="00AE5415"/>
    <w:rsid w:val="00AE543A"/>
    <w:rsid w:val="00AE548A"/>
    <w:rsid w:val="00AE576B"/>
    <w:rsid w:val="00AE5CAC"/>
    <w:rsid w:val="00AE5CBD"/>
    <w:rsid w:val="00AE5CCC"/>
    <w:rsid w:val="00AE5E58"/>
    <w:rsid w:val="00AE5E8F"/>
    <w:rsid w:val="00AE5F8C"/>
    <w:rsid w:val="00AE5F9A"/>
    <w:rsid w:val="00AE5FAE"/>
    <w:rsid w:val="00AE60CC"/>
    <w:rsid w:val="00AE60E7"/>
    <w:rsid w:val="00AE6179"/>
    <w:rsid w:val="00AE636E"/>
    <w:rsid w:val="00AE643F"/>
    <w:rsid w:val="00AE6474"/>
    <w:rsid w:val="00AE6511"/>
    <w:rsid w:val="00AE65CA"/>
    <w:rsid w:val="00AE67C2"/>
    <w:rsid w:val="00AE6837"/>
    <w:rsid w:val="00AE6931"/>
    <w:rsid w:val="00AE6998"/>
    <w:rsid w:val="00AE6BC0"/>
    <w:rsid w:val="00AE6E2D"/>
    <w:rsid w:val="00AE6E61"/>
    <w:rsid w:val="00AE6EC6"/>
    <w:rsid w:val="00AE6F62"/>
    <w:rsid w:val="00AE7009"/>
    <w:rsid w:val="00AE708A"/>
    <w:rsid w:val="00AE70DA"/>
    <w:rsid w:val="00AE7176"/>
    <w:rsid w:val="00AE73D6"/>
    <w:rsid w:val="00AE73E7"/>
    <w:rsid w:val="00AE751C"/>
    <w:rsid w:val="00AE7520"/>
    <w:rsid w:val="00AE7529"/>
    <w:rsid w:val="00AE76AF"/>
    <w:rsid w:val="00AE76FD"/>
    <w:rsid w:val="00AE7787"/>
    <w:rsid w:val="00AE77DF"/>
    <w:rsid w:val="00AE7859"/>
    <w:rsid w:val="00AE78E3"/>
    <w:rsid w:val="00AE797B"/>
    <w:rsid w:val="00AE7A13"/>
    <w:rsid w:val="00AE7ABA"/>
    <w:rsid w:val="00AE7B20"/>
    <w:rsid w:val="00AE7B24"/>
    <w:rsid w:val="00AE7CC2"/>
    <w:rsid w:val="00AE7D84"/>
    <w:rsid w:val="00AE7F15"/>
    <w:rsid w:val="00AF028F"/>
    <w:rsid w:val="00AF03F5"/>
    <w:rsid w:val="00AF049A"/>
    <w:rsid w:val="00AF04EE"/>
    <w:rsid w:val="00AF0546"/>
    <w:rsid w:val="00AF069E"/>
    <w:rsid w:val="00AF0702"/>
    <w:rsid w:val="00AF099B"/>
    <w:rsid w:val="00AF0A1B"/>
    <w:rsid w:val="00AF0C4B"/>
    <w:rsid w:val="00AF0CD9"/>
    <w:rsid w:val="00AF1015"/>
    <w:rsid w:val="00AF126C"/>
    <w:rsid w:val="00AF1449"/>
    <w:rsid w:val="00AF1465"/>
    <w:rsid w:val="00AF15B9"/>
    <w:rsid w:val="00AF163E"/>
    <w:rsid w:val="00AF1894"/>
    <w:rsid w:val="00AF1997"/>
    <w:rsid w:val="00AF19B6"/>
    <w:rsid w:val="00AF1A7D"/>
    <w:rsid w:val="00AF1BDB"/>
    <w:rsid w:val="00AF1C69"/>
    <w:rsid w:val="00AF1D75"/>
    <w:rsid w:val="00AF203A"/>
    <w:rsid w:val="00AF2069"/>
    <w:rsid w:val="00AF2344"/>
    <w:rsid w:val="00AF24A9"/>
    <w:rsid w:val="00AF2501"/>
    <w:rsid w:val="00AF25FB"/>
    <w:rsid w:val="00AF2600"/>
    <w:rsid w:val="00AF2615"/>
    <w:rsid w:val="00AF26C3"/>
    <w:rsid w:val="00AF2707"/>
    <w:rsid w:val="00AF27E8"/>
    <w:rsid w:val="00AF299B"/>
    <w:rsid w:val="00AF29A4"/>
    <w:rsid w:val="00AF2A0B"/>
    <w:rsid w:val="00AF2A85"/>
    <w:rsid w:val="00AF2BB0"/>
    <w:rsid w:val="00AF2C93"/>
    <w:rsid w:val="00AF2E77"/>
    <w:rsid w:val="00AF30AC"/>
    <w:rsid w:val="00AF316E"/>
    <w:rsid w:val="00AF3503"/>
    <w:rsid w:val="00AF3571"/>
    <w:rsid w:val="00AF3579"/>
    <w:rsid w:val="00AF3675"/>
    <w:rsid w:val="00AF3756"/>
    <w:rsid w:val="00AF381D"/>
    <w:rsid w:val="00AF3832"/>
    <w:rsid w:val="00AF38C7"/>
    <w:rsid w:val="00AF3A51"/>
    <w:rsid w:val="00AF3AC1"/>
    <w:rsid w:val="00AF3ADF"/>
    <w:rsid w:val="00AF3AED"/>
    <w:rsid w:val="00AF3BF2"/>
    <w:rsid w:val="00AF3C6B"/>
    <w:rsid w:val="00AF3E08"/>
    <w:rsid w:val="00AF400D"/>
    <w:rsid w:val="00AF40F8"/>
    <w:rsid w:val="00AF4162"/>
    <w:rsid w:val="00AF44BC"/>
    <w:rsid w:val="00AF45A2"/>
    <w:rsid w:val="00AF477B"/>
    <w:rsid w:val="00AF47AA"/>
    <w:rsid w:val="00AF4823"/>
    <w:rsid w:val="00AF4866"/>
    <w:rsid w:val="00AF4891"/>
    <w:rsid w:val="00AF4942"/>
    <w:rsid w:val="00AF4AAE"/>
    <w:rsid w:val="00AF4B0C"/>
    <w:rsid w:val="00AF4F09"/>
    <w:rsid w:val="00AF4F99"/>
    <w:rsid w:val="00AF515D"/>
    <w:rsid w:val="00AF5442"/>
    <w:rsid w:val="00AF5570"/>
    <w:rsid w:val="00AF559D"/>
    <w:rsid w:val="00AF55D3"/>
    <w:rsid w:val="00AF55FD"/>
    <w:rsid w:val="00AF56E0"/>
    <w:rsid w:val="00AF5719"/>
    <w:rsid w:val="00AF579D"/>
    <w:rsid w:val="00AF592F"/>
    <w:rsid w:val="00AF5F1B"/>
    <w:rsid w:val="00AF5F21"/>
    <w:rsid w:val="00AF5F5A"/>
    <w:rsid w:val="00AF6288"/>
    <w:rsid w:val="00AF62B5"/>
    <w:rsid w:val="00AF6369"/>
    <w:rsid w:val="00AF63D4"/>
    <w:rsid w:val="00AF6413"/>
    <w:rsid w:val="00AF66B2"/>
    <w:rsid w:val="00AF67E5"/>
    <w:rsid w:val="00AF68EE"/>
    <w:rsid w:val="00AF6B0A"/>
    <w:rsid w:val="00AF6C05"/>
    <w:rsid w:val="00AF6CED"/>
    <w:rsid w:val="00AF6D1E"/>
    <w:rsid w:val="00AF6D59"/>
    <w:rsid w:val="00AF6E49"/>
    <w:rsid w:val="00AF73AB"/>
    <w:rsid w:val="00AF73EF"/>
    <w:rsid w:val="00AF7826"/>
    <w:rsid w:val="00AF7973"/>
    <w:rsid w:val="00AF7AD3"/>
    <w:rsid w:val="00AF7B7A"/>
    <w:rsid w:val="00AF7C7A"/>
    <w:rsid w:val="00AF7DC8"/>
    <w:rsid w:val="00AF7F18"/>
    <w:rsid w:val="00AF7FB9"/>
    <w:rsid w:val="00AF7FD9"/>
    <w:rsid w:val="00B00084"/>
    <w:rsid w:val="00B0008B"/>
    <w:rsid w:val="00B000C9"/>
    <w:rsid w:val="00B00162"/>
    <w:rsid w:val="00B00170"/>
    <w:rsid w:val="00B0025A"/>
    <w:rsid w:val="00B003A8"/>
    <w:rsid w:val="00B00597"/>
    <w:rsid w:val="00B0076D"/>
    <w:rsid w:val="00B00770"/>
    <w:rsid w:val="00B007AF"/>
    <w:rsid w:val="00B00A22"/>
    <w:rsid w:val="00B00AA0"/>
    <w:rsid w:val="00B00AC3"/>
    <w:rsid w:val="00B00ACA"/>
    <w:rsid w:val="00B00B64"/>
    <w:rsid w:val="00B00BA4"/>
    <w:rsid w:val="00B00BD2"/>
    <w:rsid w:val="00B00CAA"/>
    <w:rsid w:val="00B00CEB"/>
    <w:rsid w:val="00B00D9B"/>
    <w:rsid w:val="00B00DA1"/>
    <w:rsid w:val="00B00DE0"/>
    <w:rsid w:val="00B00EFD"/>
    <w:rsid w:val="00B010BA"/>
    <w:rsid w:val="00B01105"/>
    <w:rsid w:val="00B0155C"/>
    <w:rsid w:val="00B01563"/>
    <w:rsid w:val="00B01631"/>
    <w:rsid w:val="00B0170A"/>
    <w:rsid w:val="00B0182B"/>
    <w:rsid w:val="00B018D3"/>
    <w:rsid w:val="00B01A09"/>
    <w:rsid w:val="00B02015"/>
    <w:rsid w:val="00B02020"/>
    <w:rsid w:val="00B02024"/>
    <w:rsid w:val="00B02227"/>
    <w:rsid w:val="00B02323"/>
    <w:rsid w:val="00B02489"/>
    <w:rsid w:val="00B024B1"/>
    <w:rsid w:val="00B02628"/>
    <w:rsid w:val="00B0276D"/>
    <w:rsid w:val="00B027C6"/>
    <w:rsid w:val="00B028BC"/>
    <w:rsid w:val="00B028EC"/>
    <w:rsid w:val="00B02A19"/>
    <w:rsid w:val="00B02A49"/>
    <w:rsid w:val="00B02AB7"/>
    <w:rsid w:val="00B02BFC"/>
    <w:rsid w:val="00B02E2A"/>
    <w:rsid w:val="00B02FAF"/>
    <w:rsid w:val="00B03175"/>
    <w:rsid w:val="00B033B1"/>
    <w:rsid w:val="00B034CF"/>
    <w:rsid w:val="00B03611"/>
    <w:rsid w:val="00B03791"/>
    <w:rsid w:val="00B037AE"/>
    <w:rsid w:val="00B0381A"/>
    <w:rsid w:val="00B03872"/>
    <w:rsid w:val="00B039EF"/>
    <w:rsid w:val="00B03A0F"/>
    <w:rsid w:val="00B03AA2"/>
    <w:rsid w:val="00B03AF8"/>
    <w:rsid w:val="00B03BAB"/>
    <w:rsid w:val="00B03E65"/>
    <w:rsid w:val="00B03E8B"/>
    <w:rsid w:val="00B03FED"/>
    <w:rsid w:val="00B04049"/>
    <w:rsid w:val="00B04198"/>
    <w:rsid w:val="00B041B6"/>
    <w:rsid w:val="00B043A6"/>
    <w:rsid w:val="00B046EF"/>
    <w:rsid w:val="00B0476B"/>
    <w:rsid w:val="00B04827"/>
    <w:rsid w:val="00B04839"/>
    <w:rsid w:val="00B0487A"/>
    <w:rsid w:val="00B04A70"/>
    <w:rsid w:val="00B04A97"/>
    <w:rsid w:val="00B04ACB"/>
    <w:rsid w:val="00B04B51"/>
    <w:rsid w:val="00B04B95"/>
    <w:rsid w:val="00B04C1F"/>
    <w:rsid w:val="00B04C6E"/>
    <w:rsid w:val="00B04C8F"/>
    <w:rsid w:val="00B04CD9"/>
    <w:rsid w:val="00B04CEA"/>
    <w:rsid w:val="00B04CF0"/>
    <w:rsid w:val="00B04D83"/>
    <w:rsid w:val="00B04E4D"/>
    <w:rsid w:val="00B04F3A"/>
    <w:rsid w:val="00B04FEA"/>
    <w:rsid w:val="00B05126"/>
    <w:rsid w:val="00B05167"/>
    <w:rsid w:val="00B05284"/>
    <w:rsid w:val="00B052B1"/>
    <w:rsid w:val="00B05378"/>
    <w:rsid w:val="00B053A2"/>
    <w:rsid w:val="00B0544D"/>
    <w:rsid w:val="00B055C4"/>
    <w:rsid w:val="00B05734"/>
    <w:rsid w:val="00B05757"/>
    <w:rsid w:val="00B057F7"/>
    <w:rsid w:val="00B0591F"/>
    <w:rsid w:val="00B05A74"/>
    <w:rsid w:val="00B05AED"/>
    <w:rsid w:val="00B05D51"/>
    <w:rsid w:val="00B05D5E"/>
    <w:rsid w:val="00B05F81"/>
    <w:rsid w:val="00B06129"/>
    <w:rsid w:val="00B062CE"/>
    <w:rsid w:val="00B063D0"/>
    <w:rsid w:val="00B06408"/>
    <w:rsid w:val="00B06698"/>
    <w:rsid w:val="00B067FA"/>
    <w:rsid w:val="00B06811"/>
    <w:rsid w:val="00B06ACF"/>
    <w:rsid w:val="00B06CFA"/>
    <w:rsid w:val="00B06D3C"/>
    <w:rsid w:val="00B06F6D"/>
    <w:rsid w:val="00B07276"/>
    <w:rsid w:val="00B07340"/>
    <w:rsid w:val="00B0735E"/>
    <w:rsid w:val="00B073E3"/>
    <w:rsid w:val="00B073F5"/>
    <w:rsid w:val="00B07527"/>
    <w:rsid w:val="00B078BE"/>
    <w:rsid w:val="00B07B73"/>
    <w:rsid w:val="00B07B8F"/>
    <w:rsid w:val="00B07C52"/>
    <w:rsid w:val="00B07D05"/>
    <w:rsid w:val="00B07E33"/>
    <w:rsid w:val="00B07EE0"/>
    <w:rsid w:val="00B07FC9"/>
    <w:rsid w:val="00B101CB"/>
    <w:rsid w:val="00B104F4"/>
    <w:rsid w:val="00B10558"/>
    <w:rsid w:val="00B10629"/>
    <w:rsid w:val="00B10635"/>
    <w:rsid w:val="00B10666"/>
    <w:rsid w:val="00B10676"/>
    <w:rsid w:val="00B10780"/>
    <w:rsid w:val="00B107B3"/>
    <w:rsid w:val="00B108BE"/>
    <w:rsid w:val="00B10B0E"/>
    <w:rsid w:val="00B10DE3"/>
    <w:rsid w:val="00B10E1F"/>
    <w:rsid w:val="00B10E25"/>
    <w:rsid w:val="00B10EC3"/>
    <w:rsid w:val="00B110DE"/>
    <w:rsid w:val="00B110F5"/>
    <w:rsid w:val="00B1111E"/>
    <w:rsid w:val="00B111FE"/>
    <w:rsid w:val="00B112EA"/>
    <w:rsid w:val="00B113FB"/>
    <w:rsid w:val="00B11639"/>
    <w:rsid w:val="00B116AE"/>
    <w:rsid w:val="00B1172D"/>
    <w:rsid w:val="00B1182E"/>
    <w:rsid w:val="00B11893"/>
    <w:rsid w:val="00B118CE"/>
    <w:rsid w:val="00B11945"/>
    <w:rsid w:val="00B119A4"/>
    <w:rsid w:val="00B119E2"/>
    <w:rsid w:val="00B11A04"/>
    <w:rsid w:val="00B11C0E"/>
    <w:rsid w:val="00B11C36"/>
    <w:rsid w:val="00B11F73"/>
    <w:rsid w:val="00B1219A"/>
    <w:rsid w:val="00B121CE"/>
    <w:rsid w:val="00B12203"/>
    <w:rsid w:val="00B1227A"/>
    <w:rsid w:val="00B12340"/>
    <w:rsid w:val="00B123C2"/>
    <w:rsid w:val="00B123D0"/>
    <w:rsid w:val="00B1258E"/>
    <w:rsid w:val="00B1273B"/>
    <w:rsid w:val="00B128B0"/>
    <w:rsid w:val="00B128FA"/>
    <w:rsid w:val="00B12DCE"/>
    <w:rsid w:val="00B12F71"/>
    <w:rsid w:val="00B1333F"/>
    <w:rsid w:val="00B1340C"/>
    <w:rsid w:val="00B13648"/>
    <w:rsid w:val="00B136AA"/>
    <w:rsid w:val="00B1383C"/>
    <w:rsid w:val="00B13945"/>
    <w:rsid w:val="00B13B22"/>
    <w:rsid w:val="00B13B36"/>
    <w:rsid w:val="00B13C1A"/>
    <w:rsid w:val="00B13CB6"/>
    <w:rsid w:val="00B13D8E"/>
    <w:rsid w:val="00B13DC0"/>
    <w:rsid w:val="00B13F71"/>
    <w:rsid w:val="00B13FAE"/>
    <w:rsid w:val="00B1405E"/>
    <w:rsid w:val="00B141B4"/>
    <w:rsid w:val="00B14206"/>
    <w:rsid w:val="00B14211"/>
    <w:rsid w:val="00B14481"/>
    <w:rsid w:val="00B14498"/>
    <w:rsid w:val="00B144E7"/>
    <w:rsid w:val="00B145EE"/>
    <w:rsid w:val="00B14669"/>
    <w:rsid w:val="00B1473B"/>
    <w:rsid w:val="00B147AF"/>
    <w:rsid w:val="00B147D3"/>
    <w:rsid w:val="00B14AE9"/>
    <w:rsid w:val="00B14B51"/>
    <w:rsid w:val="00B14BAF"/>
    <w:rsid w:val="00B14F96"/>
    <w:rsid w:val="00B150F6"/>
    <w:rsid w:val="00B151AE"/>
    <w:rsid w:val="00B15219"/>
    <w:rsid w:val="00B1523A"/>
    <w:rsid w:val="00B15285"/>
    <w:rsid w:val="00B15401"/>
    <w:rsid w:val="00B1541B"/>
    <w:rsid w:val="00B15442"/>
    <w:rsid w:val="00B15497"/>
    <w:rsid w:val="00B155D2"/>
    <w:rsid w:val="00B15723"/>
    <w:rsid w:val="00B15788"/>
    <w:rsid w:val="00B15821"/>
    <w:rsid w:val="00B1585D"/>
    <w:rsid w:val="00B158F3"/>
    <w:rsid w:val="00B15989"/>
    <w:rsid w:val="00B15AA3"/>
    <w:rsid w:val="00B15C97"/>
    <w:rsid w:val="00B15CDE"/>
    <w:rsid w:val="00B15D84"/>
    <w:rsid w:val="00B15E6D"/>
    <w:rsid w:val="00B161A3"/>
    <w:rsid w:val="00B16239"/>
    <w:rsid w:val="00B16294"/>
    <w:rsid w:val="00B16427"/>
    <w:rsid w:val="00B165D4"/>
    <w:rsid w:val="00B1686F"/>
    <w:rsid w:val="00B16B4E"/>
    <w:rsid w:val="00B16BB0"/>
    <w:rsid w:val="00B16CE4"/>
    <w:rsid w:val="00B16ED3"/>
    <w:rsid w:val="00B16FBC"/>
    <w:rsid w:val="00B1702D"/>
    <w:rsid w:val="00B170CA"/>
    <w:rsid w:val="00B17197"/>
    <w:rsid w:val="00B1728C"/>
    <w:rsid w:val="00B172B9"/>
    <w:rsid w:val="00B17307"/>
    <w:rsid w:val="00B173F1"/>
    <w:rsid w:val="00B17469"/>
    <w:rsid w:val="00B17703"/>
    <w:rsid w:val="00B17813"/>
    <w:rsid w:val="00B178DB"/>
    <w:rsid w:val="00B17AC7"/>
    <w:rsid w:val="00B17CAF"/>
    <w:rsid w:val="00B17CDF"/>
    <w:rsid w:val="00B17E8C"/>
    <w:rsid w:val="00B17EF6"/>
    <w:rsid w:val="00B202E8"/>
    <w:rsid w:val="00B202F0"/>
    <w:rsid w:val="00B204A1"/>
    <w:rsid w:val="00B20538"/>
    <w:rsid w:val="00B20567"/>
    <w:rsid w:val="00B2058F"/>
    <w:rsid w:val="00B205A8"/>
    <w:rsid w:val="00B205F5"/>
    <w:rsid w:val="00B206A8"/>
    <w:rsid w:val="00B2089C"/>
    <w:rsid w:val="00B20AA1"/>
    <w:rsid w:val="00B20B1B"/>
    <w:rsid w:val="00B20BF4"/>
    <w:rsid w:val="00B20C39"/>
    <w:rsid w:val="00B20C5A"/>
    <w:rsid w:val="00B20C81"/>
    <w:rsid w:val="00B20D5B"/>
    <w:rsid w:val="00B20DCC"/>
    <w:rsid w:val="00B20F84"/>
    <w:rsid w:val="00B211E3"/>
    <w:rsid w:val="00B211E7"/>
    <w:rsid w:val="00B21289"/>
    <w:rsid w:val="00B212A1"/>
    <w:rsid w:val="00B215B7"/>
    <w:rsid w:val="00B216AE"/>
    <w:rsid w:val="00B21867"/>
    <w:rsid w:val="00B21980"/>
    <w:rsid w:val="00B219F6"/>
    <w:rsid w:val="00B219FC"/>
    <w:rsid w:val="00B21BBA"/>
    <w:rsid w:val="00B21CC1"/>
    <w:rsid w:val="00B21E43"/>
    <w:rsid w:val="00B21F06"/>
    <w:rsid w:val="00B21FBE"/>
    <w:rsid w:val="00B220D4"/>
    <w:rsid w:val="00B22122"/>
    <w:rsid w:val="00B2252E"/>
    <w:rsid w:val="00B2274A"/>
    <w:rsid w:val="00B227DE"/>
    <w:rsid w:val="00B228D2"/>
    <w:rsid w:val="00B22A18"/>
    <w:rsid w:val="00B22B30"/>
    <w:rsid w:val="00B22D3F"/>
    <w:rsid w:val="00B22E13"/>
    <w:rsid w:val="00B22E92"/>
    <w:rsid w:val="00B23048"/>
    <w:rsid w:val="00B230B1"/>
    <w:rsid w:val="00B23134"/>
    <w:rsid w:val="00B231C2"/>
    <w:rsid w:val="00B232A9"/>
    <w:rsid w:val="00B23343"/>
    <w:rsid w:val="00B23579"/>
    <w:rsid w:val="00B235AA"/>
    <w:rsid w:val="00B235F3"/>
    <w:rsid w:val="00B23617"/>
    <w:rsid w:val="00B2371F"/>
    <w:rsid w:val="00B2381F"/>
    <w:rsid w:val="00B2388A"/>
    <w:rsid w:val="00B23914"/>
    <w:rsid w:val="00B2395C"/>
    <w:rsid w:val="00B23C76"/>
    <w:rsid w:val="00B23CFF"/>
    <w:rsid w:val="00B23D5D"/>
    <w:rsid w:val="00B23DCA"/>
    <w:rsid w:val="00B23E29"/>
    <w:rsid w:val="00B23E2A"/>
    <w:rsid w:val="00B23EBD"/>
    <w:rsid w:val="00B23FF2"/>
    <w:rsid w:val="00B24003"/>
    <w:rsid w:val="00B24084"/>
    <w:rsid w:val="00B240B0"/>
    <w:rsid w:val="00B241A8"/>
    <w:rsid w:val="00B2420B"/>
    <w:rsid w:val="00B242F6"/>
    <w:rsid w:val="00B24382"/>
    <w:rsid w:val="00B24415"/>
    <w:rsid w:val="00B244D5"/>
    <w:rsid w:val="00B245B7"/>
    <w:rsid w:val="00B24669"/>
    <w:rsid w:val="00B247D2"/>
    <w:rsid w:val="00B247DE"/>
    <w:rsid w:val="00B2488C"/>
    <w:rsid w:val="00B24992"/>
    <w:rsid w:val="00B249E4"/>
    <w:rsid w:val="00B249FF"/>
    <w:rsid w:val="00B24AC9"/>
    <w:rsid w:val="00B24BF4"/>
    <w:rsid w:val="00B24CDB"/>
    <w:rsid w:val="00B24D2E"/>
    <w:rsid w:val="00B24D5E"/>
    <w:rsid w:val="00B24D6D"/>
    <w:rsid w:val="00B24DA1"/>
    <w:rsid w:val="00B2501A"/>
    <w:rsid w:val="00B25104"/>
    <w:rsid w:val="00B25115"/>
    <w:rsid w:val="00B251AB"/>
    <w:rsid w:val="00B25473"/>
    <w:rsid w:val="00B2552B"/>
    <w:rsid w:val="00B25885"/>
    <w:rsid w:val="00B25893"/>
    <w:rsid w:val="00B25B66"/>
    <w:rsid w:val="00B25B82"/>
    <w:rsid w:val="00B25BCD"/>
    <w:rsid w:val="00B25BD5"/>
    <w:rsid w:val="00B25C0A"/>
    <w:rsid w:val="00B25CAA"/>
    <w:rsid w:val="00B25DB8"/>
    <w:rsid w:val="00B25E84"/>
    <w:rsid w:val="00B25EC0"/>
    <w:rsid w:val="00B25F03"/>
    <w:rsid w:val="00B25F79"/>
    <w:rsid w:val="00B260B2"/>
    <w:rsid w:val="00B26644"/>
    <w:rsid w:val="00B2668D"/>
    <w:rsid w:val="00B26705"/>
    <w:rsid w:val="00B267A9"/>
    <w:rsid w:val="00B26850"/>
    <w:rsid w:val="00B26ACD"/>
    <w:rsid w:val="00B26DB4"/>
    <w:rsid w:val="00B26FC3"/>
    <w:rsid w:val="00B270F6"/>
    <w:rsid w:val="00B271C4"/>
    <w:rsid w:val="00B274E5"/>
    <w:rsid w:val="00B274E8"/>
    <w:rsid w:val="00B275E0"/>
    <w:rsid w:val="00B2763F"/>
    <w:rsid w:val="00B27724"/>
    <w:rsid w:val="00B27846"/>
    <w:rsid w:val="00B27B7C"/>
    <w:rsid w:val="00B27C42"/>
    <w:rsid w:val="00B27D5E"/>
    <w:rsid w:val="00B27D72"/>
    <w:rsid w:val="00B27FAC"/>
    <w:rsid w:val="00B3018D"/>
    <w:rsid w:val="00B3044A"/>
    <w:rsid w:val="00B3047A"/>
    <w:rsid w:val="00B30535"/>
    <w:rsid w:val="00B3056D"/>
    <w:rsid w:val="00B30867"/>
    <w:rsid w:val="00B30A08"/>
    <w:rsid w:val="00B30A85"/>
    <w:rsid w:val="00B30AE7"/>
    <w:rsid w:val="00B30B35"/>
    <w:rsid w:val="00B30D83"/>
    <w:rsid w:val="00B30EC8"/>
    <w:rsid w:val="00B30F15"/>
    <w:rsid w:val="00B31057"/>
    <w:rsid w:val="00B31229"/>
    <w:rsid w:val="00B312E1"/>
    <w:rsid w:val="00B31312"/>
    <w:rsid w:val="00B31407"/>
    <w:rsid w:val="00B314D2"/>
    <w:rsid w:val="00B315B9"/>
    <w:rsid w:val="00B3170E"/>
    <w:rsid w:val="00B31987"/>
    <w:rsid w:val="00B319D4"/>
    <w:rsid w:val="00B31B75"/>
    <w:rsid w:val="00B31CBC"/>
    <w:rsid w:val="00B31DE8"/>
    <w:rsid w:val="00B31EFB"/>
    <w:rsid w:val="00B32175"/>
    <w:rsid w:val="00B323C8"/>
    <w:rsid w:val="00B324C1"/>
    <w:rsid w:val="00B32626"/>
    <w:rsid w:val="00B3269C"/>
    <w:rsid w:val="00B3271F"/>
    <w:rsid w:val="00B32727"/>
    <w:rsid w:val="00B32795"/>
    <w:rsid w:val="00B32796"/>
    <w:rsid w:val="00B32891"/>
    <w:rsid w:val="00B328B3"/>
    <w:rsid w:val="00B32929"/>
    <w:rsid w:val="00B32BEC"/>
    <w:rsid w:val="00B32C1B"/>
    <w:rsid w:val="00B32D83"/>
    <w:rsid w:val="00B32DCE"/>
    <w:rsid w:val="00B32E0F"/>
    <w:rsid w:val="00B32F00"/>
    <w:rsid w:val="00B32F2F"/>
    <w:rsid w:val="00B32F63"/>
    <w:rsid w:val="00B333AB"/>
    <w:rsid w:val="00B333CC"/>
    <w:rsid w:val="00B335CF"/>
    <w:rsid w:val="00B335E2"/>
    <w:rsid w:val="00B33667"/>
    <w:rsid w:val="00B336FE"/>
    <w:rsid w:val="00B338B8"/>
    <w:rsid w:val="00B338EC"/>
    <w:rsid w:val="00B339DE"/>
    <w:rsid w:val="00B339EC"/>
    <w:rsid w:val="00B33ADE"/>
    <w:rsid w:val="00B33C0D"/>
    <w:rsid w:val="00B33EB0"/>
    <w:rsid w:val="00B34042"/>
    <w:rsid w:val="00B341CB"/>
    <w:rsid w:val="00B342AB"/>
    <w:rsid w:val="00B3434B"/>
    <w:rsid w:val="00B34437"/>
    <w:rsid w:val="00B34550"/>
    <w:rsid w:val="00B34881"/>
    <w:rsid w:val="00B34B98"/>
    <w:rsid w:val="00B34E91"/>
    <w:rsid w:val="00B350BB"/>
    <w:rsid w:val="00B35155"/>
    <w:rsid w:val="00B351BD"/>
    <w:rsid w:val="00B3537D"/>
    <w:rsid w:val="00B355A5"/>
    <w:rsid w:val="00B355FC"/>
    <w:rsid w:val="00B35733"/>
    <w:rsid w:val="00B357D3"/>
    <w:rsid w:val="00B3589C"/>
    <w:rsid w:val="00B35934"/>
    <w:rsid w:val="00B35A09"/>
    <w:rsid w:val="00B35C81"/>
    <w:rsid w:val="00B35D14"/>
    <w:rsid w:val="00B35D9B"/>
    <w:rsid w:val="00B35DAA"/>
    <w:rsid w:val="00B35DC4"/>
    <w:rsid w:val="00B35DD2"/>
    <w:rsid w:val="00B35ECE"/>
    <w:rsid w:val="00B35F90"/>
    <w:rsid w:val="00B3602D"/>
    <w:rsid w:val="00B36157"/>
    <w:rsid w:val="00B36162"/>
    <w:rsid w:val="00B36332"/>
    <w:rsid w:val="00B363A7"/>
    <w:rsid w:val="00B36573"/>
    <w:rsid w:val="00B3674D"/>
    <w:rsid w:val="00B36759"/>
    <w:rsid w:val="00B36795"/>
    <w:rsid w:val="00B36A3A"/>
    <w:rsid w:val="00B36C61"/>
    <w:rsid w:val="00B36FDE"/>
    <w:rsid w:val="00B37120"/>
    <w:rsid w:val="00B37176"/>
    <w:rsid w:val="00B37280"/>
    <w:rsid w:val="00B377BC"/>
    <w:rsid w:val="00B3787C"/>
    <w:rsid w:val="00B37887"/>
    <w:rsid w:val="00B378C9"/>
    <w:rsid w:val="00B3795D"/>
    <w:rsid w:val="00B37980"/>
    <w:rsid w:val="00B37998"/>
    <w:rsid w:val="00B37A2B"/>
    <w:rsid w:val="00B37A74"/>
    <w:rsid w:val="00B37B98"/>
    <w:rsid w:val="00B37BFD"/>
    <w:rsid w:val="00B37C66"/>
    <w:rsid w:val="00B37D02"/>
    <w:rsid w:val="00B37D30"/>
    <w:rsid w:val="00B37D71"/>
    <w:rsid w:val="00B37E84"/>
    <w:rsid w:val="00B40106"/>
    <w:rsid w:val="00B403D7"/>
    <w:rsid w:val="00B40500"/>
    <w:rsid w:val="00B4058B"/>
    <w:rsid w:val="00B4065F"/>
    <w:rsid w:val="00B407A7"/>
    <w:rsid w:val="00B40821"/>
    <w:rsid w:val="00B4082D"/>
    <w:rsid w:val="00B409E0"/>
    <w:rsid w:val="00B40B5C"/>
    <w:rsid w:val="00B40E24"/>
    <w:rsid w:val="00B40F31"/>
    <w:rsid w:val="00B41070"/>
    <w:rsid w:val="00B4109D"/>
    <w:rsid w:val="00B41165"/>
    <w:rsid w:val="00B41580"/>
    <w:rsid w:val="00B416B5"/>
    <w:rsid w:val="00B416F7"/>
    <w:rsid w:val="00B418C0"/>
    <w:rsid w:val="00B41991"/>
    <w:rsid w:val="00B419FF"/>
    <w:rsid w:val="00B41A04"/>
    <w:rsid w:val="00B41A9E"/>
    <w:rsid w:val="00B41AA2"/>
    <w:rsid w:val="00B41B44"/>
    <w:rsid w:val="00B41BA1"/>
    <w:rsid w:val="00B41BAC"/>
    <w:rsid w:val="00B41CA8"/>
    <w:rsid w:val="00B41F40"/>
    <w:rsid w:val="00B420FF"/>
    <w:rsid w:val="00B42283"/>
    <w:rsid w:val="00B42288"/>
    <w:rsid w:val="00B422A6"/>
    <w:rsid w:val="00B4233B"/>
    <w:rsid w:val="00B4251D"/>
    <w:rsid w:val="00B42550"/>
    <w:rsid w:val="00B42799"/>
    <w:rsid w:val="00B42A4A"/>
    <w:rsid w:val="00B42C1F"/>
    <w:rsid w:val="00B42C9D"/>
    <w:rsid w:val="00B42FEC"/>
    <w:rsid w:val="00B42FFA"/>
    <w:rsid w:val="00B43297"/>
    <w:rsid w:val="00B432A9"/>
    <w:rsid w:val="00B433D8"/>
    <w:rsid w:val="00B434A0"/>
    <w:rsid w:val="00B43646"/>
    <w:rsid w:val="00B43678"/>
    <w:rsid w:val="00B43781"/>
    <w:rsid w:val="00B4383E"/>
    <w:rsid w:val="00B43957"/>
    <w:rsid w:val="00B439A0"/>
    <w:rsid w:val="00B43ADF"/>
    <w:rsid w:val="00B43B49"/>
    <w:rsid w:val="00B43BA8"/>
    <w:rsid w:val="00B43D4A"/>
    <w:rsid w:val="00B43E1B"/>
    <w:rsid w:val="00B43E56"/>
    <w:rsid w:val="00B43E5C"/>
    <w:rsid w:val="00B43F13"/>
    <w:rsid w:val="00B44225"/>
    <w:rsid w:val="00B443E5"/>
    <w:rsid w:val="00B444F4"/>
    <w:rsid w:val="00B4468E"/>
    <w:rsid w:val="00B44750"/>
    <w:rsid w:val="00B447E6"/>
    <w:rsid w:val="00B4481E"/>
    <w:rsid w:val="00B44994"/>
    <w:rsid w:val="00B449A3"/>
    <w:rsid w:val="00B44B2A"/>
    <w:rsid w:val="00B44D09"/>
    <w:rsid w:val="00B44DCF"/>
    <w:rsid w:val="00B44EF4"/>
    <w:rsid w:val="00B4504F"/>
    <w:rsid w:val="00B4518E"/>
    <w:rsid w:val="00B451CB"/>
    <w:rsid w:val="00B4520D"/>
    <w:rsid w:val="00B45352"/>
    <w:rsid w:val="00B45428"/>
    <w:rsid w:val="00B455A2"/>
    <w:rsid w:val="00B457AC"/>
    <w:rsid w:val="00B457E5"/>
    <w:rsid w:val="00B4591D"/>
    <w:rsid w:val="00B45955"/>
    <w:rsid w:val="00B45B6A"/>
    <w:rsid w:val="00B45DF6"/>
    <w:rsid w:val="00B45E60"/>
    <w:rsid w:val="00B45E9A"/>
    <w:rsid w:val="00B45FFC"/>
    <w:rsid w:val="00B461A9"/>
    <w:rsid w:val="00B461D7"/>
    <w:rsid w:val="00B46250"/>
    <w:rsid w:val="00B46337"/>
    <w:rsid w:val="00B46456"/>
    <w:rsid w:val="00B464BD"/>
    <w:rsid w:val="00B46557"/>
    <w:rsid w:val="00B4669A"/>
    <w:rsid w:val="00B46A50"/>
    <w:rsid w:val="00B46B0A"/>
    <w:rsid w:val="00B46C4B"/>
    <w:rsid w:val="00B46C91"/>
    <w:rsid w:val="00B46DFD"/>
    <w:rsid w:val="00B470C6"/>
    <w:rsid w:val="00B470FD"/>
    <w:rsid w:val="00B471DC"/>
    <w:rsid w:val="00B47209"/>
    <w:rsid w:val="00B47210"/>
    <w:rsid w:val="00B47346"/>
    <w:rsid w:val="00B474C2"/>
    <w:rsid w:val="00B4768E"/>
    <w:rsid w:val="00B4789B"/>
    <w:rsid w:val="00B47A50"/>
    <w:rsid w:val="00B47C52"/>
    <w:rsid w:val="00B47CA6"/>
    <w:rsid w:val="00B47CF1"/>
    <w:rsid w:val="00B47E0B"/>
    <w:rsid w:val="00B47F33"/>
    <w:rsid w:val="00B47F8C"/>
    <w:rsid w:val="00B50039"/>
    <w:rsid w:val="00B50041"/>
    <w:rsid w:val="00B5054C"/>
    <w:rsid w:val="00B5076E"/>
    <w:rsid w:val="00B507F7"/>
    <w:rsid w:val="00B508DC"/>
    <w:rsid w:val="00B50961"/>
    <w:rsid w:val="00B50968"/>
    <w:rsid w:val="00B50A91"/>
    <w:rsid w:val="00B50AED"/>
    <w:rsid w:val="00B50B51"/>
    <w:rsid w:val="00B50D8A"/>
    <w:rsid w:val="00B50DAE"/>
    <w:rsid w:val="00B50E19"/>
    <w:rsid w:val="00B50F88"/>
    <w:rsid w:val="00B510A7"/>
    <w:rsid w:val="00B510B8"/>
    <w:rsid w:val="00B51134"/>
    <w:rsid w:val="00B511AC"/>
    <w:rsid w:val="00B51241"/>
    <w:rsid w:val="00B512DB"/>
    <w:rsid w:val="00B51402"/>
    <w:rsid w:val="00B5144A"/>
    <w:rsid w:val="00B51561"/>
    <w:rsid w:val="00B51769"/>
    <w:rsid w:val="00B517AD"/>
    <w:rsid w:val="00B51B89"/>
    <w:rsid w:val="00B51C62"/>
    <w:rsid w:val="00B51D57"/>
    <w:rsid w:val="00B51D77"/>
    <w:rsid w:val="00B51D83"/>
    <w:rsid w:val="00B51EDD"/>
    <w:rsid w:val="00B521A6"/>
    <w:rsid w:val="00B521D5"/>
    <w:rsid w:val="00B521D9"/>
    <w:rsid w:val="00B5231D"/>
    <w:rsid w:val="00B523A9"/>
    <w:rsid w:val="00B523F7"/>
    <w:rsid w:val="00B524E9"/>
    <w:rsid w:val="00B526CA"/>
    <w:rsid w:val="00B52706"/>
    <w:rsid w:val="00B528FE"/>
    <w:rsid w:val="00B5293A"/>
    <w:rsid w:val="00B52987"/>
    <w:rsid w:val="00B52A88"/>
    <w:rsid w:val="00B52A8D"/>
    <w:rsid w:val="00B52A93"/>
    <w:rsid w:val="00B52C39"/>
    <w:rsid w:val="00B52C51"/>
    <w:rsid w:val="00B52D64"/>
    <w:rsid w:val="00B52D65"/>
    <w:rsid w:val="00B52DA8"/>
    <w:rsid w:val="00B52E3F"/>
    <w:rsid w:val="00B52EFD"/>
    <w:rsid w:val="00B5308B"/>
    <w:rsid w:val="00B53132"/>
    <w:rsid w:val="00B53202"/>
    <w:rsid w:val="00B53460"/>
    <w:rsid w:val="00B5350A"/>
    <w:rsid w:val="00B536FE"/>
    <w:rsid w:val="00B537CC"/>
    <w:rsid w:val="00B537FE"/>
    <w:rsid w:val="00B53884"/>
    <w:rsid w:val="00B538D2"/>
    <w:rsid w:val="00B53A0D"/>
    <w:rsid w:val="00B53B13"/>
    <w:rsid w:val="00B53CF8"/>
    <w:rsid w:val="00B53D1A"/>
    <w:rsid w:val="00B53D48"/>
    <w:rsid w:val="00B53E81"/>
    <w:rsid w:val="00B53F24"/>
    <w:rsid w:val="00B54061"/>
    <w:rsid w:val="00B540B7"/>
    <w:rsid w:val="00B541BF"/>
    <w:rsid w:val="00B54529"/>
    <w:rsid w:val="00B54687"/>
    <w:rsid w:val="00B546D7"/>
    <w:rsid w:val="00B548B0"/>
    <w:rsid w:val="00B54A32"/>
    <w:rsid w:val="00B54B70"/>
    <w:rsid w:val="00B54C55"/>
    <w:rsid w:val="00B54C96"/>
    <w:rsid w:val="00B54CEC"/>
    <w:rsid w:val="00B54D2C"/>
    <w:rsid w:val="00B54D4D"/>
    <w:rsid w:val="00B54EA5"/>
    <w:rsid w:val="00B5505B"/>
    <w:rsid w:val="00B550CA"/>
    <w:rsid w:val="00B5528D"/>
    <w:rsid w:val="00B552BD"/>
    <w:rsid w:val="00B552E0"/>
    <w:rsid w:val="00B55454"/>
    <w:rsid w:val="00B555D2"/>
    <w:rsid w:val="00B55913"/>
    <w:rsid w:val="00B55973"/>
    <w:rsid w:val="00B55B4D"/>
    <w:rsid w:val="00B55B4E"/>
    <w:rsid w:val="00B55B5E"/>
    <w:rsid w:val="00B55D0F"/>
    <w:rsid w:val="00B55D12"/>
    <w:rsid w:val="00B55DEC"/>
    <w:rsid w:val="00B55E2E"/>
    <w:rsid w:val="00B55E47"/>
    <w:rsid w:val="00B56241"/>
    <w:rsid w:val="00B5666E"/>
    <w:rsid w:val="00B5666F"/>
    <w:rsid w:val="00B56843"/>
    <w:rsid w:val="00B569AF"/>
    <w:rsid w:val="00B56A29"/>
    <w:rsid w:val="00B56A42"/>
    <w:rsid w:val="00B56B12"/>
    <w:rsid w:val="00B56EEC"/>
    <w:rsid w:val="00B57016"/>
    <w:rsid w:val="00B5727E"/>
    <w:rsid w:val="00B572AA"/>
    <w:rsid w:val="00B572AE"/>
    <w:rsid w:val="00B57331"/>
    <w:rsid w:val="00B574FE"/>
    <w:rsid w:val="00B5752D"/>
    <w:rsid w:val="00B575D3"/>
    <w:rsid w:val="00B5760F"/>
    <w:rsid w:val="00B578D4"/>
    <w:rsid w:val="00B57A86"/>
    <w:rsid w:val="00B57BFE"/>
    <w:rsid w:val="00B60195"/>
    <w:rsid w:val="00B6034C"/>
    <w:rsid w:val="00B603B5"/>
    <w:rsid w:val="00B606F5"/>
    <w:rsid w:val="00B60896"/>
    <w:rsid w:val="00B609E9"/>
    <w:rsid w:val="00B60A0E"/>
    <w:rsid w:val="00B60C62"/>
    <w:rsid w:val="00B60D2B"/>
    <w:rsid w:val="00B60D5A"/>
    <w:rsid w:val="00B60E5C"/>
    <w:rsid w:val="00B60FE5"/>
    <w:rsid w:val="00B61063"/>
    <w:rsid w:val="00B611B0"/>
    <w:rsid w:val="00B61317"/>
    <w:rsid w:val="00B61412"/>
    <w:rsid w:val="00B614C2"/>
    <w:rsid w:val="00B616AE"/>
    <w:rsid w:val="00B6173C"/>
    <w:rsid w:val="00B6177F"/>
    <w:rsid w:val="00B61B10"/>
    <w:rsid w:val="00B61B72"/>
    <w:rsid w:val="00B61D7F"/>
    <w:rsid w:val="00B61F42"/>
    <w:rsid w:val="00B61F65"/>
    <w:rsid w:val="00B62369"/>
    <w:rsid w:val="00B623D3"/>
    <w:rsid w:val="00B6254B"/>
    <w:rsid w:val="00B62610"/>
    <w:rsid w:val="00B626F2"/>
    <w:rsid w:val="00B626F4"/>
    <w:rsid w:val="00B62795"/>
    <w:rsid w:val="00B6295B"/>
    <w:rsid w:val="00B62BCB"/>
    <w:rsid w:val="00B62D36"/>
    <w:rsid w:val="00B62E16"/>
    <w:rsid w:val="00B63003"/>
    <w:rsid w:val="00B632A4"/>
    <w:rsid w:val="00B632E8"/>
    <w:rsid w:val="00B63337"/>
    <w:rsid w:val="00B633D0"/>
    <w:rsid w:val="00B635E6"/>
    <w:rsid w:val="00B6365D"/>
    <w:rsid w:val="00B63709"/>
    <w:rsid w:val="00B6386E"/>
    <w:rsid w:val="00B63887"/>
    <w:rsid w:val="00B638D6"/>
    <w:rsid w:val="00B638E7"/>
    <w:rsid w:val="00B639B5"/>
    <w:rsid w:val="00B63A14"/>
    <w:rsid w:val="00B63B54"/>
    <w:rsid w:val="00B63BAC"/>
    <w:rsid w:val="00B63CED"/>
    <w:rsid w:val="00B63D37"/>
    <w:rsid w:val="00B63EE6"/>
    <w:rsid w:val="00B63F30"/>
    <w:rsid w:val="00B63FA3"/>
    <w:rsid w:val="00B6426F"/>
    <w:rsid w:val="00B644D7"/>
    <w:rsid w:val="00B644F4"/>
    <w:rsid w:val="00B6455B"/>
    <w:rsid w:val="00B6458D"/>
    <w:rsid w:val="00B6482B"/>
    <w:rsid w:val="00B64858"/>
    <w:rsid w:val="00B648AC"/>
    <w:rsid w:val="00B64A7B"/>
    <w:rsid w:val="00B64BBE"/>
    <w:rsid w:val="00B64BCA"/>
    <w:rsid w:val="00B64BFD"/>
    <w:rsid w:val="00B64C4E"/>
    <w:rsid w:val="00B64CC4"/>
    <w:rsid w:val="00B64D9C"/>
    <w:rsid w:val="00B64DEA"/>
    <w:rsid w:val="00B64F2D"/>
    <w:rsid w:val="00B64F7E"/>
    <w:rsid w:val="00B6505F"/>
    <w:rsid w:val="00B65117"/>
    <w:rsid w:val="00B65181"/>
    <w:rsid w:val="00B651D1"/>
    <w:rsid w:val="00B6522E"/>
    <w:rsid w:val="00B65292"/>
    <w:rsid w:val="00B6539A"/>
    <w:rsid w:val="00B653CC"/>
    <w:rsid w:val="00B655DA"/>
    <w:rsid w:val="00B65724"/>
    <w:rsid w:val="00B6586D"/>
    <w:rsid w:val="00B65980"/>
    <w:rsid w:val="00B659AE"/>
    <w:rsid w:val="00B65DEB"/>
    <w:rsid w:val="00B660D6"/>
    <w:rsid w:val="00B661A2"/>
    <w:rsid w:val="00B661D8"/>
    <w:rsid w:val="00B662FB"/>
    <w:rsid w:val="00B66802"/>
    <w:rsid w:val="00B668B0"/>
    <w:rsid w:val="00B6693D"/>
    <w:rsid w:val="00B66AD0"/>
    <w:rsid w:val="00B66B6E"/>
    <w:rsid w:val="00B66B8E"/>
    <w:rsid w:val="00B66B97"/>
    <w:rsid w:val="00B66CD9"/>
    <w:rsid w:val="00B66E1B"/>
    <w:rsid w:val="00B66F24"/>
    <w:rsid w:val="00B67036"/>
    <w:rsid w:val="00B67150"/>
    <w:rsid w:val="00B671D2"/>
    <w:rsid w:val="00B6751B"/>
    <w:rsid w:val="00B67788"/>
    <w:rsid w:val="00B679DD"/>
    <w:rsid w:val="00B67C79"/>
    <w:rsid w:val="00B67D9F"/>
    <w:rsid w:val="00B67EA8"/>
    <w:rsid w:val="00B67F62"/>
    <w:rsid w:val="00B701CA"/>
    <w:rsid w:val="00B7030D"/>
    <w:rsid w:val="00B704D7"/>
    <w:rsid w:val="00B707A8"/>
    <w:rsid w:val="00B7081C"/>
    <w:rsid w:val="00B708BA"/>
    <w:rsid w:val="00B70A3C"/>
    <w:rsid w:val="00B70A49"/>
    <w:rsid w:val="00B70B80"/>
    <w:rsid w:val="00B70C77"/>
    <w:rsid w:val="00B70D3D"/>
    <w:rsid w:val="00B70D63"/>
    <w:rsid w:val="00B70E9E"/>
    <w:rsid w:val="00B70F1D"/>
    <w:rsid w:val="00B710D1"/>
    <w:rsid w:val="00B710E8"/>
    <w:rsid w:val="00B71286"/>
    <w:rsid w:val="00B713E5"/>
    <w:rsid w:val="00B714BC"/>
    <w:rsid w:val="00B7159F"/>
    <w:rsid w:val="00B7181A"/>
    <w:rsid w:val="00B7187D"/>
    <w:rsid w:val="00B7194B"/>
    <w:rsid w:val="00B7198B"/>
    <w:rsid w:val="00B71E0E"/>
    <w:rsid w:val="00B71F3D"/>
    <w:rsid w:val="00B720BE"/>
    <w:rsid w:val="00B720CF"/>
    <w:rsid w:val="00B72125"/>
    <w:rsid w:val="00B7225A"/>
    <w:rsid w:val="00B722E8"/>
    <w:rsid w:val="00B7235E"/>
    <w:rsid w:val="00B72440"/>
    <w:rsid w:val="00B727B4"/>
    <w:rsid w:val="00B728D1"/>
    <w:rsid w:val="00B728E7"/>
    <w:rsid w:val="00B72A4F"/>
    <w:rsid w:val="00B72E0E"/>
    <w:rsid w:val="00B72F29"/>
    <w:rsid w:val="00B72F93"/>
    <w:rsid w:val="00B7304A"/>
    <w:rsid w:val="00B730CE"/>
    <w:rsid w:val="00B730FF"/>
    <w:rsid w:val="00B7326D"/>
    <w:rsid w:val="00B7328E"/>
    <w:rsid w:val="00B733E3"/>
    <w:rsid w:val="00B73478"/>
    <w:rsid w:val="00B7377E"/>
    <w:rsid w:val="00B7385B"/>
    <w:rsid w:val="00B73B73"/>
    <w:rsid w:val="00B73BFD"/>
    <w:rsid w:val="00B73CC7"/>
    <w:rsid w:val="00B73DE2"/>
    <w:rsid w:val="00B73ED1"/>
    <w:rsid w:val="00B73F70"/>
    <w:rsid w:val="00B73F93"/>
    <w:rsid w:val="00B74170"/>
    <w:rsid w:val="00B74171"/>
    <w:rsid w:val="00B7419F"/>
    <w:rsid w:val="00B7437D"/>
    <w:rsid w:val="00B74384"/>
    <w:rsid w:val="00B744D1"/>
    <w:rsid w:val="00B745E9"/>
    <w:rsid w:val="00B7497D"/>
    <w:rsid w:val="00B74A2E"/>
    <w:rsid w:val="00B74A5D"/>
    <w:rsid w:val="00B74B78"/>
    <w:rsid w:val="00B74D0E"/>
    <w:rsid w:val="00B74D7C"/>
    <w:rsid w:val="00B74E64"/>
    <w:rsid w:val="00B74F57"/>
    <w:rsid w:val="00B7503C"/>
    <w:rsid w:val="00B752EE"/>
    <w:rsid w:val="00B753D1"/>
    <w:rsid w:val="00B755BA"/>
    <w:rsid w:val="00B7570C"/>
    <w:rsid w:val="00B75720"/>
    <w:rsid w:val="00B75890"/>
    <w:rsid w:val="00B7593A"/>
    <w:rsid w:val="00B75C63"/>
    <w:rsid w:val="00B75D1A"/>
    <w:rsid w:val="00B75DA0"/>
    <w:rsid w:val="00B75DF1"/>
    <w:rsid w:val="00B76082"/>
    <w:rsid w:val="00B76259"/>
    <w:rsid w:val="00B76405"/>
    <w:rsid w:val="00B7646F"/>
    <w:rsid w:val="00B76488"/>
    <w:rsid w:val="00B7650E"/>
    <w:rsid w:val="00B76532"/>
    <w:rsid w:val="00B76536"/>
    <w:rsid w:val="00B76643"/>
    <w:rsid w:val="00B76695"/>
    <w:rsid w:val="00B769FB"/>
    <w:rsid w:val="00B76A0F"/>
    <w:rsid w:val="00B76ABB"/>
    <w:rsid w:val="00B76B2D"/>
    <w:rsid w:val="00B76BA0"/>
    <w:rsid w:val="00B76C8C"/>
    <w:rsid w:val="00B76CB5"/>
    <w:rsid w:val="00B76CEC"/>
    <w:rsid w:val="00B76D6F"/>
    <w:rsid w:val="00B76E79"/>
    <w:rsid w:val="00B76FC1"/>
    <w:rsid w:val="00B770FF"/>
    <w:rsid w:val="00B771A3"/>
    <w:rsid w:val="00B772ED"/>
    <w:rsid w:val="00B77361"/>
    <w:rsid w:val="00B77461"/>
    <w:rsid w:val="00B7748D"/>
    <w:rsid w:val="00B774BA"/>
    <w:rsid w:val="00B775C3"/>
    <w:rsid w:val="00B77657"/>
    <w:rsid w:val="00B7766C"/>
    <w:rsid w:val="00B776B4"/>
    <w:rsid w:val="00B778DC"/>
    <w:rsid w:val="00B779DF"/>
    <w:rsid w:val="00B779EB"/>
    <w:rsid w:val="00B77DB1"/>
    <w:rsid w:val="00B77E2D"/>
    <w:rsid w:val="00B800F4"/>
    <w:rsid w:val="00B80150"/>
    <w:rsid w:val="00B80297"/>
    <w:rsid w:val="00B80471"/>
    <w:rsid w:val="00B80498"/>
    <w:rsid w:val="00B804A4"/>
    <w:rsid w:val="00B80576"/>
    <w:rsid w:val="00B806D3"/>
    <w:rsid w:val="00B80790"/>
    <w:rsid w:val="00B80832"/>
    <w:rsid w:val="00B808EF"/>
    <w:rsid w:val="00B80BBC"/>
    <w:rsid w:val="00B80BF5"/>
    <w:rsid w:val="00B80F67"/>
    <w:rsid w:val="00B80F9E"/>
    <w:rsid w:val="00B80FCF"/>
    <w:rsid w:val="00B8102A"/>
    <w:rsid w:val="00B81139"/>
    <w:rsid w:val="00B81266"/>
    <w:rsid w:val="00B814B8"/>
    <w:rsid w:val="00B81616"/>
    <w:rsid w:val="00B8176B"/>
    <w:rsid w:val="00B81847"/>
    <w:rsid w:val="00B81A64"/>
    <w:rsid w:val="00B81A66"/>
    <w:rsid w:val="00B81ACA"/>
    <w:rsid w:val="00B81E9B"/>
    <w:rsid w:val="00B8211F"/>
    <w:rsid w:val="00B8237F"/>
    <w:rsid w:val="00B82418"/>
    <w:rsid w:val="00B825EC"/>
    <w:rsid w:val="00B8267A"/>
    <w:rsid w:val="00B82826"/>
    <w:rsid w:val="00B829C3"/>
    <w:rsid w:val="00B829E2"/>
    <w:rsid w:val="00B82A01"/>
    <w:rsid w:val="00B82A25"/>
    <w:rsid w:val="00B82B2A"/>
    <w:rsid w:val="00B82C22"/>
    <w:rsid w:val="00B82C7C"/>
    <w:rsid w:val="00B82D6C"/>
    <w:rsid w:val="00B82DD7"/>
    <w:rsid w:val="00B82DDF"/>
    <w:rsid w:val="00B82EC6"/>
    <w:rsid w:val="00B82F8E"/>
    <w:rsid w:val="00B83523"/>
    <w:rsid w:val="00B83595"/>
    <w:rsid w:val="00B8373F"/>
    <w:rsid w:val="00B83746"/>
    <w:rsid w:val="00B83838"/>
    <w:rsid w:val="00B83842"/>
    <w:rsid w:val="00B83918"/>
    <w:rsid w:val="00B8391E"/>
    <w:rsid w:val="00B83A81"/>
    <w:rsid w:val="00B83AA6"/>
    <w:rsid w:val="00B83AF1"/>
    <w:rsid w:val="00B83CCB"/>
    <w:rsid w:val="00B84092"/>
    <w:rsid w:val="00B841C1"/>
    <w:rsid w:val="00B84201"/>
    <w:rsid w:val="00B842B7"/>
    <w:rsid w:val="00B8431D"/>
    <w:rsid w:val="00B84416"/>
    <w:rsid w:val="00B844BB"/>
    <w:rsid w:val="00B844F7"/>
    <w:rsid w:val="00B84621"/>
    <w:rsid w:val="00B84652"/>
    <w:rsid w:val="00B84681"/>
    <w:rsid w:val="00B846FB"/>
    <w:rsid w:val="00B847E1"/>
    <w:rsid w:val="00B849A1"/>
    <w:rsid w:val="00B84AAE"/>
    <w:rsid w:val="00B84ADF"/>
    <w:rsid w:val="00B84BF6"/>
    <w:rsid w:val="00B84CD4"/>
    <w:rsid w:val="00B84CE7"/>
    <w:rsid w:val="00B84D69"/>
    <w:rsid w:val="00B84EEC"/>
    <w:rsid w:val="00B85088"/>
    <w:rsid w:val="00B852CB"/>
    <w:rsid w:val="00B852EB"/>
    <w:rsid w:val="00B856D1"/>
    <w:rsid w:val="00B8583A"/>
    <w:rsid w:val="00B8584B"/>
    <w:rsid w:val="00B858AF"/>
    <w:rsid w:val="00B8594E"/>
    <w:rsid w:val="00B85A08"/>
    <w:rsid w:val="00B85C31"/>
    <w:rsid w:val="00B85CF2"/>
    <w:rsid w:val="00B85D23"/>
    <w:rsid w:val="00B85D2A"/>
    <w:rsid w:val="00B85E23"/>
    <w:rsid w:val="00B85F25"/>
    <w:rsid w:val="00B860DB"/>
    <w:rsid w:val="00B861B5"/>
    <w:rsid w:val="00B861C9"/>
    <w:rsid w:val="00B861E2"/>
    <w:rsid w:val="00B8622F"/>
    <w:rsid w:val="00B86380"/>
    <w:rsid w:val="00B864B0"/>
    <w:rsid w:val="00B864D7"/>
    <w:rsid w:val="00B867CE"/>
    <w:rsid w:val="00B86890"/>
    <w:rsid w:val="00B86A7B"/>
    <w:rsid w:val="00B86BB8"/>
    <w:rsid w:val="00B8701D"/>
    <w:rsid w:val="00B871E4"/>
    <w:rsid w:val="00B8754F"/>
    <w:rsid w:val="00B87687"/>
    <w:rsid w:val="00B8772C"/>
    <w:rsid w:val="00B87808"/>
    <w:rsid w:val="00B87880"/>
    <w:rsid w:val="00B878B3"/>
    <w:rsid w:val="00B878E5"/>
    <w:rsid w:val="00B87B9E"/>
    <w:rsid w:val="00B87C25"/>
    <w:rsid w:val="00B87E59"/>
    <w:rsid w:val="00B87EC4"/>
    <w:rsid w:val="00B87F03"/>
    <w:rsid w:val="00B87FE6"/>
    <w:rsid w:val="00B90118"/>
    <w:rsid w:val="00B902BD"/>
    <w:rsid w:val="00B90469"/>
    <w:rsid w:val="00B904B6"/>
    <w:rsid w:val="00B907A0"/>
    <w:rsid w:val="00B90AA6"/>
    <w:rsid w:val="00B90B9C"/>
    <w:rsid w:val="00B90E55"/>
    <w:rsid w:val="00B90FDB"/>
    <w:rsid w:val="00B91104"/>
    <w:rsid w:val="00B91174"/>
    <w:rsid w:val="00B912B7"/>
    <w:rsid w:val="00B91420"/>
    <w:rsid w:val="00B91477"/>
    <w:rsid w:val="00B914AB"/>
    <w:rsid w:val="00B915D3"/>
    <w:rsid w:val="00B918D5"/>
    <w:rsid w:val="00B918F6"/>
    <w:rsid w:val="00B91916"/>
    <w:rsid w:val="00B91BEA"/>
    <w:rsid w:val="00B91D3A"/>
    <w:rsid w:val="00B91E68"/>
    <w:rsid w:val="00B92201"/>
    <w:rsid w:val="00B9225F"/>
    <w:rsid w:val="00B92361"/>
    <w:rsid w:val="00B924DB"/>
    <w:rsid w:val="00B925CE"/>
    <w:rsid w:val="00B9271A"/>
    <w:rsid w:val="00B92774"/>
    <w:rsid w:val="00B92780"/>
    <w:rsid w:val="00B92839"/>
    <w:rsid w:val="00B92A0B"/>
    <w:rsid w:val="00B92AF2"/>
    <w:rsid w:val="00B92D0C"/>
    <w:rsid w:val="00B92D9A"/>
    <w:rsid w:val="00B92D9B"/>
    <w:rsid w:val="00B92E79"/>
    <w:rsid w:val="00B92F91"/>
    <w:rsid w:val="00B92FD7"/>
    <w:rsid w:val="00B931DD"/>
    <w:rsid w:val="00B93396"/>
    <w:rsid w:val="00B934DD"/>
    <w:rsid w:val="00B93604"/>
    <w:rsid w:val="00B937AB"/>
    <w:rsid w:val="00B937DB"/>
    <w:rsid w:val="00B9384B"/>
    <w:rsid w:val="00B93856"/>
    <w:rsid w:val="00B93893"/>
    <w:rsid w:val="00B939A8"/>
    <w:rsid w:val="00B939B5"/>
    <w:rsid w:val="00B93A07"/>
    <w:rsid w:val="00B93B1F"/>
    <w:rsid w:val="00B93BB3"/>
    <w:rsid w:val="00B93C6A"/>
    <w:rsid w:val="00B93CC3"/>
    <w:rsid w:val="00B93D4A"/>
    <w:rsid w:val="00B93DAE"/>
    <w:rsid w:val="00B93DF2"/>
    <w:rsid w:val="00B93F24"/>
    <w:rsid w:val="00B93F9C"/>
    <w:rsid w:val="00B940D9"/>
    <w:rsid w:val="00B94164"/>
    <w:rsid w:val="00B941A4"/>
    <w:rsid w:val="00B94254"/>
    <w:rsid w:val="00B942CE"/>
    <w:rsid w:val="00B94322"/>
    <w:rsid w:val="00B94598"/>
    <w:rsid w:val="00B94616"/>
    <w:rsid w:val="00B94694"/>
    <w:rsid w:val="00B94A76"/>
    <w:rsid w:val="00B94AA8"/>
    <w:rsid w:val="00B94B59"/>
    <w:rsid w:val="00B94C24"/>
    <w:rsid w:val="00B94E5F"/>
    <w:rsid w:val="00B94E8F"/>
    <w:rsid w:val="00B95148"/>
    <w:rsid w:val="00B95455"/>
    <w:rsid w:val="00B95517"/>
    <w:rsid w:val="00B95631"/>
    <w:rsid w:val="00B95658"/>
    <w:rsid w:val="00B9569E"/>
    <w:rsid w:val="00B9576C"/>
    <w:rsid w:val="00B958D1"/>
    <w:rsid w:val="00B95B6B"/>
    <w:rsid w:val="00B95B8D"/>
    <w:rsid w:val="00B95CA3"/>
    <w:rsid w:val="00B95D34"/>
    <w:rsid w:val="00B95DD1"/>
    <w:rsid w:val="00B95ED1"/>
    <w:rsid w:val="00B95FEF"/>
    <w:rsid w:val="00B96200"/>
    <w:rsid w:val="00B964C4"/>
    <w:rsid w:val="00B9662B"/>
    <w:rsid w:val="00B96656"/>
    <w:rsid w:val="00B96671"/>
    <w:rsid w:val="00B966FD"/>
    <w:rsid w:val="00B9673D"/>
    <w:rsid w:val="00B96767"/>
    <w:rsid w:val="00B968D5"/>
    <w:rsid w:val="00B96914"/>
    <w:rsid w:val="00B969B3"/>
    <w:rsid w:val="00B96A6A"/>
    <w:rsid w:val="00B96A70"/>
    <w:rsid w:val="00B96D21"/>
    <w:rsid w:val="00B96DE3"/>
    <w:rsid w:val="00B96E3B"/>
    <w:rsid w:val="00B96E5A"/>
    <w:rsid w:val="00B970E9"/>
    <w:rsid w:val="00B9727E"/>
    <w:rsid w:val="00B972F9"/>
    <w:rsid w:val="00B97335"/>
    <w:rsid w:val="00B9771F"/>
    <w:rsid w:val="00B97720"/>
    <w:rsid w:val="00B97757"/>
    <w:rsid w:val="00B97819"/>
    <w:rsid w:val="00B97A0E"/>
    <w:rsid w:val="00B97AF6"/>
    <w:rsid w:val="00B97D2D"/>
    <w:rsid w:val="00B97F15"/>
    <w:rsid w:val="00B97F79"/>
    <w:rsid w:val="00BA001A"/>
    <w:rsid w:val="00BA0164"/>
    <w:rsid w:val="00BA01F3"/>
    <w:rsid w:val="00BA027A"/>
    <w:rsid w:val="00BA037F"/>
    <w:rsid w:val="00BA0491"/>
    <w:rsid w:val="00BA05AD"/>
    <w:rsid w:val="00BA05EF"/>
    <w:rsid w:val="00BA0661"/>
    <w:rsid w:val="00BA0A0C"/>
    <w:rsid w:val="00BA0A82"/>
    <w:rsid w:val="00BA0C01"/>
    <w:rsid w:val="00BA0CCB"/>
    <w:rsid w:val="00BA0DC5"/>
    <w:rsid w:val="00BA0EB4"/>
    <w:rsid w:val="00BA0FED"/>
    <w:rsid w:val="00BA119D"/>
    <w:rsid w:val="00BA1422"/>
    <w:rsid w:val="00BA1580"/>
    <w:rsid w:val="00BA1592"/>
    <w:rsid w:val="00BA16FA"/>
    <w:rsid w:val="00BA174E"/>
    <w:rsid w:val="00BA17B0"/>
    <w:rsid w:val="00BA1816"/>
    <w:rsid w:val="00BA18C6"/>
    <w:rsid w:val="00BA1962"/>
    <w:rsid w:val="00BA1A11"/>
    <w:rsid w:val="00BA1A83"/>
    <w:rsid w:val="00BA1BAD"/>
    <w:rsid w:val="00BA1DF8"/>
    <w:rsid w:val="00BA2099"/>
    <w:rsid w:val="00BA21B3"/>
    <w:rsid w:val="00BA2264"/>
    <w:rsid w:val="00BA2285"/>
    <w:rsid w:val="00BA2442"/>
    <w:rsid w:val="00BA246C"/>
    <w:rsid w:val="00BA24AF"/>
    <w:rsid w:val="00BA2530"/>
    <w:rsid w:val="00BA263E"/>
    <w:rsid w:val="00BA26E4"/>
    <w:rsid w:val="00BA288F"/>
    <w:rsid w:val="00BA2A8F"/>
    <w:rsid w:val="00BA2B09"/>
    <w:rsid w:val="00BA2B5D"/>
    <w:rsid w:val="00BA2E55"/>
    <w:rsid w:val="00BA2EA9"/>
    <w:rsid w:val="00BA2EEC"/>
    <w:rsid w:val="00BA2FA0"/>
    <w:rsid w:val="00BA300E"/>
    <w:rsid w:val="00BA301A"/>
    <w:rsid w:val="00BA320C"/>
    <w:rsid w:val="00BA3228"/>
    <w:rsid w:val="00BA3243"/>
    <w:rsid w:val="00BA3276"/>
    <w:rsid w:val="00BA331E"/>
    <w:rsid w:val="00BA33E2"/>
    <w:rsid w:val="00BA353C"/>
    <w:rsid w:val="00BA3557"/>
    <w:rsid w:val="00BA384D"/>
    <w:rsid w:val="00BA3A95"/>
    <w:rsid w:val="00BA3B56"/>
    <w:rsid w:val="00BA3D1C"/>
    <w:rsid w:val="00BA3DA8"/>
    <w:rsid w:val="00BA409E"/>
    <w:rsid w:val="00BA4208"/>
    <w:rsid w:val="00BA43D8"/>
    <w:rsid w:val="00BA449E"/>
    <w:rsid w:val="00BA4673"/>
    <w:rsid w:val="00BA4679"/>
    <w:rsid w:val="00BA46D0"/>
    <w:rsid w:val="00BA4756"/>
    <w:rsid w:val="00BA4813"/>
    <w:rsid w:val="00BA4A16"/>
    <w:rsid w:val="00BA4C63"/>
    <w:rsid w:val="00BA4EE1"/>
    <w:rsid w:val="00BA4F26"/>
    <w:rsid w:val="00BA4FB2"/>
    <w:rsid w:val="00BA50BA"/>
    <w:rsid w:val="00BA510E"/>
    <w:rsid w:val="00BA52B5"/>
    <w:rsid w:val="00BA5429"/>
    <w:rsid w:val="00BA5505"/>
    <w:rsid w:val="00BA5558"/>
    <w:rsid w:val="00BA55A8"/>
    <w:rsid w:val="00BA5605"/>
    <w:rsid w:val="00BA589D"/>
    <w:rsid w:val="00BA5954"/>
    <w:rsid w:val="00BA598E"/>
    <w:rsid w:val="00BA59F8"/>
    <w:rsid w:val="00BA5D97"/>
    <w:rsid w:val="00BA5E4C"/>
    <w:rsid w:val="00BA5E97"/>
    <w:rsid w:val="00BA5F47"/>
    <w:rsid w:val="00BA607F"/>
    <w:rsid w:val="00BA624E"/>
    <w:rsid w:val="00BA64DF"/>
    <w:rsid w:val="00BA683A"/>
    <w:rsid w:val="00BA6870"/>
    <w:rsid w:val="00BA69AC"/>
    <w:rsid w:val="00BA69FD"/>
    <w:rsid w:val="00BA6B29"/>
    <w:rsid w:val="00BA6C38"/>
    <w:rsid w:val="00BA6D21"/>
    <w:rsid w:val="00BA6E14"/>
    <w:rsid w:val="00BA6E8F"/>
    <w:rsid w:val="00BA6EC8"/>
    <w:rsid w:val="00BA6F5D"/>
    <w:rsid w:val="00BA6FEE"/>
    <w:rsid w:val="00BA7026"/>
    <w:rsid w:val="00BA702E"/>
    <w:rsid w:val="00BA7253"/>
    <w:rsid w:val="00BA7391"/>
    <w:rsid w:val="00BA7580"/>
    <w:rsid w:val="00BA763A"/>
    <w:rsid w:val="00BA76C9"/>
    <w:rsid w:val="00BA79DF"/>
    <w:rsid w:val="00BA7A08"/>
    <w:rsid w:val="00BA7B63"/>
    <w:rsid w:val="00BA7BE7"/>
    <w:rsid w:val="00BA7D1B"/>
    <w:rsid w:val="00BA7F45"/>
    <w:rsid w:val="00BA7F93"/>
    <w:rsid w:val="00BA7FEB"/>
    <w:rsid w:val="00BB0001"/>
    <w:rsid w:val="00BB0030"/>
    <w:rsid w:val="00BB0290"/>
    <w:rsid w:val="00BB0342"/>
    <w:rsid w:val="00BB04A3"/>
    <w:rsid w:val="00BB04A9"/>
    <w:rsid w:val="00BB0506"/>
    <w:rsid w:val="00BB0516"/>
    <w:rsid w:val="00BB0675"/>
    <w:rsid w:val="00BB06D1"/>
    <w:rsid w:val="00BB09AF"/>
    <w:rsid w:val="00BB0B0B"/>
    <w:rsid w:val="00BB0B98"/>
    <w:rsid w:val="00BB0C4F"/>
    <w:rsid w:val="00BB0D4E"/>
    <w:rsid w:val="00BB0D9E"/>
    <w:rsid w:val="00BB0E59"/>
    <w:rsid w:val="00BB0EF5"/>
    <w:rsid w:val="00BB106B"/>
    <w:rsid w:val="00BB1261"/>
    <w:rsid w:val="00BB126C"/>
    <w:rsid w:val="00BB12F6"/>
    <w:rsid w:val="00BB1353"/>
    <w:rsid w:val="00BB136B"/>
    <w:rsid w:val="00BB1386"/>
    <w:rsid w:val="00BB176E"/>
    <w:rsid w:val="00BB1887"/>
    <w:rsid w:val="00BB19AD"/>
    <w:rsid w:val="00BB19FA"/>
    <w:rsid w:val="00BB1A51"/>
    <w:rsid w:val="00BB1C48"/>
    <w:rsid w:val="00BB1EAE"/>
    <w:rsid w:val="00BB1F14"/>
    <w:rsid w:val="00BB1FE3"/>
    <w:rsid w:val="00BB2254"/>
    <w:rsid w:val="00BB23D6"/>
    <w:rsid w:val="00BB2448"/>
    <w:rsid w:val="00BB24D5"/>
    <w:rsid w:val="00BB2588"/>
    <w:rsid w:val="00BB25C0"/>
    <w:rsid w:val="00BB2663"/>
    <w:rsid w:val="00BB2730"/>
    <w:rsid w:val="00BB2875"/>
    <w:rsid w:val="00BB28CE"/>
    <w:rsid w:val="00BB2922"/>
    <w:rsid w:val="00BB29F1"/>
    <w:rsid w:val="00BB2A63"/>
    <w:rsid w:val="00BB2B7F"/>
    <w:rsid w:val="00BB2CD9"/>
    <w:rsid w:val="00BB2CEB"/>
    <w:rsid w:val="00BB2DAA"/>
    <w:rsid w:val="00BB2DF1"/>
    <w:rsid w:val="00BB2E01"/>
    <w:rsid w:val="00BB2ED5"/>
    <w:rsid w:val="00BB2EE3"/>
    <w:rsid w:val="00BB3118"/>
    <w:rsid w:val="00BB31D4"/>
    <w:rsid w:val="00BB3230"/>
    <w:rsid w:val="00BB327B"/>
    <w:rsid w:val="00BB33CF"/>
    <w:rsid w:val="00BB34A2"/>
    <w:rsid w:val="00BB36B0"/>
    <w:rsid w:val="00BB373A"/>
    <w:rsid w:val="00BB3799"/>
    <w:rsid w:val="00BB384A"/>
    <w:rsid w:val="00BB3959"/>
    <w:rsid w:val="00BB39AA"/>
    <w:rsid w:val="00BB3A92"/>
    <w:rsid w:val="00BB3B3F"/>
    <w:rsid w:val="00BB3B86"/>
    <w:rsid w:val="00BB3D74"/>
    <w:rsid w:val="00BB3E73"/>
    <w:rsid w:val="00BB3F89"/>
    <w:rsid w:val="00BB40A3"/>
    <w:rsid w:val="00BB40EE"/>
    <w:rsid w:val="00BB41B4"/>
    <w:rsid w:val="00BB41CF"/>
    <w:rsid w:val="00BB422F"/>
    <w:rsid w:val="00BB423F"/>
    <w:rsid w:val="00BB42D1"/>
    <w:rsid w:val="00BB4377"/>
    <w:rsid w:val="00BB4474"/>
    <w:rsid w:val="00BB4876"/>
    <w:rsid w:val="00BB48EF"/>
    <w:rsid w:val="00BB494C"/>
    <w:rsid w:val="00BB49B4"/>
    <w:rsid w:val="00BB4CF4"/>
    <w:rsid w:val="00BB4D07"/>
    <w:rsid w:val="00BB4E3D"/>
    <w:rsid w:val="00BB5043"/>
    <w:rsid w:val="00BB5163"/>
    <w:rsid w:val="00BB51C1"/>
    <w:rsid w:val="00BB5280"/>
    <w:rsid w:val="00BB5396"/>
    <w:rsid w:val="00BB543D"/>
    <w:rsid w:val="00BB562E"/>
    <w:rsid w:val="00BB586F"/>
    <w:rsid w:val="00BB58DF"/>
    <w:rsid w:val="00BB59C4"/>
    <w:rsid w:val="00BB5A16"/>
    <w:rsid w:val="00BB5C90"/>
    <w:rsid w:val="00BB5CE7"/>
    <w:rsid w:val="00BB5F7F"/>
    <w:rsid w:val="00BB5F9B"/>
    <w:rsid w:val="00BB5FDB"/>
    <w:rsid w:val="00BB6021"/>
    <w:rsid w:val="00BB6057"/>
    <w:rsid w:val="00BB622C"/>
    <w:rsid w:val="00BB6324"/>
    <w:rsid w:val="00BB669E"/>
    <w:rsid w:val="00BB6A5F"/>
    <w:rsid w:val="00BB6B50"/>
    <w:rsid w:val="00BB6BC9"/>
    <w:rsid w:val="00BB6D3E"/>
    <w:rsid w:val="00BB6DFF"/>
    <w:rsid w:val="00BB6E89"/>
    <w:rsid w:val="00BB6FDD"/>
    <w:rsid w:val="00BB74BE"/>
    <w:rsid w:val="00BB7902"/>
    <w:rsid w:val="00BB7A2E"/>
    <w:rsid w:val="00BB7D82"/>
    <w:rsid w:val="00BC00C0"/>
    <w:rsid w:val="00BC00C2"/>
    <w:rsid w:val="00BC00C9"/>
    <w:rsid w:val="00BC0396"/>
    <w:rsid w:val="00BC04F8"/>
    <w:rsid w:val="00BC06C9"/>
    <w:rsid w:val="00BC0747"/>
    <w:rsid w:val="00BC07C9"/>
    <w:rsid w:val="00BC09C2"/>
    <w:rsid w:val="00BC09E3"/>
    <w:rsid w:val="00BC0A09"/>
    <w:rsid w:val="00BC0B1C"/>
    <w:rsid w:val="00BC102D"/>
    <w:rsid w:val="00BC1126"/>
    <w:rsid w:val="00BC1278"/>
    <w:rsid w:val="00BC12C8"/>
    <w:rsid w:val="00BC1318"/>
    <w:rsid w:val="00BC149C"/>
    <w:rsid w:val="00BC14D1"/>
    <w:rsid w:val="00BC169B"/>
    <w:rsid w:val="00BC17F4"/>
    <w:rsid w:val="00BC18FB"/>
    <w:rsid w:val="00BC1B1D"/>
    <w:rsid w:val="00BC1C4B"/>
    <w:rsid w:val="00BC1F55"/>
    <w:rsid w:val="00BC1F67"/>
    <w:rsid w:val="00BC20BC"/>
    <w:rsid w:val="00BC21BA"/>
    <w:rsid w:val="00BC2268"/>
    <w:rsid w:val="00BC2362"/>
    <w:rsid w:val="00BC23FC"/>
    <w:rsid w:val="00BC256E"/>
    <w:rsid w:val="00BC25A3"/>
    <w:rsid w:val="00BC2911"/>
    <w:rsid w:val="00BC2A08"/>
    <w:rsid w:val="00BC2AEC"/>
    <w:rsid w:val="00BC2BB0"/>
    <w:rsid w:val="00BC2C45"/>
    <w:rsid w:val="00BC2C6C"/>
    <w:rsid w:val="00BC2C7F"/>
    <w:rsid w:val="00BC2D5A"/>
    <w:rsid w:val="00BC2E42"/>
    <w:rsid w:val="00BC3037"/>
    <w:rsid w:val="00BC3059"/>
    <w:rsid w:val="00BC3150"/>
    <w:rsid w:val="00BC3295"/>
    <w:rsid w:val="00BC3470"/>
    <w:rsid w:val="00BC35B4"/>
    <w:rsid w:val="00BC3658"/>
    <w:rsid w:val="00BC36BA"/>
    <w:rsid w:val="00BC3702"/>
    <w:rsid w:val="00BC3782"/>
    <w:rsid w:val="00BC383F"/>
    <w:rsid w:val="00BC3A5E"/>
    <w:rsid w:val="00BC3B24"/>
    <w:rsid w:val="00BC3B49"/>
    <w:rsid w:val="00BC3B70"/>
    <w:rsid w:val="00BC3D5D"/>
    <w:rsid w:val="00BC3D7B"/>
    <w:rsid w:val="00BC3D89"/>
    <w:rsid w:val="00BC3F04"/>
    <w:rsid w:val="00BC3FAD"/>
    <w:rsid w:val="00BC3FF8"/>
    <w:rsid w:val="00BC40B1"/>
    <w:rsid w:val="00BC41DA"/>
    <w:rsid w:val="00BC4261"/>
    <w:rsid w:val="00BC430C"/>
    <w:rsid w:val="00BC4340"/>
    <w:rsid w:val="00BC463F"/>
    <w:rsid w:val="00BC47F7"/>
    <w:rsid w:val="00BC47F8"/>
    <w:rsid w:val="00BC492E"/>
    <w:rsid w:val="00BC4B63"/>
    <w:rsid w:val="00BC4BC2"/>
    <w:rsid w:val="00BC4CF4"/>
    <w:rsid w:val="00BC4F04"/>
    <w:rsid w:val="00BC4F0E"/>
    <w:rsid w:val="00BC5013"/>
    <w:rsid w:val="00BC50C8"/>
    <w:rsid w:val="00BC50F8"/>
    <w:rsid w:val="00BC51AB"/>
    <w:rsid w:val="00BC51BA"/>
    <w:rsid w:val="00BC5327"/>
    <w:rsid w:val="00BC53CC"/>
    <w:rsid w:val="00BC5543"/>
    <w:rsid w:val="00BC55A8"/>
    <w:rsid w:val="00BC5651"/>
    <w:rsid w:val="00BC56E2"/>
    <w:rsid w:val="00BC581F"/>
    <w:rsid w:val="00BC5A13"/>
    <w:rsid w:val="00BC5A38"/>
    <w:rsid w:val="00BC5AFD"/>
    <w:rsid w:val="00BC5B14"/>
    <w:rsid w:val="00BC5B39"/>
    <w:rsid w:val="00BC5B5C"/>
    <w:rsid w:val="00BC5D77"/>
    <w:rsid w:val="00BC5EDA"/>
    <w:rsid w:val="00BC6046"/>
    <w:rsid w:val="00BC6066"/>
    <w:rsid w:val="00BC6153"/>
    <w:rsid w:val="00BC61CD"/>
    <w:rsid w:val="00BC65C5"/>
    <w:rsid w:val="00BC6870"/>
    <w:rsid w:val="00BC6A62"/>
    <w:rsid w:val="00BC6A9D"/>
    <w:rsid w:val="00BC6D6D"/>
    <w:rsid w:val="00BC6D81"/>
    <w:rsid w:val="00BC6E88"/>
    <w:rsid w:val="00BC6EF0"/>
    <w:rsid w:val="00BC6F25"/>
    <w:rsid w:val="00BC6F5F"/>
    <w:rsid w:val="00BC6F70"/>
    <w:rsid w:val="00BC6FB7"/>
    <w:rsid w:val="00BC7070"/>
    <w:rsid w:val="00BC7098"/>
    <w:rsid w:val="00BC7217"/>
    <w:rsid w:val="00BC72A4"/>
    <w:rsid w:val="00BC72FB"/>
    <w:rsid w:val="00BC7321"/>
    <w:rsid w:val="00BC73D0"/>
    <w:rsid w:val="00BC74A2"/>
    <w:rsid w:val="00BC74B6"/>
    <w:rsid w:val="00BC7522"/>
    <w:rsid w:val="00BC754A"/>
    <w:rsid w:val="00BC762E"/>
    <w:rsid w:val="00BC7638"/>
    <w:rsid w:val="00BC7735"/>
    <w:rsid w:val="00BC776B"/>
    <w:rsid w:val="00BC798F"/>
    <w:rsid w:val="00BC7A0D"/>
    <w:rsid w:val="00BC7A43"/>
    <w:rsid w:val="00BC7A64"/>
    <w:rsid w:val="00BC7A7E"/>
    <w:rsid w:val="00BC7AEE"/>
    <w:rsid w:val="00BC7CB3"/>
    <w:rsid w:val="00BC7D27"/>
    <w:rsid w:val="00BC7D3F"/>
    <w:rsid w:val="00BC7DF7"/>
    <w:rsid w:val="00BC7E0C"/>
    <w:rsid w:val="00BC7FF7"/>
    <w:rsid w:val="00BC7FFB"/>
    <w:rsid w:val="00BD00E7"/>
    <w:rsid w:val="00BD0170"/>
    <w:rsid w:val="00BD028A"/>
    <w:rsid w:val="00BD02A7"/>
    <w:rsid w:val="00BD03FF"/>
    <w:rsid w:val="00BD044B"/>
    <w:rsid w:val="00BD068A"/>
    <w:rsid w:val="00BD087C"/>
    <w:rsid w:val="00BD0993"/>
    <w:rsid w:val="00BD0DAC"/>
    <w:rsid w:val="00BD0E06"/>
    <w:rsid w:val="00BD0E64"/>
    <w:rsid w:val="00BD0ED3"/>
    <w:rsid w:val="00BD0EF3"/>
    <w:rsid w:val="00BD0F97"/>
    <w:rsid w:val="00BD1016"/>
    <w:rsid w:val="00BD108D"/>
    <w:rsid w:val="00BD10EE"/>
    <w:rsid w:val="00BD1323"/>
    <w:rsid w:val="00BD1361"/>
    <w:rsid w:val="00BD13B2"/>
    <w:rsid w:val="00BD14AF"/>
    <w:rsid w:val="00BD14FA"/>
    <w:rsid w:val="00BD15C1"/>
    <w:rsid w:val="00BD1626"/>
    <w:rsid w:val="00BD162D"/>
    <w:rsid w:val="00BD1637"/>
    <w:rsid w:val="00BD1675"/>
    <w:rsid w:val="00BD1690"/>
    <w:rsid w:val="00BD17AE"/>
    <w:rsid w:val="00BD17DA"/>
    <w:rsid w:val="00BD1985"/>
    <w:rsid w:val="00BD1A38"/>
    <w:rsid w:val="00BD1AAD"/>
    <w:rsid w:val="00BD1B01"/>
    <w:rsid w:val="00BD1B8A"/>
    <w:rsid w:val="00BD1BAD"/>
    <w:rsid w:val="00BD1D0E"/>
    <w:rsid w:val="00BD1E1F"/>
    <w:rsid w:val="00BD20CE"/>
    <w:rsid w:val="00BD218C"/>
    <w:rsid w:val="00BD21F7"/>
    <w:rsid w:val="00BD2296"/>
    <w:rsid w:val="00BD22D8"/>
    <w:rsid w:val="00BD23F5"/>
    <w:rsid w:val="00BD284E"/>
    <w:rsid w:val="00BD295F"/>
    <w:rsid w:val="00BD2A44"/>
    <w:rsid w:val="00BD2B13"/>
    <w:rsid w:val="00BD2B91"/>
    <w:rsid w:val="00BD2BA0"/>
    <w:rsid w:val="00BD2BA3"/>
    <w:rsid w:val="00BD2BC5"/>
    <w:rsid w:val="00BD2D7A"/>
    <w:rsid w:val="00BD2DDA"/>
    <w:rsid w:val="00BD2E85"/>
    <w:rsid w:val="00BD2F93"/>
    <w:rsid w:val="00BD2FEC"/>
    <w:rsid w:val="00BD3048"/>
    <w:rsid w:val="00BD311F"/>
    <w:rsid w:val="00BD3190"/>
    <w:rsid w:val="00BD3766"/>
    <w:rsid w:val="00BD3839"/>
    <w:rsid w:val="00BD3845"/>
    <w:rsid w:val="00BD38B6"/>
    <w:rsid w:val="00BD3B5B"/>
    <w:rsid w:val="00BD3C5E"/>
    <w:rsid w:val="00BD3DB2"/>
    <w:rsid w:val="00BD3F8B"/>
    <w:rsid w:val="00BD4122"/>
    <w:rsid w:val="00BD41B9"/>
    <w:rsid w:val="00BD4318"/>
    <w:rsid w:val="00BD44C2"/>
    <w:rsid w:val="00BD44EB"/>
    <w:rsid w:val="00BD45BF"/>
    <w:rsid w:val="00BD460F"/>
    <w:rsid w:val="00BD4716"/>
    <w:rsid w:val="00BD47DE"/>
    <w:rsid w:val="00BD4848"/>
    <w:rsid w:val="00BD488B"/>
    <w:rsid w:val="00BD48D4"/>
    <w:rsid w:val="00BD4939"/>
    <w:rsid w:val="00BD4943"/>
    <w:rsid w:val="00BD4990"/>
    <w:rsid w:val="00BD4A23"/>
    <w:rsid w:val="00BD4C6F"/>
    <w:rsid w:val="00BD4CF2"/>
    <w:rsid w:val="00BD4DBF"/>
    <w:rsid w:val="00BD4EBF"/>
    <w:rsid w:val="00BD50BF"/>
    <w:rsid w:val="00BD5423"/>
    <w:rsid w:val="00BD55C3"/>
    <w:rsid w:val="00BD5699"/>
    <w:rsid w:val="00BD5946"/>
    <w:rsid w:val="00BD5C0A"/>
    <w:rsid w:val="00BD5D88"/>
    <w:rsid w:val="00BD603D"/>
    <w:rsid w:val="00BD6086"/>
    <w:rsid w:val="00BD6091"/>
    <w:rsid w:val="00BD623B"/>
    <w:rsid w:val="00BD624D"/>
    <w:rsid w:val="00BD6399"/>
    <w:rsid w:val="00BD63B0"/>
    <w:rsid w:val="00BD6480"/>
    <w:rsid w:val="00BD65EC"/>
    <w:rsid w:val="00BD6610"/>
    <w:rsid w:val="00BD663C"/>
    <w:rsid w:val="00BD6684"/>
    <w:rsid w:val="00BD688A"/>
    <w:rsid w:val="00BD6979"/>
    <w:rsid w:val="00BD6A9F"/>
    <w:rsid w:val="00BD6AC6"/>
    <w:rsid w:val="00BD6C1C"/>
    <w:rsid w:val="00BD6D30"/>
    <w:rsid w:val="00BD7067"/>
    <w:rsid w:val="00BD70B4"/>
    <w:rsid w:val="00BD70F2"/>
    <w:rsid w:val="00BD7431"/>
    <w:rsid w:val="00BD7494"/>
    <w:rsid w:val="00BD7595"/>
    <w:rsid w:val="00BD76D6"/>
    <w:rsid w:val="00BD78C5"/>
    <w:rsid w:val="00BD7900"/>
    <w:rsid w:val="00BD79D2"/>
    <w:rsid w:val="00BD7A1A"/>
    <w:rsid w:val="00BD7BB0"/>
    <w:rsid w:val="00BD7D54"/>
    <w:rsid w:val="00BD7EA8"/>
    <w:rsid w:val="00BD7FC3"/>
    <w:rsid w:val="00BD7FE1"/>
    <w:rsid w:val="00BE003E"/>
    <w:rsid w:val="00BE021F"/>
    <w:rsid w:val="00BE02A7"/>
    <w:rsid w:val="00BE02FD"/>
    <w:rsid w:val="00BE0769"/>
    <w:rsid w:val="00BE0B9B"/>
    <w:rsid w:val="00BE0CBC"/>
    <w:rsid w:val="00BE0DD1"/>
    <w:rsid w:val="00BE0E29"/>
    <w:rsid w:val="00BE1082"/>
    <w:rsid w:val="00BE11D7"/>
    <w:rsid w:val="00BE13C9"/>
    <w:rsid w:val="00BE1439"/>
    <w:rsid w:val="00BE14C9"/>
    <w:rsid w:val="00BE1576"/>
    <w:rsid w:val="00BE161F"/>
    <w:rsid w:val="00BE1870"/>
    <w:rsid w:val="00BE1915"/>
    <w:rsid w:val="00BE19F8"/>
    <w:rsid w:val="00BE1A6D"/>
    <w:rsid w:val="00BE1AB3"/>
    <w:rsid w:val="00BE1B32"/>
    <w:rsid w:val="00BE1EDD"/>
    <w:rsid w:val="00BE2102"/>
    <w:rsid w:val="00BE216D"/>
    <w:rsid w:val="00BE23B6"/>
    <w:rsid w:val="00BE2414"/>
    <w:rsid w:val="00BE2445"/>
    <w:rsid w:val="00BE2583"/>
    <w:rsid w:val="00BE2638"/>
    <w:rsid w:val="00BE2990"/>
    <w:rsid w:val="00BE2BEB"/>
    <w:rsid w:val="00BE2CB5"/>
    <w:rsid w:val="00BE2EAA"/>
    <w:rsid w:val="00BE2F11"/>
    <w:rsid w:val="00BE3074"/>
    <w:rsid w:val="00BE30E4"/>
    <w:rsid w:val="00BE3296"/>
    <w:rsid w:val="00BE32CA"/>
    <w:rsid w:val="00BE350A"/>
    <w:rsid w:val="00BE3556"/>
    <w:rsid w:val="00BE36E6"/>
    <w:rsid w:val="00BE39C4"/>
    <w:rsid w:val="00BE39FB"/>
    <w:rsid w:val="00BE3D78"/>
    <w:rsid w:val="00BE3DC6"/>
    <w:rsid w:val="00BE3DF9"/>
    <w:rsid w:val="00BE4029"/>
    <w:rsid w:val="00BE41A2"/>
    <w:rsid w:val="00BE4587"/>
    <w:rsid w:val="00BE470D"/>
    <w:rsid w:val="00BE4871"/>
    <w:rsid w:val="00BE48AF"/>
    <w:rsid w:val="00BE4940"/>
    <w:rsid w:val="00BE4AA1"/>
    <w:rsid w:val="00BE4ABC"/>
    <w:rsid w:val="00BE4B72"/>
    <w:rsid w:val="00BE4C1E"/>
    <w:rsid w:val="00BE4EA7"/>
    <w:rsid w:val="00BE4EED"/>
    <w:rsid w:val="00BE50A4"/>
    <w:rsid w:val="00BE5289"/>
    <w:rsid w:val="00BE53D8"/>
    <w:rsid w:val="00BE53E7"/>
    <w:rsid w:val="00BE54B6"/>
    <w:rsid w:val="00BE5602"/>
    <w:rsid w:val="00BE560B"/>
    <w:rsid w:val="00BE5657"/>
    <w:rsid w:val="00BE56CB"/>
    <w:rsid w:val="00BE57EE"/>
    <w:rsid w:val="00BE5AF2"/>
    <w:rsid w:val="00BE5B82"/>
    <w:rsid w:val="00BE5C9F"/>
    <w:rsid w:val="00BE5D65"/>
    <w:rsid w:val="00BE5E08"/>
    <w:rsid w:val="00BE5EA0"/>
    <w:rsid w:val="00BE6094"/>
    <w:rsid w:val="00BE60DD"/>
    <w:rsid w:val="00BE6197"/>
    <w:rsid w:val="00BE6203"/>
    <w:rsid w:val="00BE6366"/>
    <w:rsid w:val="00BE639A"/>
    <w:rsid w:val="00BE640F"/>
    <w:rsid w:val="00BE6457"/>
    <w:rsid w:val="00BE6477"/>
    <w:rsid w:val="00BE6750"/>
    <w:rsid w:val="00BE6770"/>
    <w:rsid w:val="00BE6818"/>
    <w:rsid w:val="00BE68AA"/>
    <w:rsid w:val="00BE6920"/>
    <w:rsid w:val="00BE6AA8"/>
    <w:rsid w:val="00BE6B0A"/>
    <w:rsid w:val="00BE6B2E"/>
    <w:rsid w:val="00BE6CF2"/>
    <w:rsid w:val="00BE6DD5"/>
    <w:rsid w:val="00BE6EDC"/>
    <w:rsid w:val="00BE6F89"/>
    <w:rsid w:val="00BE701A"/>
    <w:rsid w:val="00BE7073"/>
    <w:rsid w:val="00BE74F7"/>
    <w:rsid w:val="00BE7567"/>
    <w:rsid w:val="00BE75C3"/>
    <w:rsid w:val="00BE75E6"/>
    <w:rsid w:val="00BE7642"/>
    <w:rsid w:val="00BE7BD9"/>
    <w:rsid w:val="00BE7C15"/>
    <w:rsid w:val="00BE7F21"/>
    <w:rsid w:val="00BE7F8E"/>
    <w:rsid w:val="00BE7FE3"/>
    <w:rsid w:val="00BF0132"/>
    <w:rsid w:val="00BF02A7"/>
    <w:rsid w:val="00BF037C"/>
    <w:rsid w:val="00BF0433"/>
    <w:rsid w:val="00BF047A"/>
    <w:rsid w:val="00BF0605"/>
    <w:rsid w:val="00BF06EB"/>
    <w:rsid w:val="00BF08DB"/>
    <w:rsid w:val="00BF091D"/>
    <w:rsid w:val="00BF099F"/>
    <w:rsid w:val="00BF09FA"/>
    <w:rsid w:val="00BF0C23"/>
    <w:rsid w:val="00BF0C68"/>
    <w:rsid w:val="00BF0E7E"/>
    <w:rsid w:val="00BF11B6"/>
    <w:rsid w:val="00BF1249"/>
    <w:rsid w:val="00BF128E"/>
    <w:rsid w:val="00BF128F"/>
    <w:rsid w:val="00BF132F"/>
    <w:rsid w:val="00BF1348"/>
    <w:rsid w:val="00BF1394"/>
    <w:rsid w:val="00BF1431"/>
    <w:rsid w:val="00BF14D0"/>
    <w:rsid w:val="00BF17D4"/>
    <w:rsid w:val="00BF1857"/>
    <w:rsid w:val="00BF188E"/>
    <w:rsid w:val="00BF18AB"/>
    <w:rsid w:val="00BF1967"/>
    <w:rsid w:val="00BF19B1"/>
    <w:rsid w:val="00BF1A33"/>
    <w:rsid w:val="00BF1A68"/>
    <w:rsid w:val="00BF1A8C"/>
    <w:rsid w:val="00BF1AF8"/>
    <w:rsid w:val="00BF1AFE"/>
    <w:rsid w:val="00BF1B73"/>
    <w:rsid w:val="00BF1B99"/>
    <w:rsid w:val="00BF1C02"/>
    <w:rsid w:val="00BF1C15"/>
    <w:rsid w:val="00BF1D35"/>
    <w:rsid w:val="00BF1D76"/>
    <w:rsid w:val="00BF1DEC"/>
    <w:rsid w:val="00BF1E66"/>
    <w:rsid w:val="00BF20B0"/>
    <w:rsid w:val="00BF211E"/>
    <w:rsid w:val="00BF218E"/>
    <w:rsid w:val="00BF2219"/>
    <w:rsid w:val="00BF223D"/>
    <w:rsid w:val="00BF26A4"/>
    <w:rsid w:val="00BF282A"/>
    <w:rsid w:val="00BF28A2"/>
    <w:rsid w:val="00BF28B8"/>
    <w:rsid w:val="00BF2A10"/>
    <w:rsid w:val="00BF2A7F"/>
    <w:rsid w:val="00BF2BB9"/>
    <w:rsid w:val="00BF2CB3"/>
    <w:rsid w:val="00BF2D16"/>
    <w:rsid w:val="00BF2E85"/>
    <w:rsid w:val="00BF2F54"/>
    <w:rsid w:val="00BF2FB1"/>
    <w:rsid w:val="00BF3063"/>
    <w:rsid w:val="00BF30EB"/>
    <w:rsid w:val="00BF30F0"/>
    <w:rsid w:val="00BF3170"/>
    <w:rsid w:val="00BF3216"/>
    <w:rsid w:val="00BF3426"/>
    <w:rsid w:val="00BF3507"/>
    <w:rsid w:val="00BF357B"/>
    <w:rsid w:val="00BF35CC"/>
    <w:rsid w:val="00BF38CB"/>
    <w:rsid w:val="00BF3999"/>
    <w:rsid w:val="00BF3ADB"/>
    <w:rsid w:val="00BF3C81"/>
    <w:rsid w:val="00BF3D26"/>
    <w:rsid w:val="00BF3D9C"/>
    <w:rsid w:val="00BF3E47"/>
    <w:rsid w:val="00BF3EA6"/>
    <w:rsid w:val="00BF4138"/>
    <w:rsid w:val="00BF4196"/>
    <w:rsid w:val="00BF4322"/>
    <w:rsid w:val="00BF43C2"/>
    <w:rsid w:val="00BF4426"/>
    <w:rsid w:val="00BF45B8"/>
    <w:rsid w:val="00BF467E"/>
    <w:rsid w:val="00BF47BD"/>
    <w:rsid w:val="00BF4AD8"/>
    <w:rsid w:val="00BF4AFA"/>
    <w:rsid w:val="00BF4B2C"/>
    <w:rsid w:val="00BF4BF6"/>
    <w:rsid w:val="00BF4C43"/>
    <w:rsid w:val="00BF4C66"/>
    <w:rsid w:val="00BF4CAF"/>
    <w:rsid w:val="00BF4D7F"/>
    <w:rsid w:val="00BF4DCD"/>
    <w:rsid w:val="00BF4E3E"/>
    <w:rsid w:val="00BF4E93"/>
    <w:rsid w:val="00BF4ED4"/>
    <w:rsid w:val="00BF50DD"/>
    <w:rsid w:val="00BF5211"/>
    <w:rsid w:val="00BF5331"/>
    <w:rsid w:val="00BF5385"/>
    <w:rsid w:val="00BF5436"/>
    <w:rsid w:val="00BF594C"/>
    <w:rsid w:val="00BF59ED"/>
    <w:rsid w:val="00BF5A77"/>
    <w:rsid w:val="00BF5BFF"/>
    <w:rsid w:val="00BF5EAF"/>
    <w:rsid w:val="00BF6172"/>
    <w:rsid w:val="00BF63B8"/>
    <w:rsid w:val="00BF6784"/>
    <w:rsid w:val="00BF6848"/>
    <w:rsid w:val="00BF6904"/>
    <w:rsid w:val="00BF695D"/>
    <w:rsid w:val="00BF6B11"/>
    <w:rsid w:val="00BF6B22"/>
    <w:rsid w:val="00BF6C19"/>
    <w:rsid w:val="00BF6C2A"/>
    <w:rsid w:val="00BF6C85"/>
    <w:rsid w:val="00BF6D17"/>
    <w:rsid w:val="00BF6FF3"/>
    <w:rsid w:val="00BF7482"/>
    <w:rsid w:val="00BF7785"/>
    <w:rsid w:val="00BF7924"/>
    <w:rsid w:val="00BF7C1C"/>
    <w:rsid w:val="00BF7D3C"/>
    <w:rsid w:val="00BF7DF3"/>
    <w:rsid w:val="00BF7E23"/>
    <w:rsid w:val="00BF7E3D"/>
    <w:rsid w:val="00BF7EC4"/>
    <w:rsid w:val="00BF7F1C"/>
    <w:rsid w:val="00C00308"/>
    <w:rsid w:val="00C0058E"/>
    <w:rsid w:val="00C005C8"/>
    <w:rsid w:val="00C00625"/>
    <w:rsid w:val="00C0067D"/>
    <w:rsid w:val="00C006C1"/>
    <w:rsid w:val="00C00719"/>
    <w:rsid w:val="00C0072D"/>
    <w:rsid w:val="00C00760"/>
    <w:rsid w:val="00C00814"/>
    <w:rsid w:val="00C00893"/>
    <w:rsid w:val="00C00B39"/>
    <w:rsid w:val="00C00BCA"/>
    <w:rsid w:val="00C00DBD"/>
    <w:rsid w:val="00C00DC2"/>
    <w:rsid w:val="00C00E66"/>
    <w:rsid w:val="00C00E6A"/>
    <w:rsid w:val="00C01209"/>
    <w:rsid w:val="00C0138B"/>
    <w:rsid w:val="00C013EF"/>
    <w:rsid w:val="00C014B7"/>
    <w:rsid w:val="00C014D0"/>
    <w:rsid w:val="00C0189B"/>
    <w:rsid w:val="00C01B57"/>
    <w:rsid w:val="00C01CC0"/>
    <w:rsid w:val="00C01D15"/>
    <w:rsid w:val="00C01D39"/>
    <w:rsid w:val="00C01D8B"/>
    <w:rsid w:val="00C01E29"/>
    <w:rsid w:val="00C01EB5"/>
    <w:rsid w:val="00C02226"/>
    <w:rsid w:val="00C02433"/>
    <w:rsid w:val="00C02539"/>
    <w:rsid w:val="00C02713"/>
    <w:rsid w:val="00C02923"/>
    <w:rsid w:val="00C0293C"/>
    <w:rsid w:val="00C02B6B"/>
    <w:rsid w:val="00C02BBE"/>
    <w:rsid w:val="00C02C05"/>
    <w:rsid w:val="00C02D3D"/>
    <w:rsid w:val="00C02D52"/>
    <w:rsid w:val="00C02F71"/>
    <w:rsid w:val="00C02F82"/>
    <w:rsid w:val="00C030E7"/>
    <w:rsid w:val="00C0312C"/>
    <w:rsid w:val="00C03335"/>
    <w:rsid w:val="00C03666"/>
    <w:rsid w:val="00C0366C"/>
    <w:rsid w:val="00C037D7"/>
    <w:rsid w:val="00C038B8"/>
    <w:rsid w:val="00C038DF"/>
    <w:rsid w:val="00C03CE6"/>
    <w:rsid w:val="00C03DBB"/>
    <w:rsid w:val="00C03E42"/>
    <w:rsid w:val="00C03F52"/>
    <w:rsid w:val="00C03F8C"/>
    <w:rsid w:val="00C03FEA"/>
    <w:rsid w:val="00C041BF"/>
    <w:rsid w:val="00C0423C"/>
    <w:rsid w:val="00C044E3"/>
    <w:rsid w:val="00C047B6"/>
    <w:rsid w:val="00C04937"/>
    <w:rsid w:val="00C0498C"/>
    <w:rsid w:val="00C04A35"/>
    <w:rsid w:val="00C04ADA"/>
    <w:rsid w:val="00C04D77"/>
    <w:rsid w:val="00C04E30"/>
    <w:rsid w:val="00C04F2F"/>
    <w:rsid w:val="00C0500D"/>
    <w:rsid w:val="00C053AA"/>
    <w:rsid w:val="00C053CE"/>
    <w:rsid w:val="00C054DC"/>
    <w:rsid w:val="00C05541"/>
    <w:rsid w:val="00C05563"/>
    <w:rsid w:val="00C055FE"/>
    <w:rsid w:val="00C05683"/>
    <w:rsid w:val="00C056AB"/>
    <w:rsid w:val="00C056BB"/>
    <w:rsid w:val="00C056BF"/>
    <w:rsid w:val="00C057A1"/>
    <w:rsid w:val="00C05875"/>
    <w:rsid w:val="00C058B9"/>
    <w:rsid w:val="00C05AFC"/>
    <w:rsid w:val="00C05D73"/>
    <w:rsid w:val="00C05D9F"/>
    <w:rsid w:val="00C05DB0"/>
    <w:rsid w:val="00C05E44"/>
    <w:rsid w:val="00C05F89"/>
    <w:rsid w:val="00C05FCF"/>
    <w:rsid w:val="00C0601E"/>
    <w:rsid w:val="00C0613B"/>
    <w:rsid w:val="00C062FE"/>
    <w:rsid w:val="00C0643D"/>
    <w:rsid w:val="00C0655B"/>
    <w:rsid w:val="00C06657"/>
    <w:rsid w:val="00C066E8"/>
    <w:rsid w:val="00C06783"/>
    <w:rsid w:val="00C06870"/>
    <w:rsid w:val="00C06CB5"/>
    <w:rsid w:val="00C06D77"/>
    <w:rsid w:val="00C06F0D"/>
    <w:rsid w:val="00C07033"/>
    <w:rsid w:val="00C070CD"/>
    <w:rsid w:val="00C0731A"/>
    <w:rsid w:val="00C0736F"/>
    <w:rsid w:val="00C07554"/>
    <w:rsid w:val="00C076EA"/>
    <w:rsid w:val="00C078A8"/>
    <w:rsid w:val="00C0793F"/>
    <w:rsid w:val="00C07B70"/>
    <w:rsid w:val="00C07BF0"/>
    <w:rsid w:val="00C07CF6"/>
    <w:rsid w:val="00C10166"/>
    <w:rsid w:val="00C101FD"/>
    <w:rsid w:val="00C1036B"/>
    <w:rsid w:val="00C103B6"/>
    <w:rsid w:val="00C10462"/>
    <w:rsid w:val="00C1046B"/>
    <w:rsid w:val="00C1054B"/>
    <w:rsid w:val="00C1065C"/>
    <w:rsid w:val="00C10727"/>
    <w:rsid w:val="00C1073A"/>
    <w:rsid w:val="00C107BE"/>
    <w:rsid w:val="00C1082B"/>
    <w:rsid w:val="00C10BC7"/>
    <w:rsid w:val="00C10BFA"/>
    <w:rsid w:val="00C10CD2"/>
    <w:rsid w:val="00C10D7A"/>
    <w:rsid w:val="00C10D94"/>
    <w:rsid w:val="00C10D9D"/>
    <w:rsid w:val="00C10E44"/>
    <w:rsid w:val="00C10F09"/>
    <w:rsid w:val="00C113AA"/>
    <w:rsid w:val="00C11475"/>
    <w:rsid w:val="00C115D6"/>
    <w:rsid w:val="00C115E5"/>
    <w:rsid w:val="00C11621"/>
    <w:rsid w:val="00C116DF"/>
    <w:rsid w:val="00C117A7"/>
    <w:rsid w:val="00C1193F"/>
    <w:rsid w:val="00C11B64"/>
    <w:rsid w:val="00C11C9C"/>
    <w:rsid w:val="00C11CE5"/>
    <w:rsid w:val="00C11D8E"/>
    <w:rsid w:val="00C11DE7"/>
    <w:rsid w:val="00C11EA5"/>
    <w:rsid w:val="00C12010"/>
    <w:rsid w:val="00C12070"/>
    <w:rsid w:val="00C12119"/>
    <w:rsid w:val="00C12148"/>
    <w:rsid w:val="00C12159"/>
    <w:rsid w:val="00C122D8"/>
    <w:rsid w:val="00C12317"/>
    <w:rsid w:val="00C12352"/>
    <w:rsid w:val="00C124BE"/>
    <w:rsid w:val="00C1254E"/>
    <w:rsid w:val="00C125CC"/>
    <w:rsid w:val="00C126A4"/>
    <w:rsid w:val="00C1275D"/>
    <w:rsid w:val="00C128CF"/>
    <w:rsid w:val="00C128FB"/>
    <w:rsid w:val="00C1291D"/>
    <w:rsid w:val="00C12A69"/>
    <w:rsid w:val="00C12A8D"/>
    <w:rsid w:val="00C12AB4"/>
    <w:rsid w:val="00C12B22"/>
    <w:rsid w:val="00C12B38"/>
    <w:rsid w:val="00C12EB3"/>
    <w:rsid w:val="00C12EFA"/>
    <w:rsid w:val="00C12FEC"/>
    <w:rsid w:val="00C13154"/>
    <w:rsid w:val="00C13193"/>
    <w:rsid w:val="00C132AF"/>
    <w:rsid w:val="00C13449"/>
    <w:rsid w:val="00C13455"/>
    <w:rsid w:val="00C13463"/>
    <w:rsid w:val="00C134FC"/>
    <w:rsid w:val="00C1352F"/>
    <w:rsid w:val="00C13627"/>
    <w:rsid w:val="00C1367C"/>
    <w:rsid w:val="00C13735"/>
    <w:rsid w:val="00C137EB"/>
    <w:rsid w:val="00C13A2D"/>
    <w:rsid w:val="00C13B39"/>
    <w:rsid w:val="00C13B6B"/>
    <w:rsid w:val="00C14004"/>
    <w:rsid w:val="00C14022"/>
    <w:rsid w:val="00C14110"/>
    <w:rsid w:val="00C14132"/>
    <w:rsid w:val="00C14172"/>
    <w:rsid w:val="00C1417E"/>
    <w:rsid w:val="00C1431C"/>
    <w:rsid w:val="00C1432F"/>
    <w:rsid w:val="00C14353"/>
    <w:rsid w:val="00C1442F"/>
    <w:rsid w:val="00C14509"/>
    <w:rsid w:val="00C14606"/>
    <w:rsid w:val="00C14662"/>
    <w:rsid w:val="00C147E6"/>
    <w:rsid w:val="00C148F2"/>
    <w:rsid w:val="00C14994"/>
    <w:rsid w:val="00C14A3E"/>
    <w:rsid w:val="00C14A86"/>
    <w:rsid w:val="00C14CB3"/>
    <w:rsid w:val="00C14CE5"/>
    <w:rsid w:val="00C14DDD"/>
    <w:rsid w:val="00C14EBE"/>
    <w:rsid w:val="00C14EF3"/>
    <w:rsid w:val="00C14FBB"/>
    <w:rsid w:val="00C14FC6"/>
    <w:rsid w:val="00C1507C"/>
    <w:rsid w:val="00C150FB"/>
    <w:rsid w:val="00C1515A"/>
    <w:rsid w:val="00C15514"/>
    <w:rsid w:val="00C155A2"/>
    <w:rsid w:val="00C156FC"/>
    <w:rsid w:val="00C1598F"/>
    <w:rsid w:val="00C159AE"/>
    <w:rsid w:val="00C15ABD"/>
    <w:rsid w:val="00C15B28"/>
    <w:rsid w:val="00C15B47"/>
    <w:rsid w:val="00C15B55"/>
    <w:rsid w:val="00C15C77"/>
    <w:rsid w:val="00C15E98"/>
    <w:rsid w:val="00C15EF9"/>
    <w:rsid w:val="00C15FAA"/>
    <w:rsid w:val="00C16069"/>
    <w:rsid w:val="00C16326"/>
    <w:rsid w:val="00C1646A"/>
    <w:rsid w:val="00C164DD"/>
    <w:rsid w:val="00C16534"/>
    <w:rsid w:val="00C165D0"/>
    <w:rsid w:val="00C1672F"/>
    <w:rsid w:val="00C16789"/>
    <w:rsid w:val="00C1688B"/>
    <w:rsid w:val="00C168B9"/>
    <w:rsid w:val="00C16903"/>
    <w:rsid w:val="00C16AAA"/>
    <w:rsid w:val="00C16BCA"/>
    <w:rsid w:val="00C16BF3"/>
    <w:rsid w:val="00C16C13"/>
    <w:rsid w:val="00C16DE7"/>
    <w:rsid w:val="00C16E54"/>
    <w:rsid w:val="00C172E7"/>
    <w:rsid w:val="00C17355"/>
    <w:rsid w:val="00C174C2"/>
    <w:rsid w:val="00C17626"/>
    <w:rsid w:val="00C17675"/>
    <w:rsid w:val="00C176F8"/>
    <w:rsid w:val="00C17967"/>
    <w:rsid w:val="00C17B86"/>
    <w:rsid w:val="00C17D62"/>
    <w:rsid w:val="00C17E0E"/>
    <w:rsid w:val="00C20013"/>
    <w:rsid w:val="00C200B5"/>
    <w:rsid w:val="00C2036A"/>
    <w:rsid w:val="00C20388"/>
    <w:rsid w:val="00C203B9"/>
    <w:rsid w:val="00C203CC"/>
    <w:rsid w:val="00C2061E"/>
    <w:rsid w:val="00C20660"/>
    <w:rsid w:val="00C208F0"/>
    <w:rsid w:val="00C2090A"/>
    <w:rsid w:val="00C2098F"/>
    <w:rsid w:val="00C20A22"/>
    <w:rsid w:val="00C20C88"/>
    <w:rsid w:val="00C20D52"/>
    <w:rsid w:val="00C20D93"/>
    <w:rsid w:val="00C20F04"/>
    <w:rsid w:val="00C21045"/>
    <w:rsid w:val="00C2109D"/>
    <w:rsid w:val="00C211AE"/>
    <w:rsid w:val="00C211DF"/>
    <w:rsid w:val="00C214B1"/>
    <w:rsid w:val="00C2157F"/>
    <w:rsid w:val="00C215A8"/>
    <w:rsid w:val="00C2190D"/>
    <w:rsid w:val="00C21954"/>
    <w:rsid w:val="00C21969"/>
    <w:rsid w:val="00C21BA7"/>
    <w:rsid w:val="00C21F26"/>
    <w:rsid w:val="00C22105"/>
    <w:rsid w:val="00C225AB"/>
    <w:rsid w:val="00C22976"/>
    <w:rsid w:val="00C22ADF"/>
    <w:rsid w:val="00C22CF0"/>
    <w:rsid w:val="00C22D71"/>
    <w:rsid w:val="00C22F55"/>
    <w:rsid w:val="00C22FD7"/>
    <w:rsid w:val="00C2301D"/>
    <w:rsid w:val="00C23172"/>
    <w:rsid w:val="00C231EE"/>
    <w:rsid w:val="00C23317"/>
    <w:rsid w:val="00C2333A"/>
    <w:rsid w:val="00C23409"/>
    <w:rsid w:val="00C23470"/>
    <w:rsid w:val="00C235BC"/>
    <w:rsid w:val="00C237A1"/>
    <w:rsid w:val="00C23908"/>
    <w:rsid w:val="00C2390C"/>
    <w:rsid w:val="00C2394D"/>
    <w:rsid w:val="00C239F9"/>
    <w:rsid w:val="00C23C8B"/>
    <w:rsid w:val="00C2404F"/>
    <w:rsid w:val="00C2426A"/>
    <w:rsid w:val="00C243B0"/>
    <w:rsid w:val="00C244D4"/>
    <w:rsid w:val="00C2453F"/>
    <w:rsid w:val="00C245AC"/>
    <w:rsid w:val="00C249C7"/>
    <w:rsid w:val="00C24B56"/>
    <w:rsid w:val="00C24BB4"/>
    <w:rsid w:val="00C24BCB"/>
    <w:rsid w:val="00C24DF0"/>
    <w:rsid w:val="00C25020"/>
    <w:rsid w:val="00C252DA"/>
    <w:rsid w:val="00C2530E"/>
    <w:rsid w:val="00C254D9"/>
    <w:rsid w:val="00C255FC"/>
    <w:rsid w:val="00C25715"/>
    <w:rsid w:val="00C25795"/>
    <w:rsid w:val="00C257A2"/>
    <w:rsid w:val="00C257B1"/>
    <w:rsid w:val="00C25883"/>
    <w:rsid w:val="00C25A03"/>
    <w:rsid w:val="00C25B7C"/>
    <w:rsid w:val="00C25B95"/>
    <w:rsid w:val="00C25CB9"/>
    <w:rsid w:val="00C25DFB"/>
    <w:rsid w:val="00C25E04"/>
    <w:rsid w:val="00C25EDA"/>
    <w:rsid w:val="00C260E6"/>
    <w:rsid w:val="00C2611E"/>
    <w:rsid w:val="00C26151"/>
    <w:rsid w:val="00C26164"/>
    <w:rsid w:val="00C264F1"/>
    <w:rsid w:val="00C265FD"/>
    <w:rsid w:val="00C2661E"/>
    <w:rsid w:val="00C267FF"/>
    <w:rsid w:val="00C268DE"/>
    <w:rsid w:val="00C2693D"/>
    <w:rsid w:val="00C2699C"/>
    <w:rsid w:val="00C269F4"/>
    <w:rsid w:val="00C26B4C"/>
    <w:rsid w:val="00C26B91"/>
    <w:rsid w:val="00C26E2D"/>
    <w:rsid w:val="00C26E89"/>
    <w:rsid w:val="00C26F44"/>
    <w:rsid w:val="00C26FE1"/>
    <w:rsid w:val="00C27165"/>
    <w:rsid w:val="00C2717B"/>
    <w:rsid w:val="00C271DF"/>
    <w:rsid w:val="00C2725B"/>
    <w:rsid w:val="00C2725D"/>
    <w:rsid w:val="00C276FC"/>
    <w:rsid w:val="00C27747"/>
    <w:rsid w:val="00C27879"/>
    <w:rsid w:val="00C2799F"/>
    <w:rsid w:val="00C27AC1"/>
    <w:rsid w:val="00C27C9E"/>
    <w:rsid w:val="00C27E03"/>
    <w:rsid w:val="00C27F5F"/>
    <w:rsid w:val="00C27F87"/>
    <w:rsid w:val="00C30028"/>
    <w:rsid w:val="00C30197"/>
    <w:rsid w:val="00C302E5"/>
    <w:rsid w:val="00C302EC"/>
    <w:rsid w:val="00C3054A"/>
    <w:rsid w:val="00C30560"/>
    <w:rsid w:val="00C30626"/>
    <w:rsid w:val="00C306BD"/>
    <w:rsid w:val="00C3079E"/>
    <w:rsid w:val="00C3088E"/>
    <w:rsid w:val="00C308AE"/>
    <w:rsid w:val="00C30923"/>
    <w:rsid w:val="00C3097E"/>
    <w:rsid w:val="00C309BE"/>
    <w:rsid w:val="00C309CE"/>
    <w:rsid w:val="00C309D2"/>
    <w:rsid w:val="00C30ABE"/>
    <w:rsid w:val="00C30B38"/>
    <w:rsid w:val="00C30B63"/>
    <w:rsid w:val="00C30B9A"/>
    <w:rsid w:val="00C30C1D"/>
    <w:rsid w:val="00C30CBC"/>
    <w:rsid w:val="00C30DD1"/>
    <w:rsid w:val="00C30EC3"/>
    <w:rsid w:val="00C30F38"/>
    <w:rsid w:val="00C310DF"/>
    <w:rsid w:val="00C311E4"/>
    <w:rsid w:val="00C31269"/>
    <w:rsid w:val="00C31343"/>
    <w:rsid w:val="00C31355"/>
    <w:rsid w:val="00C3146C"/>
    <w:rsid w:val="00C31546"/>
    <w:rsid w:val="00C3185C"/>
    <w:rsid w:val="00C31883"/>
    <w:rsid w:val="00C318A2"/>
    <w:rsid w:val="00C318BB"/>
    <w:rsid w:val="00C31B3A"/>
    <w:rsid w:val="00C31E17"/>
    <w:rsid w:val="00C3204A"/>
    <w:rsid w:val="00C321D0"/>
    <w:rsid w:val="00C322D4"/>
    <w:rsid w:val="00C32534"/>
    <w:rsid w:val="00C32576"/>
    <w:rsid w:val="00C3261E"/>
    <w:rsid w:val="00C327CD"/>
    <w:rsid w:val="00C327DC"/>
    <w:rsid w:val="00C328F8"/>
    <w:rsid w:val="00C329E8"/>
    <w:rsid w:val="00C32BAA"/>
    <w:rsid w:val="00C32D03"/>
    <w:rsid w:val="00C32D36"/>
    <w:rsid w:val="00C32E2C"/>
    <w:rsid w:val="00C32E8F"/>
    <w:rsid w:val="00C32F4C"/>
    <w:rsid w:val="00C33075"/>
    <w:rsid w:val="00C3332F"/>
    <w:rsid w:val="00C334FE"/>
    <w:rsid w:val="00C33534"/>
    <w:rsid w:val="00C33800"/>
    <w:rsid w:val="00C3390A"/>
    <w:rsid w:val="00C33990"/>
    <w:rsid w:val="00C33B30"/>
    <w:rsid w:val="00C33DA4"/>
    <w:rsid w:val="00C33E7D"/>
    <w:rsid w:val="00C34098"/>
    <w:rsid w:val="00C341F3"/>
    <w:rsid w:val="00C3437B"/>
    <w:rsid w:val="00C34660"/>
    <w:rsid w:val="00C34786"/>
    <w:rsid w:val="00C347B6"/>
    <w:rsid w:val="00C349BA"/>
    <w:rsid w:val="00C34A22"/>
    <w:rsid w:val="00C34A9B"/>
    <w:rsid w:val="00C34BFA"/>
    <w:rsid w:val="00C34C50"/>
    <w:rsid w:val="00C34C5F"/>
    <w:rsid w:val="00C34D13"/>
    <w:rsid w:val="00C35018"/>
    <w:rsid w:val="00C3521A"/>
    <w:rsid w:val="00C35366"/>
    <w:rsid w:val="00C3536D"/>
    <w:rsid w:val="00C35453"/>
    <w:rsid w:val="00C3547C"/>
    <w:rsid w:val="00C354A9"/>
    <w:rsid w:val="00C35640"/>
    <w:rsid w:val="00C35771"/>
    <w:rsid w:val="00C35849"/>
    <w:rsid w:val="00C358D6"/>
    <w:rsid w:val="00C35978"/>
    <w:rsid w:val="00C35AC6"/>
    <w:rsid w:val="00C35C71"/>
    <w:rsid w:val="00C35DAC"/>
    <w:rsid w:val="00C35F49"/>
    <w:rsid w:val="00C3603C"/>
    <w:rsid w:val="00C3609C"/>
    <w:rsid w:val="00C361A5"/>
    <w:rsid w:val="00C3621C"/>
    <w:rsid w:val="00C36308"/>
    <w:rsid w:val="00C36312"/>
    <w:rsid w:val="00C363F5"/>
    <w:rsid w:val="00C36563"/>
    <w:rsid w:val="00C3665F"/>
    <w:rsid w:val="00C366B7"/>
    <w:rsid w:val="00C3690C"/>
    <w:rsid w:val="00C36A40"/>
    <w:rsid w:val="00C36A77"/>
    <w:rsid w:val="00C36AAE"/>
    <w:rsid w:val="00C36B99"/>
    <w:rsid w:val="00C36DB7"/>
    <w:rsid w:val="00C36E0E"/>
    <w:rsid w:val="00C36F4E"/>
    <w:rsid w:val="00C371FA"/>
    <w:rsid w:val="00C3722A"/>
    <w:rsid w:val="00C3724A"/>
    <w:rsid w:val="00C37517"/>
    <w:rsid w:val="00C375DE"/>
    <w:rsid w:val="00C375E9"/>
    <w:rsid w:val="00C37813"/>
    <w:rsid w:val="00C378A9"/>
    <w:rsid w:val="00C378DF"/>
    <w:rsid w:val="00C37963"/>
    <w:rsid w:val="00C3796E"/>
    <w:rsid w:val="00C37A08"/>
    <w:rsid w:val="00C37A8D"/>
    <w:rsid w:val="00C37E1C"/>
    <w:rsid w:val="00C37FAC"/>
    <w:rsid w:val="00C40146"/>
    <w:rsid w:val="00C4026F"/>
    <w:rsid w:val="00C40307"/>
    <w:rsid w:val="00C4034E"/>
    <w:rsid w:val="00C4047C"/>
    <w:rsid w:val="00C4048A"/>
    <w:rsid w:val="00C40793"/>
    <w:rsid w:val="00C407A1"/>
    <w:rsid w:val="00C409C8"/>
    <w:rsid w:val="00C40A1E"/>
    <w:rsid w:val="00C40B94"/>
    <w:rsid w:val="00C40C52"/>
    <w:rsid w:val="00C40E3A"/>
    <w:rsid w:val="00C41162"/>
    <w:rsid w:val="00C411A5"/>
    <w:rsid w:val="00C412F3"/>
    <w:rsid w:val="00C41426"/>
    <w:rsid w:val="00C41472"/>
    <w:rsid w:val="00C41692"/>
    <w:rsid w:val="00C416A9"/>
    <w:rsid w:val="00C416D3"/>
    <w:rsid w:val="00C417D8"/>
    <w:rsid w:val="00C41951"/>
    <w:rsid w:val="00C41A5A"/>
    <w:rsid w:val="00C41AB9"/>
    <w:rsid w:val="00C41AFB"/>
    <w:rsid w:val="00C41B09"/>
    <w:rsid w:val="00C41D4D"/>
    <w:rsid w:val="00C41DEC"/>
    <w:rsid w:val="00C41EAE"/>
    <w:rsid w:val="00C42186"/>
    <w:rsid w:val="00C4248D"/>
    <w:rsid w:val="00C42527"/>
    <w:rsid w:val="00C42605"/>
    <w:rsid w:val="00C4261A"/>
    <w:rsid w:val="00C42706"/>
    <w:rsid w:val="00C428D3"/>
    <w:rsid w:val="00C429BA"/>
    <w:rsid w:val="00C42AD1"/>
    <w:rsid w:val="00C42AFD"/>
    <w:rsid w:val="00C42BF0"/>
    <w:rsid w:val="00C42C3A"/>
    <w:rsid w:val="00C42DBB"/>
    <w:rsid w:val="00C4319F"/>
    <w:rsid w:val="00C431A1"/>
    <w:rsid w:val="00C431AC"/>
    <w:rsid w:val="00C433FA"/>
    <w:rsid w:val="00C43427"/>
    <w:rsid w:val="00C43597"/>
    <w:rsid w:val="00C4365A"/>
    <w:rsid w:val="00C4377A"/>
    <w:rsid w:val="00C4393A"/>
    <w:rsid w:val="00C43982"/>
    <w:rsid w:val="00C4398F"/>
    <w:rsid w:val="00C43B09"/>
    <w:rsid w:val="00C43BEA"/>
    <w:rsid w:val="00C43C42"/>
    <w:rsid w:val="00C43E6E"/>
    <w:rsid w:val="00C43F3C"/>
    <w:rsid w:val="00C43FD4"/>
    <w:rsid w:val="00C4408D"/>
    <w:rsid w:val="00C44136"/>
    <w:rsid w:val="00C44193"/>
    <w:rsid w:val="00C441BA"/>
    <w:rsid w:val="00C442E1"/>
    <w:rsid w:val="00C443B1"/>
    <w:rsid w:val="00C44463"/>
    <w:rsid w:val="00C44728"/>
    <w:rsid w:val="00C44739"/>
    <w:rsid w:val="00C4473E"/>
    <w:rsid w:val="00C4486D"/>
    <w:rsid w:val="00C44A79"/>
    <w:rsid w:val="00C44BB5"/>
    <w:rsid w:val="00C44DD2"/>
    <w:rsid w:val="00C44E27"/>
    <w:rsid w:val="00C44E49"/>
    <w:rsid w:val="00C44FCE"/>
    <w:rsid w:val="00C450D0"/>
    <w:rsid w:val="00C45106"/>
    <w:rsid w:val="00C45154"/>
    <w:rsid w:val="00C451D7"/>
    <w:rsid w:val="00C4521C"/>
    <w:rsid w:val="00C453F2"/>
    <w:rsid w:val="00C454DA"/>
    <w:rsid w:val="00C454ED"/>
    <w:rsid w:val="00C45541"/>
    <w:rsid w:val="00C45703"/>
    <w:rsid w:val="00C4573D"/>
    <w:rsid w:val="00C458F8"/>
    <w:rsid w:val="00C459E2"/>
    <w:rsid w:val="00C45A93"/>
    <w:rsid w:val="00C45ADC"/>
    <w:rsid w:val="00C45AF6"/>
    <w:rsid w:val="00C45C1B"/>
    <w:rsid w:val="00C464CD"/>
    <w:rsid w:val="00C464ED"/>
    <w:rsid w:val="00C4664F"/>
    <w:rsid w:val="00C4666B"/>
    <w:rsid w:val="00C46822"/>
    <w:rsid w:val="00C4694D"/>
    <w:rsid w:val="00C46957"/>
    <w:rsid w:val="00C469AC"/>
    <w:rsid w:val="00C46A32"/>
    <w:rsid w:val="00C46BEB"/>
    <w:rsid w:val="00C46C74"/>
    <w:rsid w:val="00C470AC"/>
    <w:rsid w:val="00C47154"/>
    <w:rsid w:val="00C471F6"/>
    <w:rsid w:val="00C472A1"/>
    <w:rsid w:val="00C472D0"/>
    <w:rsid w:val="00C4730D"/>
    <w:rsid w:val="00C474CD"/>
    <w:rsid w:val="00C474D2"/>
    <w:rsid w:val="00C478E5"/>
    <w:rsid w:val="00C47B03"/>
    <w:rsid w:val="00C47B36"/>
    <w:rsid w:val="00C47B9B"/>
    <w:rsid w:val="00C47BA1"/>
    <w:rsid w:val="00C47BA7"/>
    <w:rsid w:val="00C47BBD"/>
    <w:rsid w:val="00C47BC7"/>
    <w:rsid w:val="00C47E8D"/>
    <w:rsid w:val="00C47F9F"/>
    <w:rsid w:val="00C5005F"/>
    <w:rsid w:val="00C502BF"/>
    <w:rsid w:val="00C503B3"/>
    <w:rsid w:val="00C505F3"/>
    <w:rsid w:val="00C5062A"/>
    <w:rsid w:val="00C507E8"/>
    <w:rsid w:val="00C50816"/>
    <w:rsid w:val="00C5087B"/>
    <w:rsid w:val="00C50A9E"/>
    <w:rsid w:val="00C50B36"/>
    <w:rsid w:val="00C50B7D"/>
    <w:rsid w:val="00C50C46"/>
    <w:rsid w:val="00C50CBE"/>
    <w:rsid w:val="00C50EE5"/>
    <w:rsid w:val="00C50F9A"/>
    <w:rsid w:val="00C50FCC"/>
    <w:rsid w:val="00C51143"/>
    <w:rsid w:val="00C51174"/>
    <w:rsid w:val="00C51175"/>
    <w:rsid w:val="00C513A5"/>
    <w:rsid w:val="00C51477"/>
    <w:rsid w:val="00C514B6"/>
    <w:rsid w:val="00C51755"/>
    <w:rsid w:val="00C517A5"/>
    <w:rsid w:val="00C51973"/>
    <w:rsid w:val="00C519C0"/>
    <w:rsid w:val="00C51BBB"/>
    <w:rsid w:val="00C51C52"/>
    <w:rsid w:val="00C51EB3"/>
    <w:rsid w:val="00C51EBE"/>
    <w:rsid w:val="00C51F72"/>
    <w:rsid w:val="00C51FEE"/>
    <w:rsid w:val="00C520E2"/>
    <w:rsid w:val="00C52111"/>
    <w:rsid w:val="00C5218A"/>
    <w:rsid w:val="00C5228C"/>
    <w:rsid w:val="00C52388"/>
    <w:rsid w:val="00C523BA"/>
    <w:rsid w:val="00C523F3"/>
    <w:rsid w:val="00C5240F"/>
    <w:rsid w:val="00C52476"/>
    <w:rsid w:val="00C5255D"/>
    <w:rsid w:val="00C527DB"/>
    <w:rsid w:val="00C5286D"/>
    <w:rsid w:val="00C528B0"/>
    <w:rsid w:val="00C528CD"/>
    <w:rsid w:val="00C52BCB"/>
    <w:rsid w:val="00C52BF5"/>
    <w:rsid w:val="00C52FC3"/>
    <w:rsid w:val="00C53083"/>
    <w:rsid w:val="00C53163"/>
    <w:rsid w:val="00C533CF"/>
    <w:rsid w:val="00C53488"/>
    <w:rsid w:val="00C53503"/>
    <w:rsid w:val="00C53573"/>
    <w:rsid w:val="00C5362F"/>
    <w:rsid w:val="00C537F4"/>
    <w:rsid w:val="00C5383C"/>
    <w:rsid w:val="00C53A65"/>
    <w:rsid w:val="00C53B09"/>
    <w:rsid w:val="00C53F6D"/>
    <w:rsid w:val="00C541BD"/>
    <w:rsid w:val="00C541D3"/>
    <w:rsid w:val="00C54349"/>
    <w:rsid w:val="00C543AA"/>
    <w:rsid w:val="00C54457"/>
    <w:rsid w:val="00C54489"/>
    <w:rsid w:val="00C544DA"/>
    <w:rsid w:val="00C54547"/>
    <w:rsid w:val="00C54570"/>
    <w:rsid w:val="00C5465E"/>
    <w:rsid w:val="00C546D2"/>
    <w:rsid w:val="00C54831"/>
    <w:rsid w:val="00C54958"/>
    <w:rsid w:val="00C550F6"/>
    <w:rsid w:val="00C550FE"/>
    <w:rsid w:val="00C553CF"/>
    <w:rsid w:val="00C554D2"/>
    <w:rsid w:val="00C5562A"/>
    <w:rsid w:val="00C55728"/>
    <w:rsid w:val="00C5595A"/>
    <w:rsid w:val="00C55ABC"/>
    <w:rsid w:val="00C55AEA"/>
    <w:rsid w:val="00C55C64"/>
    <w:rsid w:val="00C55E69"/>
    <w:rsid w:val="00C55EBD"/>
    <w:rsid w:val="00C55EC1"/>
    <w:rsid w:val="00C55EDC"/>
    <w:rsid w:val="00C55FFC"/>
    <w:rsid w:val="00C56078"/>
    <w:rsid w:val="00C560A9"/>
    <w:rsid w:val="00C56125"/>
    <w:rsid w:val="00C56127"/>
    <w:rsid w:val="00C5616D"/>
    <w:rsid w:val="00C561F7"/>
    <w:rsid w:val="00C562A1"/>
    <w:rsid w:val="00C562F8"/>
    <w:rsid w:val="00C56421"/>
    <w:rsid w:val="00C56744"/>
    <w:rsid w:val="00C56815"/>
    <w:rsid w:val="00C5683A"/>
    <w:rsid w:val="00C5689B"/>
    <w:rsid w:val="00C569B1"/>
    <w:rsid w:val="00C569F0"/>
    <w:rsid w:val="00C56B90"/>
    <w:rsid w:val="00C56BD4"/>
    <w:rsid w:val="00C56CCA"/>
    <w:rsid w:val="00C56D2C"/>
    <w:rsid w:val="00C56D35"/>
    <w:rsid w:val="00C56E94"/>
    <w:rsid w:val="00C57031"/>
    <w:rsid w:val="00C57050"/>
    <w:rsid w:val="00C57228"/>
    <w:rsid w:val="00C573D4"/>
    <w:rsid w:val="00C576F8"/>
    <w:rsid w:val="00C5778F"/>
    <w:rsid w:val="00C577E7"/>
    <w:rsid w:val="00C579E1"/>
    <w:rsid w:val="00C57A87"/>
    <w:rsid w:val="00C57B48"/>
    <w:rsid w:val="00C57DFA"/>
    <w:rsid w:val="00C57E60"/>
    <w:rsid w:val="00C57F46"/>
    <w:rsid w:val="00C60051"/>
    <w:rsid w:val="00C6022F"/>
    <w:rsid w:val="00C6051D"/>
    <w:rsid w:val="00C605DC"/>
    <w:rsid w:val="00C606EE"/>
    <w:rsid w:val="00C6096D"/>
    <w:rsid w:val="00C609B9"/>
    <w:rsid w:val="00C609F4"/>
    <w:rsid w:val="00C60C07"/>
    <w:rsid w:val="00C60C96"/>
    <w:rsid w:val="00C60CC9"/>
    <w:rsid w:val="00C60CCA"/>
    <w:rsid w:val="00C60D4F"/>
    <w:rsid w:val="00C60FBB"/>
    <w:rsid w:val="00C610A2"/>
    <w:rsid w:val="00C61207"/>
    <w:rsid w:val="00C61464"/>
    <w:rsid w:val="00C61569"/>
    <w:rsid w:val="00C61570"/>
    <w:rsid w:val="00C61601"/>
    <w:rsid w:val="00C61647"/>
    <w:rsid w:val="00C6166A"/>
    <w:rsid w:val="00C61706"/>
    <w:rsid w:val="00C61736"/>
    <w:rsid w:val="00C618EA"/>
    <w:rsid w:val="00C61B36"/>
    <w:rsid w:val="00C61BD5"/>
    <w:rsid w:val="00C61C8B"/>
    <w:rsid w:val="00C61CEA"/>
    <w:rsid w:val="00C61D5C"/>
    <w:rsid w:val="00C61FAC"/>
    <w:rsid w:val="00C620F0"/>
    <w:rsid w:val="00C624B7"/>
    <w:rsid w:val="00C625A5"/>
    <w:rsid w:val="00C62761"/>
    <w:rsid w:val="00C62793"/>
    <w:rsid w:val="00C628DB"/>
    <w:rsid w:val="00C62942"/>
    <w:rsid w:val="00C62A0B"/>
    <w:rsid w:val="00C62B32"/>
    <w:rsid w:val="00C62C1D"/>
    <w:rsid w:val="00C62D67"/>
    <w:rsid w:val="00C62E07"/>
    <w:rsid w:val="00C62F6C"/>
    <w:rsid w:val="00C630B4"/>
    <w:rsid w:val="00C63340"/>
    <w:rsid w:val="00C63410"/>
    <w:rsid w:val="00C635B3"/>
    <w:rsid w:val="00C63706"/>
    <w:rsid w:val="00C6378B"/>
    <w:rsid w:val="00C63973"/>
    <w:rsid w:val="00C6397D"/>
    <w:rsid w:val="00C639C6"/>
    <w:rsid w:val="00C63B21"/>
    <w:rsid w:val="00C63C39"/>
    <w:rsid w:val="00C63D31"/>
    <w:rsid w:val="00C63F8B"/>
    <w:rsid w:val="00C6409E"/>
    <w:rsid w:val="00C640B5"/>
    <w:rsid w:val="00C6422A"/>
    <w:rsid w:val="00C64289"/>
    <w:rsid w:val="00C642D4"/>
    <w:rsid w:val="00C64305"/>
    <w:rsid w:val="00C64339"/>
    <w:rsid w:val="00C64784"/>
    <w:rsid w:val="00C6484C"/>
    <w:rsid w:val="00C64A09"/>
    <w:rsid w:val="00C64A32"/>
    <w:rsid w:val="00C64A37"/>
    <w:rsid w:val="00C64A74"/>
    <w:rsid w:val="00C64CB4"/>
    <w:rsid w:val="00C64DEF"/>
    <w:rsid w:val="00C64E23"/>
    <w:rsid w:val="00C64F6A"/>
    <w:rsid w:val="00C65015"/>
    <w:rsid w:val="00C65260"/>
    <w:rsid w:val="00C65272"/>
    <w:rsid w:val="00C6531B"/>
    <w:rsid w:val="00C653B9"/>
    <w:rsid w:val="00C6541B"/>
    <w:rsid w:val="00C65420"/>
    <w:rsid w:val="00C65432"/>
    <w:rsid w:val="00C6548C"/>
    <w:rsid w:val="00C656F4"/>
    <w:rsid w:val="00C65784"/>
    <w:rsid w:val="00C6596D"/>
    <w:rsid w:val="00C65ABD"/>
    <w:rsid w:val="00C65B81"/>
    <w:rsid w:val="00C65BA0"/>
    <w:rsid w:val="00C65E93"/>
    <w:rsid w:val="00C65EC0"/>
    <w:rsid w:val="00C65F55"/>
    <w:rsid w:val="00C66061"/>
    <w:rsid w:val="00C661EA"/>
    <w:rsid w:val="00C6626A"/>
    <w:rsid w:val="00C6635A"/>
    <w:rsid w:val="00C6638C"/>
    <w:rsid w:val="00C663D7"/>
    <w:rsid w:val="00C664A6"/>
    <w:rsid w:val="00C66955"/>
    <w:rsid w:val="00C66993"/>
    <w:rsid w:val="00C6699E"/>
    <w:rsid w:val="00C66B47"/>
    <w:rsid w:val="00C66E4E"/>
    <w:rsid w:val="00C66EF7"/>
    <w:rsid w:val="00C66F43"/>
    <w:rsid w:val="00C66FF1"/>
    <w:rsid w:val="00C67143"/>
    <w:rsid w:val="00C671B7"/>
    <w:rsid w:val="00C67293"/>
    <w:rsid w:val="00C672E8"/>
    <w:rsid w:val="00C67370"/>
    <w:rsid w:val="00C67393"/>
    <w:rsid w:val="00C6747D"/>
    <w:rsid w:val="00C674F4"/>
    <w:rsid w:val="00C67666"/>
    <w:rsid w:val="00C676B4"/>
    <w:rsid w:val="00C6774F"/>
    <w:rsid w:val="00C67870"/>
    <w:rsid w:val="00C678F5"/>
    <w:rsid w:val="00C67987"/>
    <w:rsid w:val="00C67B32"/>
    <w:rsid w:val="00C67B43"/>
    <w:rsid w:val="00C67C01"/>
    <w:rsid w:val="00C67C4B"/>
    <w:rsid w:val="00C67DDF"/>
    <w:rsid w:val="00C67F3A"/>
    <w:rsid w:val="00C67F69"/>
    <w:rsid w:val="00C70177"/>
    <w:rsid w:val="00C7017D"/>
    <w:rsid w:val="00C701D5"/>
    <w:rsid w:val="00C7027E"/>
    <w:rsid w:val="00C704A9"/>
    <w:rsid w:val="00C7051B"/>
    <w:rsid w:val="00C707A0"/>
    <w:rsid w:val="00C70992"/>
    <w:rsid w:val="00C70A48"/>
    <w:rsid w:val="00C70A57"/>
    <w:rsid w:val="00C70A6F"/>
    <w:rsid w:val="00C70BAD"/>
    <w:rsid w:val="00C70C01"/>
    <w:rsid w:val="00C70C9D"/>
    <w:rsid w:val="00C70D03"/>
    <w:rsid w:val="00C70D90"/>
    <w:rsid w:val="00C70DA4"/>
    <w:rsid w:val="00C70E14"/>
    <w:rsid w:val="00C70F4A"/>
    <w:rsid w:val="00C71068"/>
    <w:rsid w:val="00C71158"/>
    <w:rsid w:val="00C71185"/>
    <w:rsid w:val="00C7130A"/>
    <w:rsid w:val="00C715A8"/>
    <w:rsid w:val="00C715E2"/>
    <w:rsid w:val="00C71613"/>
    <w:rsid w:val="00C7166B"/>
    <w:rsid w:val="00C716BF"/>
    <w:rsid w:val="00C71938"/>
    <w:rsid w:val="00C719AC"/>
    <w:rsid w:val="00C719C0"/>
    <w:rsid w:val="00C71C49"/>
    <w:rsid w:val="00C71E18"/>
    <w:rsid w:val="00C71E78"/>
    <w:rsid w:val="00C71E7E"/>
    <w:rsid w:val="00C71F23"/>
    <w:rsid w:val="00C72090"/>
    <w:rsid w:val="00C7219A"/>
    <w:rsid w:val="00C721E3"/>
    <w:rsid w:val="00C721F7"/>
    <w:rsid w:val="00C72239"/>
    <w:rsid w:val="00C72353"/>
    <w:rsid w:val="00C7264D"/>
    <w:rsid w:val="00C727C1"/>
    <w:rsid w:val="00C7283E"/>
    <w:rsid w:val="00C72879"/>
    <w:rsid w:val="00C728B0"/>
    <w:rsid w:val="00C728D0"/>
    <w:rsid w:val="00C72AD9"/>
    <w:rsid w:val="00C72B29"/>
    <w:rsid w:val="00C72BB3"/>
    <w:rsid w:val="00C72CA0"/>
    <w:rsid w:val="00C72E68"/>
    <w:rsid w:val="00C72FC8"/>
    <w:rsid w:val="00C730B2"/>
    <w:rsid w:val="00C73118"/>
    <w:rsid w:val="00C73291"/>
    <w:rsid w:val="00C734EC"/>
    <w:rsid w:val="00C73690"/>
    <w:rsid w:val="00C737AD"/>
    <w:rsid w:val="00C7390C"/>
    <w:rsid w:val="00C73928"/>
    <w:rsid w:val="00C73C64"/>
    <w:rsid w:val="00C73C8E"/>
    <w:rsid w:val="00C73DD5"/>
    <w:rsid w:val="00C73DEB"/>
    <w:rsid w:val="00C73E1F"/>
    <w:rsid w:val="00C73EBA"/>
    <w:rsid w:val="00C73F08"/>
    <w:rsid w:val="00C73FED"/>
    <w:rsid w:val="00C7419E"/>
    <w:rsid w:val="00C7425B"/>
    <w:rsid w:val="00C744E2"/>
    <w:rsid w:val="00C74522"/>
    <w:rsid w:val="00C74558"/>
    <w:rsid w:val="00C745E7"/>
    <w:rsid w:val="00C74620"/>
    <w:rsid w:val="00C746AD"/>
    <w:rsid w:val="00C74847"/>
    <w:rsid w:val="00C748A8"/>
    <w:rsid w:val="00C74935"/>
    <w:rsid w:val="00C74BB2"/>
    <w:rsid w:val="00C74BFD"/>
    <w:rsid w:val="00C74CF1"/>
    <w:rsid w:val="00C74CF4"/>
    <w:rsid w:val="00C750A7"/>
    <w:rsid w:val="00C750F1"/>
    <w:rsid w:val="00C752C2"/>
    <w:rsid w:val="00C752C9"/>
    <w:rsid w:val="00C75327"/>
    <w:rsid w:val="00C754DC"/>
    <w:rsid w:val="00C75575"/>
    <w:rsid w:val="00C756BD"/>
    <w:rsid w:val="00C75893"/>
    <w:rsid w:val="00C75897"/>
    <w:rsid w:val="00C758F6"/>
    <w:rsid w:val="00C75904"/>
    <w:rsid w:val="00C759A4"/>
    <w:rsid w:val="00C75AB2"/>
    <w:rsid w:val="00C75BC5"/>
    <w:rsid w:val="00C75CBB"/>
    <w:rsid w:val="00C75EAA"/>
    <w:rsid w:val="00C75FA2"/>
    <w:rsid w:val="00C761BF"/>
    <w:rsid w:val="00C76318"/>
    <w:rsid w:val="00C7637D"/>
    <w:rsid w:val="00C76404"/>
    <w:rsid w:val="00C7670D"/>
    <w:rsid w:val="00C76733"/>
    <w:rsid w:val="00C76852"/>
    <w:rsid w:val="00C76883"/>
    <w:rsid w:val="00C768DD"/>
    <w:rsid w:val="00C76A9A"/>
    <w:rsid w:val="00C76B5E"/>
    <w:rsid w:val="00C76DC5"/>
    <w:rsid w:val="00C76E04"/>
    <w:rsid w:val="00C76F08"/>
    <w:rsid w:val="00C77085"/>
    <w:rsid w:val="00C770D4"/>
    <w:rsid w:val="00C770F3"/>
    <w:rsid w:val="00C7742C"/>
    <w:rsid w:val="00C7770C"/>
    <w:rsid w:val="00C77714"/>
    <w:rsid w:val="00C777E6"/>
    <w:rsid w:val="00C777E8"/>
    <w:rsid w:val="00C7782F"/>
    <w:rsid w:val="00C778EC"/>
    <w:rsid w:val="00C77998"/>
    <w:rsid w:val="00C779B4"/>
    <w:rsid w:val="00C77A78"/>
    <w:rsid w:val="00C77B1B"/>
    <w:rsid w:val="00C77BC2"/>
    <w:rsid w:val="00C77CE1"/>
    <w:rsid w:val="00C77CF3"/>
    <w:rsid w:val="00C77E2E"/>
    <w:rsid w:val="00C77E58"/>
    <w:rsid w:val="00C80217"/>
    <w:rsid w:val="00C802A4"/>
    <w:rsid w:val="00C802CB"/>
    <w:rsid w:val="00C802FB"/>
    <w:rsid w:val="00C80351"/>
    <w:rsid w:val="00C8038F"/>
    <w:rsid w:val="00C80837"/>
    <w:rsid w:val="00C80871"/>
    <w:rsid w:val="00C8092C"/>
    <w:rsid w:val="00C80952"/>
    <w:rsid w:val="00C80A08"/>
    <w:rsid w:val="00C80AAA"/>
    <w:rsid w:val="00C80B7D"/>
    <w:rsid w:val="00C80BFF"/>
    <w:rsid w:val="00C80C20"/>
    <w:rsid w:val="00C80C56"/>
    <w:rsid w:val="00C80E80"/>
    <w:rsid w:val="00C80FEF"/>
    <w:rsid w:val="00C810AA"/>
    <w:rsid w:val="00C810E0"/>
    <w:rsid w:val="00C81151"/>
    <w:rsid w:val="00C8116D"/>
    <w:rsid w:val="00C811F4"/>
    <w:rsid w:val="00C81207"/>
    <w:rsid w:val="00C8137C"/>
    <w:rsid w:val="00C8139C"/>
    <w:rsid w:val="00C813C8"/>
    <w:rsid w:val="00C81615"/>
    <w:rsid w:val="00C817F5"/>
    <w:rsid w:val="00C819F5"/>
    <w:rsid w:val="00C81B3C"/>
    <w:rsid w:val="00C81B8A"/>
    <w:rsid w:val="00C81D37"/>
    <w:rsid w:val="00C81E69"/>
    <w:rsid w:val="00C81EC1"/>
    <w:rsid w:val="00C82026"/>
    <w:rsid w:val="00C8205F"/>
    <w:rsid w:val="00C820AC"/>
    <w:rsid w:val="00C820C7"/>
    <w:rsid w:val="00C82138"/>
    <w:rsid w:val="00C8227D"/>
    <w:rsid w:val="00C82301"/>
    <w:rsid w:val="00C8234A"/>
    <w:rsid w:val="00C82400"/>
    <w:rsid w:val="00C824CF"/>
    <w:rsid w:val="00C825B7"/>
    <w:rsid w:val="00C82700"/>
    <w:rsid w:val="00C8271F"/>
    <w:rsid w:val="00C82899"/>
    <w:rsid w:val="00C828B6"/>
    <w:rsid w:val="00C82AC4"/>
    <w:rsid w:val="00C82B8A"/>
    <w:rsid w:val="00C82C1E"/>
    <w:rsid w:val="00C82D28"/>
    <w:rsid w:val="00C82E09"/>
    <w:rsid w:val="00C82E10"/>
    <w:rsid w:val="00C83036"/>
    <w:rsid w:val="00C83134"/>
    <w:rsid w:val="00C832E2"/>
    <w:rsid w:val="00C832E7"/>
    <w:rsid w:val="00C837B4"/>
    <w:rsid w:val="00C83903"/>
    <w:rsid w:val="00C83996"/>
    <w:rsid w:val="00C839B6"/>
    <w:rsid w:val="00C839DE"/>
    <w:rsid w:val="00C83AEE"/>
    <w:rsid w:val="00C83C18"/>
    <w:rsid w:val="00C83C74"/>
    <w:rsid w:val="00C83CEC"/>
    <w:rsid w:val="00C83D28"/>
    <w:rsid w:val="00C83E1C"/>
    <w:rsid w:val="00C83E3F"/>
    <w:rsid w:val="00C83F52"/>
    <w:rsid w:val="00C83FBA"/>
    <w:rsid w:val="00C84068"/>
    <w:rsid w:val="00C841AD"/>
    <w:rsid w:val="00C842B1"/>
    <w:rsid w:val="00C842EA"/>
    <w:rsid w:val="00C843F5"/>
    <w:rsid w:val="00C84428"/>
    <w:rsid w:val="00C8449A"/>
    <w:rsid w:val="00C84570"/>
    <w:rsid w:val="00C8464B"/>
    <w:rsid w:val="00C84722"/>
    <w:rsid w:val="00C84730"/>
    <w:rsid w:val="00C848C2"/>
    <w:rsid w:val="00C84AD4"/>
    <w:rsid w:val="00C84D25"/>
    <w:rsid w:val="00C84E8F"/>
    <w:rsid w:val="00C84FC1"/>
    <w:rsid w:val="00C85083"/>
    <w:rsid w:val="00C85206"/>
    <w:rsid w:val="00C8521E"/>
    <w:rsid w:val="00C85284"/>
    <w:rsid w:val="00C853F9"/>
    <w:rsid w:val="00C8547F"/>
    <w:rsid w:val="00C85611"/>
    <w:rsid w:val="00C85624"/>
    <w:rsid w:val="00C8575C"/>
    <w:rsid w:val="00C858F0"/>
    <w:rsid w:val="00C85CE4"/>
    <w:rsid w:val="00C85D70"/>
    <w:rsid w:val="00C85DD0"/>
    <w:rsid w:val="00C85E36"/>
    <w:rsid w:val="00C85EBF"/>
    <w:rsid w:val="00C86020"/>
    <w:rsid w:val="00C8619A"/>
    <w:rsid w:val="00C8631C"/>
    <w:rsid w:val="00C863D3"/>
    <w:rsid w:val="00C8647E"/>
    <w:rsid w:val="00C86501"/>
    <w:rsid w:val="00C8653D"/>
    <w:rsid w:val="00C86611"/>
    <w:rsid w:val="00C86792"/>
    <w:rsid w:val="00C868EC"/>
    <w:rsid w:val="00C86935"/>
    <w:rsid w:val="00C869D2"/>
    <w:rsid w:val="00C86ACF"/>
    <w:rsid w:val="00C86B51"/>
    <w:rsid w:val="00C86C20"/>
    <w:rsid w:val="00C86F5B"/>
    <w:rsid w:val="00C86FF0"/>
    <w:rsid w:val="00C87042"/>
    <w:rsid w:val="00C87084"/>
    <w:rsid w:val="00C87090"/>
    <w:rsid w:val="00C871FD"/>
    <w:rsid w:val="00C8731F"/>
    <w:rsid w:val="00C8742A"/>
    <w:rsid w:val="00C874CB"/>
    <w:rsid w:val="00C87517"/>
    <w:rsid w:val="00C87888"/>
    <w:rsid w:val="00C87896"/>
    <w:rsid w:val="00C87961"/>
    <w:rsid w:val="00C87C0F"/>
    <w:rsid w:val="00C87D4A"/>
    <w:rsid w:val="00C87E31"/>
    <w:rsid w:val="00C87ED0"/>
    <w:rsid w:val="00C87FB9"/>
    <w:rsid w:val="00C90048"/>
    <w:rsid w:val="00C901D2"/>
    <w:rsid w:val="00C90233"/>
    <w:rsid w:val="00C9023B"/>
    <w:rsid w:val="00C90507"/>
    <w:rsid w:val="00C90572"/>
    <w:rsid w:val="00C90612"/>
    <w:rsid w:val="00C9075A"/>
    <w:rsid w:val="00C90932"/>
    <w:rsid w:val="00C90BFC"/>
    <w:rsid w:val="00C90CA3"/>
    <w:rsid w:val="00C90D29"/>
    <w:rsid w:val="00C91290"/>
    <w:rsid w:val="00C91583"/>
    <w:rsid w:val="00C9186B"/>
    <w:rsid w:val="00C91880"/>
    <w:rsid w:val="00C919D7"/>
    <w:rsid w:val="00C91CED"/>
    <w:rsid w:val="00C91E2C"/>
    <w:rsid w:val="00C91E36"/>
    <w:rsid w:val="00C91F1E"/>
    <w:rsid w:val="00C92028"/>
    <w:rsid w:val="00C92237"/>
    <w:rsid w:val="00C92344"/>
    <w:rsid w:val="00C92490"/>
    <w:rsid w:val="00C924EB"/>
    <w:rsid w:val="00C925FB"/>
    <w:rsid w:val="00C92728"/>
    <w:rsid w:val="00C928C9"/>
    <w:rsid w:val="00C92DA5"/>
    <w:rsid w:val="00C92DFD"/>
    <w:rsid w:val="00C92E1B"/>
    <w:rsid w:val="00C92E85"/>
    <w:rsid w:val="00C92F77"/>
    <w:rsid w:val="00C92F7F"/>
    <w:rsid w:val="00C930B9"/>
    <w:rsid w:val="00C9322D"/>
    <w:rsid w:val="00C93299"/>
    <w:rsid w:val="00C9331D"/>
    <w:rsid w:val="00C93398"/>
    <w:rsid w:val="00C933D0"/>
    <w:rsid w:val="00C93464"/>
    <w:rsid w:val="00C93682"/>
    <w:rsid w:val="00C93685"/>
    <w:rsid w:val="00C9373C"/>
    <w:rsid w:val="00C937C4"/>
    <w:rsid w:val="00C93874"/>
    <w:rsid w:val="00C93918"/>
    <w:rsid w:val="00C93933"/>
    <w:rsid w:val="00C93971"/>
    <w:rsid w:val="00C939B7"/>
    <w:rsid w:val="00C93C78"/>
    <w:rsid w:val="00C93C83"/>
    <w:rsid w:val="00C93CD9"/>
    <w:rsid w:val="00C93E3E"/>
    <w:rsid w:val="00C93FA2"/>
    <w:rsid w:val="00C93FDC"/>
    <w:rsid w:val="00C940D4"/>
    <w:rsid w:val="00C940DC"/>
    <w:rsid w:val="00C94284"/>
    <w:rsid w:val="00C94574"/>
    <w:rsid w:val="00C945B9"/>
    <w:rsid w:val="00C94678"/>
    <w:rsid w:val="00C9478A"/>
    <w:rsid w:val="00C94A4A"/>
    <w:rsid w:val="00C94DE9"/>
    <w:rsid w:val="00C9512A"/>
    <w:rsid w:val="00C9535F"/>
    <w:rsid w:val="00C953E9"/>
    <w:rsid w:val="00C953F4"/>
    <w:rsid w:val="00C95455"/>
    <w:rsid w:val="00C95666"/>
    <w:rsid w:val="00C956D0"/>
    <w:rsid w:val="00C95933"/>
    <w:rsid w:val="00C95AFF"/>
    <w:rsid w:val="00C95D56"/>
    <w:rsid w:val="00C95DDE"/>
    <w:rsid w:val="00C95E52"/>
    <w:rsid w:val="00C9606F"/>
    <w:rsid w:val="00C9628F"/>
    <w:rsid w:val="00C96316"/>
    <w:rsid w:val="00C96508"/>
    <w:rsid w:val="00C965A3"/>
    <w:rsid w:val="00C9665A"/>
    <w:rsid w:val="00C966F3"/>
    <w:rsid w:val="00C96721"/>
    <w:rsid w:val="00C96777"/>
    <w:rsid w:val="00C968C0"/>
    <w:rsid w:val="00C96971"/>
    <w:rsid w:val="00C96AB3"/>
    <w:rsid w:val="00C96B1D"/>
    <w:rsid w:val="00C96D50"/>
    <w:rsid w:val="00C96DC4"/>
    <w:rsid w:val="00C96E9C"/>
    <w:rsid w:val="00C96ECD"/>
    <w:rsid w:val="00C96FF3"/>
    <w:rsid w:val="00C9701E"/>
    <w:rsid w:val="00C97020"/>
    <w:rsid w:val="00C971E0"/>
    <w:rsid w:val="00C97232"/>
    <w:rsid w:val="00C9726B"/>
    <w:rsid w:val="00C974FC"/>
    <w:rsid w:val="00C974FE"/>
    <w:rsid w:val="00C97552"/>
    <w:rsid w:val="00C97573"/>
    <w:rsid w:val="00C975D7"/>
    <w:rsid w:val="00C976E8"/>
    <w:rsid w:val="00C97706"/>
    <w:rsid w:val="00C9772B"/>
    <w:rsid w:val="00C97A02"/>
    <w:rsid w:val="00C97A3D"/>
    <w:rsid w:val="00C97AEC"/>
    <w:rsid w:val="00C97B91"/>
    <w:rsid w:val="00C97BEE"/>
    <w:rsid w:val="00C97EAE"/>
    <w:rsid w:val="00C97F0F"/>
    <w:rsid w:val="00CA0193"/>
    <w:rsid w:val="00CA034A"/>
    <w:rsid w:val="00CA03EF"/>
    <w:rsid w:val="00CA0544"/>
    <w:rsid w:val="00CA05CF"/>
    <w:rsid w:val="00CA0627"/>
    <w:rsid w:val="00CA06AE"/>
    <w:rsid w:val="00CA06FE"/>
    <w:rsid w:val="00CA07A1"/>
    <w:rsid w:val="00CA088E"/>
    <w:rsid w:val="00CA09C1"/>
    <w:rsid w:val="00CA0B6D"/>
    <w:rsid w:val="00CA0D89"/>
    <w:rsid w:val="00CA0E38"/>
    <w:rsid w:val="00CA0F92"/>
    <w:rsid w:val="00CA0FA3"/>
    <w:rsid w:val="00CA0FEF"/>
    <w:rsid w:val="00CA1036"/>
    <w:rsid w:val="00CA140F"/>
    <w:rsid w:val="00CA15DC"/>
    <w:rsid w:val="00CA163D"/>
    <w:rsid w:val="00CA169B"/>
    <w:rsid w:val="00CA16F7"/>
    <w:rsid w:val="00CA185F"/>
    <w:rsid w:val="00CA18DF"/>
    <w:rsid w:val="00CA198F"/>
    <w:rsid w:val="00CA199E"/>
    <w:rsid w:val="00CA1A6F"/>
    <w:rsid w:val="00CA1AAF"/>
    <w:rsid w:val="00CA1ABE"/>
    <w:rsid w:val="00CA1B30"/>
    <w:rsid w:val="00CA1D45"/>
    <w:rsid w:val="00CA1E3A"/>
    <w:rsid w:val="00CA1E3C"/>
    <w:rsid w:val="00CA1EA0"/>
    <w:rsid w:val="00CA1F24"/>
    <w:rsid w:val="00CA2093"/>
    <w:rsid w:val="00CA21B4"/>
    <w:rsid w:val="00CA2257"/>
    <w:rsid w:val="00CA227C"/>
    <w:rsid w:val="00CA24E7"/>
    <w:rsid w:val="00CA24F9"/>
    <w:rsid w:val="00CA2510"/>
    <w:rsid w:val="00CA25F2"/>
    <w:rsid w:val="00CA272A"/>
    <w:rsid w:val="00CA2923"/>
    <w:rsid w:val="00CA292E"/>
    <w:rsid w:val="00CA29BF"/>
    <w:rsid w:val="00CA2A97"/>
    <w:rsid w:val="00CA2AFE"/>
    <w:rsid w:val="00CA2C0B"/>
    <w:rsid w:val="00CA2C11"/>
    <w:rsid w:val="00CA2DE2"/>
    <w:rsid w:val="00CA2EE8"/>
    <w:rsid w:val="00CA3092"/>
    <w:rsid w:val="00CA30A0"/>
    <w:rsid w:val="00CA31BE"/>
    <w:rsid w:val="00CA32F4"/>
    <w:rsid w:val="00CA336F"/>
    <w:rsid w:val="00CA350D"/>
    <w:rsid w:val="00CA35AC"/>
    <w:rsid w:val="00CA3660"/>
    <w:rsid w:val="00CA36B8"/>
    <w:rsid w:val="00CA36C0"/>
    <w:rsid w:val="00CA375B"/>
    <w:rsid w:val="00CA37D0"/>
    <w:rsid w:val="00CA3954"/>
    <w:rsid w:val="00CA3964"/>
    <w:rsid w:val="00CA3971"/>
    <w:rsid w:val="00CA3995"/>
    <w:rsid w:val="00CA3B07"/>
    <w:rsid w:val="00CA3B57"/>
    <w:rsid w:val="00CA3E09"/>
    <w:rsid w:val="00CA40FB"/>
    <w:rsid w:val="00CA410C"/>
    <w:rsid w:val="00CA41B3"/>
    <w:rsid w:val="00CA426B"/>
    <w:rsid w:val="00CA42AD"/>
    <w:rsid w:val="00CA42BD"/>
    <w:rsid w:val="00CA42EA"/>
    <w:rsid w:val="00CA4347"/>
    <w:rsid w:val="00CA4445"/>
    <w:rsid w:val="00CA465F"/>
    <w:rsid w:val="00CA46D2"/>
    <w:rsid w:val="00CA481B"/>
    <w:rsid w:val="00CA491F"/>
    <w:rsid w:val="00CA4933"/>
    <w:rsid w:val="00CA4A03"/>
    <w:rsid w:val="00CA4AA9"/>
    <w:rsid w:val="00CA4EEE"/>
    <w:rsid w:val="00CA511F"/>
    <w:rsid w:val="00CA522C"/>
    <w:rsid w:val="00CA52A7"/>
    <w:rsid w:val="00CA52F7"/>
    <w:rsid w:val="00CA56B5"/>
    <w:rsid w:val="00CA5795"/>
    <w:rsid w:val="00CA57A2"/>
    <w:rsid w:val="00CA57A7"/>
    <w:rsid w:val="00CA581C"/>
    <w:rsid w:val="00CA5873"/>
    <w:rsid w:val="00CA589C"/>
    <w:rsid w:val="00CA59FA"/>
    <w:rsid w:val="00CA5B83"/>
    <w:rsid w:val="00CA5B8C"/>
    <w:rsid w:val="00CA5C2A"/>
    <w:rsid w:val="00CA5DA7"/>
    <w:rsid w:val="00CA5E43"/>
    <w:rsid w:val="00CA5E4C"/>
    <w:rsid w:val="00CA5F21"/>
    <w:rsid w:val="00CA63E3"/>
    <w:rsid w:val="00CA661A"/>
    <w:rsid w:val="00CA6879"/>
    <w:rsid w:val="00CA68FD"/>
    <w:rsid w:val="00CA6934"/>
    <w:rsid w:val="00CA69AD"/>
    <w:rsid w:val="00CA69B2"/>
    <w:rsid w:val="00CA69D7"/>
    <w:rsid w:val="00CA6A8E"/>
    <w:rsid w:val="00CA6B76"/>
    <w:rsid w:val="00CA6B77"/>
    <w:rsid w:val="00CA6CA3"/>
    <w:rsid w:val="00CA6E37"/>
    <w:rsid w:val="00CA6E39"/>
    <w:rsid w:val="00CA7107"/>
    <w:rsid w:val="00CA7306"/>
    <w:rsid w:val="00CA7629"/>
    <w:rsid w:val="00CA766C"/>
    <w:rsid w:val="00CA7715"/>
    <w:rsid w:val="00CA7746"/>
    <w:rsid w:val="00CA774A"/>
    <w:rsid w:val="00CA79D8"/>
    <w:rsid w:val="00CA7AA7"/>
    <w:rsid w:val="00CA7DFA"/>
    <w:rsid w:val="00CB00A7"/>
    <w:rsid w:val="00CB0160"/>
    <w:rsid w:val="00CB01CE"/>
    <w:rsid w:val="00CB0260"/>
    <w:rsid w:val="00CB02D2"/>
    <w:rsid w:val="00CB047A"/>
    <w:rsid w:val="00CB04BF"/>
    <w:rsid w:val="00CB05EA"/>
    <w:rsid w:val="00CB0642"/>
    <w:rsid w:val="00CB06EB"/>
    <w:rsid w:val="00CB07F5"/>
    <w:rsid w:val="00CB0898"/>
    <w:rsid w:val="00CB08B4"/>
    <w:rsid w:val="00CB08F3"/>
    <w:rsid w:val="00CB09F8"/>
    <w:rsid w:val="00CB0B2F"/>
    <w:rsid w:val="00CB0C19"/>
    <w:rsid w:val="00CB0C53"/>
    <w:rsid w:val="00CB0D93"/>
    <w:rsid w:val="00CB0E39"/>
    <w:rsid w:val="00CB0E5A"/>
    <w:rsid w:val="00CB0EA1"/>
    <w:rsid w:val="00CB0EC0"/>
    <w:rsid w:val="00CB12D8"/>
    <w:rsid w:val="00CB12EA"/>
    <w:rsid w:val="00CB12F7"/>
    <w:rsid w:val="00CB136D"/>
    <w:rsid w:val="00CB1405"/>
    <w:rsid w:val="00CB1472"/>
    <w:rsid w:val="00CB196E"/>
    <w:rsid w:val="00CB1B52"/>
    <w:rsid w:val="00CB1BAB"/>
    <w:rsid w:val="00CB1FB0"/>
    <w:rsid w:val="00CB1FF6"/>
    <w:rsid w:val="00CB2144"/>
    <w:rsid w:val="00CB221C"/>
    <w:rsid w:val="00CB2363"/>
    <w:rsid w:val="00CB23EB"/>
    <w:rsid w:val="00CB25FE"/>
    <w:rsid w:val="00CB26D1"/>
    <w:rsid w:val="00CB26D9"/>
    <w:rsid w:val="00CB27AE"/>
    <w:rsid w:val="00CB284E"/>
    <w:rsid w:val="00CB2AB6"/>
    <w:rsid w:val="00CB2B05"/>
    <w:rsid w:val="00CB2C13"/>
    <w:rsid w:val="00CB2C57"/>
    <w:rsid w:val="00CB2E23"/>
    <w:rsid w:val="00CB30A0"/>
    <w:rsid w:val="00CB3123"/>
    <w:rsid w:val="00CB32C8"/>
    <w:rsid w:val="00CB32DB"/>
    <w:rsid w:val="00CB35FC"/>
    <w:rsid w:val="00CB361C"/>
    <w:rsid w:val="00CB37DD"/>
    <w:rsid w:val="00CB381B"/>
    <w:rsid w:val="00CB3851"/>
    <w:rsid w:val="00CB39BC"/>
    <w:rsid w:val="00CB3A32"/>
    <w:rsid w:val="00CB3AA9"/>
    <w:rsid w:val="00CB3BBC"/>
    <w:rsid w:val="00CB3CED"/>
    <w:rsid w:val="00CB3CF7"/>
    <w:rsid w:val="00CB3ED3"/>
    <w:rsid w:val="00CB3F71"/>
    <w:rsid w:val="00CB3FBD"/>
    <w:rsid w:val="00CB4011"/>
    <w:rsid w:val="00CB41BB"/>
    <w:rsid w:val="00CB4204"/>
    <w:rsid w:val="00CB43D9"/>
    <w:rsid w:val="00CB446F"/>
    <w:rsid w:val="00CB4484"/>
    <w:rsid w:val="00CB4657"/>
    <w:rsid w:val="00CB480E"/>
    <w:rsid w:val="00CB49C0"/>
    <w:rsid w:val="00CB4A5A"/>
    <w:rsid w:val="00CB4AD6"/>
    <w:rsid w:val="00CB4BE9"/>
    <w:rsid w:val="00CB4CD8"/>
    <w:rsid w:val="00CB4E26"/>
    <w:rsid w:val="00CB4F3B"/>
    <w:rsid w:val="00CB4F5E"/>
    <w:rsid w:val="00CB50D9"/>
    <w:rsid w:val="00CB50DD"/>
    <w:rsid w:val="00CB5141"/>
    <w:rsid w:val="00CB5195"/>
    <w:rsid w:val="00CB5350"/>
    <w:rsid w:val="00CB53DC"/>
    <w:rsid w:val="00CB5439"/>
    <w:rsid w:val="00CB543E"/>
    <w:rsid w:val="00CB5544"/>
    <w:rsid w:val="00CB5555"/>
    <w:rsid w:val="00CB56B6"/>
    <w:rsid w:val="00CB570B"/>
    <w:rsid w:val="00CB59AE"/>
    <w:rsid w:val="00CB5A15"/>
    <w:rsid w:val="00CB5A43"/>
    <w:rsid w:val="00CB5AF0"/>
    <w:rsid w:val="00CB5D87"/>
    <w:rsid w:val="00CB5DB1"/>
    <w:rsid w:val="00CB5F4D"/>
    <w:rsid w:val="00CB5FF8"/>
    <w:rsid w:val="00CB60B8"/>
    <w:rsid w:val="00CB62F3"/>
    <w:rsid w:val="00CB6404"/>
    <w:rsid w:val="00CB644C"/>
    <w:rsid w:val="00CB669E"/>
    <w:rsid w:val="00CB6857"/>
    <w:rsid w:val="00CB688F"/>
    <w:rsid w:val="00CB6947"/>
    <w:rsid w:val="00CB6959"/>
    <w:rsid w:val="00CB6C24"/>
    <w:rsid w:val="00CB6D23"/>
    <w:rsid w:val="00CB6D93"/>
    <w:rsid w:val="00CB6F73"/>
    <w:rsid w:val="00CB7110"/>
    <w:rsid w:val="00CB711A"/>
    <w:rsid w:val="00CB7178"/>
    <w:rsid w:val="00CB7189"/>
    <w:rsid w:val="00CB7207"/>
    <w:rsid w:val="00CB7280"/>
    <w:rsid w:val="00CB7393"/>
    <w:rsid w:val="00CB75BE"/>
    <w:rsid w:val="00CB7641"/>
    <w:rsid w:val="00CB7669"/>
    <w:rsid w:val="00CB7745"/>
    <w:rsid w:val="00CB7746"/>
    <w:rsid w:val="00CB77FE"/>
    <w:rsid w:val="00CB785E"/>
    <w:rsid w:val="00CB7912"/>
    <w:rsid w:val="00CB79D8"/>
    <w:rsid w:val="00CB7B3D"/>
    <w:rsid w:val="00CB7CCE"/>
    <w:rsid w:val="00CB7E9A"/>
    <w:rsid w:val="00CB7F41"/>
    <w:rsid w:val="00CB7F5D"/>
    <w:rsid w:val="00CB7FAB"/>
    <w:rsid w:val="00CC0033"/>
    <w:rsid w:val="00CC0346"/>
    <w:rsid w:val="00CC046C"/>
    <w:rsid w:val="00CC0627"/>
    <w:rsid w:val="00CC0657"/>
    <w:rsid w:val="00CC071E"/>
    <w:rsid w:val="00CC08D9"/>
    <w:rsid w:val="00CC0901"/>
    <w:rsid w:val="00CC09F8"/>
    <w:rsid w:val="00CC0ACC"/>
    <w:rsid w:val="00CC0D47"/>
    <w:rsid w:val="00CC0FBB"/>
    <w:rsid w:val="00CC0FBC"/>
    <w:rsid w:val="00CC104A"/>
    <w:rsid w:val="00CC10D2"/>
    <w:rsid w:val="00CC1639"/>
    <w:rsid w:val="00CC16D1"/>
    <w:rsid w:val="00CC1B97"/>
    <w:rsid w:val="00CC1D02"/>
    <w:rsid w:val="00CC1D14"/>
    <w:rsid w:val="00CC1D3C"/>
    <w:rsid w:val="00CC1D9B"/>
    <w:rsid w:val="00CC1DBD"/>
    <w:rsid w:val="00CC1F21"/>
    <w:rsid w:val="00CC202B"/>
    <w:rsid w:val="00CC2034"/>
    <w:rsid w:val="00CC2070"/>
    <w:rsid w:val="00CC208D"/>
    <w:rsid w:val="00CC21EC"/>
    <w:rsid w:val="00CC21F4"/>
    <w:rsid w:val="00CC2212"/>
    <w:rsid w:val="00CC23C6"/>
    <w:rsid w:val="00CC23E5"/>
    <w:rsid w:val="00CC2472"/>
    <w:rsid w:val="00CC2827"/>
    <w:rsid w:val="00CC2A59"/>
    <w:rsid w:val="00CC2BF9"/>
    <w:rsid w:val="00CC2C48"/>
    <w:rsid w:val="00CC2C9D"/>
    <w:rsid w:val="00CC2DFC"/>
    <w:rsid w:val="00CC2E39"/>
    <w:rsid w:val="00CC2E8E"/>
    <w:rsid w:val="00CC2F11"/>
    <w:rsid w:val="00CC2F43"/>
    <w:rsid w:val="00CC2FF3"/>
    <w:rsid w:val="00CC315E"/>
    <w:rsid w:val="00CC3178"/>
    <w:rsid w:val="00CC31DC"/>
    <w:rsid w:val="00CC3413"/>
    <w:rsid w:val="00CC35DF"/>
    <w:rsid w:val="00CC36FB"/>
    <w:rsid w:val="00CC3742"/>
    <w:rsid w:val="00CC37FA"/>
    <w:rsid w:val="00CC3929"/>
    <w:rsid w:val="00CC3978"/>
    <w:rsid w:val="00CC3A64"/>
    <w:rsid w:val="00CC3A79"/>
    <w:rsid w:val="00CC3EB6"/>
    <w:rsid w:val="00CC40E9"/>
    <w:rsid w:val="00CC419D"/>
    <w:rsid w:val="00CC4231"/>
    <w:rsid w:val="00CC42BB"/>
    <w:rsid w:val="00CC431D"/>
    <w:rsid w:val="00CC4542"/>
    <w:rsid w:val="00CC4731"/>
    <w:rsid w:val="00CC482E"/>
    <w:rsid w:val="00CC484C"/>
    <w:rsid w:val="00CC4895"/>
    <w:rsid w:val="00CC499B"/>
    <w:rsid w:val="00CC4ACB"/>
    <w:rsid w:val="00CC4AE4"/>
    <w:rsid w:val="00CC4CA8"/>
    <w:rsid w:val="00CC4D91"/>
    <w:rsid w:val="00CC4F4C"/>
    <w:rsid w:val="00CC4F62"/>
    <w:rsid w:val="00CC4FAA"/>
    <w:rsid w:val="00CC5203"/>
    <w:rsid w:val="00CC537D"/>
    <w:rsid w:val="00CC542F"/>
    <w:rsid w:val="00CC544D"/>
    <w:rsid w:val="00CC546D"/>
    <w:rsid w:val="00CC55E6"/>
    <w:rsid w:val="00CC5772"/>
    <w:rsid w:val="00CC57D8"/>
    <w:rsid w:val="00CC58EB"/>
    <w:rsid w:val="00CC5952"/>
    <w:rsid w:val="00CC5B1C"/>
    <w:rsid w:val="00CC5C0A"/>
    <w:rsid w:val="00CC5C3D"/>
    <w:rsid w:val="00CC5C70"/>
    <w:rsid w:val="00CC5C87"/>
    <w:rsid w:val="00CC5C89"/>
    <w:rsid w:val="00CC5CB9"/>
    <w:rsid w:val="00CC5D28"/>
    <w:rsid w:val="00CC5D4C"/>
    <w:rsid w:val="00CC5EBC"/>
    <w:rsid w:val="00CC5ED0"/>
    <w:rsid w:val="00CC60A7"/>
    <w:rsid w:val="00CC60FD"/>
    <w:rsid w:val="00CC6295"/>
    <w:rsid w:val="00CC6343"/>
    <w:rsid w:val="00CC64E1"/>
    <w:rsid w:val="00CC6688"/>
    <w:rsid w:val="00CC66FE"/>
    <w:rsid w:val="00CC6857"/>
    <w:rsid w:val="00CC68F4"/>
    <w:rsid w:val="00CC6A18"/>
    <w:rsid w:val="00CC6B0C"/>
    <w:rsid w:val="00CC6B73"/>
    <w:rsid w:val="00CC6BEB"/>
    <w:rsid w:val="00CC6DB5"/>
    <w:rsid w:val="00CC6DEB"/>
    <w:rsid w:val="00CC6FB2"/>
    <w:rsid w:val="00CC6FEF"/>
    <w:rsid w:val="00CC7017"/>
    <w:rsid w:val="00CC7150"/>
    <w:rsid w:val="00CC71F9"/>
    <w:rsid w:val="00CC72C0"/>
    <w:rsid w:val="00CC73F2"/>
    <w:rsid w:val="00CC77CF"/>
    <w:rsid w:val="00CC7939"/>
    <w:rsid w:val="00CC7986"/>
    <w:rsid w:val="00CC79B7"/>
    <w:rsid w:val="00CC79DF"/>
    <w:rsid w:val="00CC7A64"/>
    <w:rsid w:val="00CC7BF1"/>
    <w:rsid w:val="00CC7E9E"/>
    <w:rsid w:val="00CC7EAF"/>
    <w:rsid w:val="00CC7EB0"/>
    <w:rsid w:val="00CC7EDF"/>
    <w:rsid w:val="00CD000B"/>
    <w:rsid w:val="00CD01B5"/>
    <w:rsid w:val="00CD07C1"/>
    <w:rsid w:val="00CD088F"/>
    <w:rsid w:val="00CD08FE"/>
    <w:rsid w:val="00CD09C4"/>
    <w:rsid w:val="00CD0B3F"/>
    <w:rsid w:val="00CD0B4B"/>
    <w:rsid w:val="00CD0BAB"/>
    <w:rsid w:val="00CD0C81"/>
    <w:rsid w:val="00CD0CB8"/>
    <w:rsid w:val="00CD0CDC"/>
    <w:rsid w:val="00CD0E1F"/>
    <w:rsid w:val="00CD0E51"/>
    <w:rsid w:val="00CD0F4D"/>
    <w:rsid w:val="00CD10D4"/>
    <w:rsid w:val="00CD113E"/>
    <w:rsid w:val="00CD123D"/>
    <w:rsid w:val="00CD12EF"/>
    <w:rsid w:val="00CD1646"/>
    <w:rsid w:val="00CD18CC"/>
    <w:rsid w:val="00CD19F3"/>
    <w:rsid w:val="00CD1B0D"/>
    <w:rsid w:val="00CD1BF0"/>
    <w:rsid w:val="00CD1CE1"/>
    <w:rsid w:val="00CD21ED"/>
    <w:rsid w:val="00CD223E"/>
    <w:rsid w:val="00CD2340"/>
    <w:rsid w:val="00CD2364"/>
    <w:rsid w:val="00CD2551"/>
    <w:rsid w:val="00CD259C"/>
    <w:rsid w:val="00CD2755"/>
    <w:rsid w:val="00CD27B7"/>
    <w:rsid w:val="00CD2931"/>
    <w:rsid w:val="00CD297F"/>
    <w:rsid w:val="00CD29BE"/>
    <w:rsid w:val="00CD2C5B"/>
    <w:rsid w:val="00CD2D15"/>
    <w:rsid w:val="00CD2D3F"/>
    <w:rsid w:val="00CD2D6F"/>
    <w:rsid w:val="00CD2EEE"/>
    <w:rsid w:val="00CD2F96"/>
    <w:rsid w:val="00CD3088"/>
    <w:rsid w:val="00CD30D0"/>
    <w:rsid w:val="00CD31EC"/>
    <w:rsid w:val="00CD3294"/>
    <w:rsid w:val="00CD32F8"/>
    <w:rsid w:val="00CD33DC"/>
    <w:rsid w:val="00CD3433"/>
    <w:rsid w:val="00CD34B7"/>
    <w:rsid w:val="00CD3631"/>
    <w:rsid w:val="00CD3658"/>
    <w:rsid w:val="00CD37D6"/>
    <w:rsid w:val="00CD392D"/>
    <w:rsid w:val="00CD3A37"/>
    <w:rsid w:val="00CD3BDB"/>
    <w:rsid w:val="00CD3C37"/>
    <w:rsid w:val="00CD3C4B"/>
    <w:rsid w:val="00CD3DAD"/>
    <w:rsid w:val="00CD3FDA"/>
    <w:rsid w:val="00CD42C2"/>
    <w:rsid w:val="00CD42C3"/>
    <w:rsid w:val="00CD448B"/>
    <w:rsid w:val="00CD44C0"/>
    <w:rsid w:val="00CD45E9"/>
    <w:rsid w:val="00CD4911"/>
    <w:rsid w:val="00CD49D0"/>
    <w:rsid w:val="00CD4A7A"/>
    <w:rsid w:val="00CD4ACF"/>
    <w:rsid w:val="00CD4CFB"/>
    <w:rsid w:val="00CD4D42"/>
    <w:rsid w:val="00CD4ED4"/>
    <w:rsid w:val="00CD4FA4"/>
    <w:rsid w:val="00CD519A"/>
    <w:rsid w:val="00CD5286"/>
    <w:rsid w:val="00CD52ED"/>
    <w:rsid w:val="00CD5562"/>
    <w:rsid w:val="00CD57E7"/>
    <w:rsid w:val="00CD59EA"/>
    <w:rsid w:val="00CD5A22"/>
    <w:rsid w:val="00CD5A82"/>
    <w:rsid w:val="00CD5AA8"/>
    <w:rsid w:val="00CD5B51"/>
    <w:rsid w:val="00CD5B9E"/>
    <w:rsid w:val="00CD5C4E"/>
    <w:rsid w:val="00CD5EF9"/>
    <w:rsid w:val="00CD5FE6"/>
    <w:rsid w:val="00CD615C"/>
    <w:rsid w:val="00CD627F"/>
    <w:rsid w:val="00CD63B0"/>
    <w:rsid w:val="00CD64DB"/>
    <w:rsid w:val="00CD651A"/>
    <w:rsid w:val="00CD668D"/>
    <w:rsid w:val="00CD669D"/>
    <w:rsid w:val="00CD67C2"/>
    <w:rsid w:val="00CD6897"/>
    <w:rsid w:val="00CD6A34"/>
    <w:rsid w:val="00CD6B4E"/>
    <w:rsid w:val="00CD6CC3"/>
    <w:rsid w:val="00CD6D8D"/>
    <w:rsid w:val="00CD6FAE"/>
    <w:rsid w:val="00CD70A6"/>
    <w:rsid w:val="00CD720A"/>
    <w:rsid w:val="00CD726A"/>
    <w:rsid w:val="00CD741B"/>
    <w:rsid w:val="00CD79E7"/>
    <w:rsid w:val="00CD7AA3"/>
    <w:rsid w:val="00CD7B3B"/>
    <w:rsid w:val="00CD7BFB"/>
    <w:rsid w:val="00CD7C8A"/>
    <w:rsid w:val="00CD7D07"/>
    <w:rsid w:val="00CD7DE4"/>
    <w:rsid w:val="00CD7E89"/>
    <w:rsid w:val="00CE0023"/>
    <w:rsid w:val="00CE0087"/>
    <w:rsid w:val="00CE0088"/>
    <w:rsid w:val="00CE0150"/>
    <w:rsid w:val="00CE022C"/>
    <w:rsid w:val="00CE03CB"/>
    <w:rsid w:val="00CE06D2"/>
    <w:rsid w:val="00CE08EE"/>
    <w:rsid w:val="00CE0A6B"/>
    <w:rsid w:val="00CE0A79"/>
    <w:rsid w:val="00CE0B3E"/>
    <w:rsid w:val="00CE0C6B"/>
    <w:rsid w:val="00CE0F3D"/>
    <w:rsid w:val="00CE10C1"/>
    <w:rsid w:val="00CE1200"/>
    <w:rsid w:val="00CE126C"/>
    <w:rsid w:val="00CE1424"/>
    <w:rsid w:val="00CE1495"/>
    <w:rsid w:val="00CE1547"/>
    <w:rsid w:val="00CE1760"/>
    <w:rsid w:val="00CE181F"/>
    <w:rsid w:val="00CE1A7B"/>
    <w:rsid w:val="00CE1B4B"/>
    <w:rsid w:val="00CE1C5C"/>
    <w:rsid w:val="00CE1D29"/>
    <w:rsid w:val="00CE1DB7"/>
    <w:rsid w:val="00CE2012"/>
    <w:rsid w:val="00CE2067"/>
    <w:rsid w:val="00CE2096"/>
    <w:rsid w:val="00CE22B2"/>
    <w:rsid w:val="00CE245A"/>
    <w:rsid w:val="00CE2470"/>
    <w:rsid w:val="00CE2818"/>
    <w:rsid w:val="00CE2843"/>
    <w:rsid w:val="00CE2B19"/>
    <w:rsid w:val="00CE2B9C"/>
    <w:rsid w:val="00CE2D44"/>
    <w:rsid w:val="00CE2E01"/>
    <w:rsid w:val="00CE2E20"/>
    <w:rsid w:val="00CE2E92"/>
    <w:rsid w:val="00CE2EBA"/>
    <w:rsid w:val="00CE2F54"/>
    <w:rsid w:val="00CE3041"/>
    <w:rsid w:val="00CE3238"/>
    <w:rsid w:val="00CE325D"/>
    <w:rsid w:val="00CE32B9"/>
    <w:rsid w:val="00CE33BE"/>
    <w:rsid w:val="00CE350F"/>
    <w:rsid w:val="00CE35F4"/>
    <w:rsid w:val="00CE3616"/>
    <w:rsid w:val="00CE37BC"/>
    <w:rsid w:val="00CE396B"/>
    <w:rsid w:val="00CE3B2B"/>
    <w:rsid w:val="00CE3C8D"/>
    <w:rsid w:val="00CE3D9C"/>
    <w:rsid w:val="00CE3DD1"/>
    <w:rsid w:val="00CE3E4B"/>
    <w:rsid w:val="00CE3E8A"/>
    <w:rsid w:val="00CE3FFD"/>
    <w:rsid w:val="00CE4071"/>
    <w:rsid w:val="00CE40C0"/>
    <w:rsid w:val="00CE41EC"/>
    <w:rsid w:val="00CE429E"/>
    <w:rsid w:val="00CE43F8"/>
    <w:rsid w:val="00CE45CF"/>
    <w:rsid w:val="00CE4713"/>
    <w:rsid w:val="00CE4834"/>
    <w:rsid w:val="00CE4850"/>
    <w:rsid w:val="00CE4879"/>
    <w:rsid w:val="00CE4D8F"/>
    <w:rsid w:val="00CE4DD5"/>
    <w:rsid w:val="00CE4E75"/>
    <w:rsid w:val="00CE4F31"/>
    <w:rsid w:val="00CE4FB9"/>
    <w:rsid w:val="00CE5044"/>
    <w:rsid w:val="00CE5403"/>
    <w:rsid w:val="00CE54D4"/>
    <w:rsid w:val="00CE5506"/>
    <w:rsid w:val="00CE55E1"/>
    <w:rsid w:val="00CE57C5"/>
    <w:rsid w:val="00CE5984"/>
    <w:rsid w:val="00CE5A8E"/>
    <w:rsid w:val="00CE5AD1"/>
    <w:rsid w:val="00CE5C78"/>
    <w:rsid w:val="00CE5CB1"/>
    <w:rsid w:val="00CE5CD6"/>
    <w:rsid w:val="00CE5F7D"/>
    <w:rsid w:val="00CE5FCA"/>
    <w:rsid w:val="00CE6073"/>
    <w:rsid w:val="00CE6152"/>
    <w:rsid w:val="00CE618A"/>
    <w:rsid w:val="00CE618C"/>
    <w:rsid w:val="00CE620A"/>
    <w:rsid w:val="00CE6251"/>
    <w:rsid w:val="00CE63D9"/>
    <w:rsid w:val="00CE6663"/>
    <w:rsid w:val="00CE6774"/>
    <w:rsid w:val="00CE679B"/>
    <w:rsid w:val="00CE67AF"/>
    <w:rsid w:val="00CE69E9"/>
    <w:rsid w:val="00CE69FE"/>
    <w:rsid w:val="00CE6AD4"/>
    <w:rsid w:val="00CE6DE0"/>
    <w:rsid w:val="00CE6F2A"/>
    <w:rsid w:val="00CE732B"/>
    <w:rsid w:val="00CE733E"/>
    <w:rsid w:val="00CE736E"/>
    <w:rsid w:val="00CE74E6"/>
    <w:rsid w:val="00CE751D"/>
    <w:rsid w:val="00CE76D2"/>
    <w:rsid w:val="00CE77D7"/>
    <w:rsid w:val="00CE790C"/>
    <w:rsid w:val="00CE7A31"/>
    <w:rsid w:val="00CE7C5F"/>
    <w:rsid w:val="00CE7DBC"/>
    <w:rsid w:val="00CE7DD1"/>
    <w:rsid w:val="00CE7E17"/>
    <w:rsid w:val="00CE7F1D"/>
    <w:rsid w:val="00CF0081"/>
    <w:rsid w:val="00CF01A2"/>
    <w:rsid w:val="00CF01FD"/>
    <w:rsid w:val="00CF0235"/>
    <w:rsid w:val="00CF02B0"/>
    <w:rsid w:val="00CF0626"/>
    <w:rsid w:val="00CF069F"/>
    <w:rsid w:val="00CF094F"/>
    <w:rsid w:val="00CF098D"/>
    <w:rsid w:val="00CF0A3F"/>
    <w:rsid w:val="00CF0D20"/>
    <w:rsid w:val="00CF0D82"/>
    <w:rsid w:val="00CF0E3E"/>
    <w:rsid w:val="00CF104C"/>
    <w:rsid w:val="00CF1156"/>
    <w:rsid w:val="00CF1249"/>
    <w:rsid w:val="00CF1380"/>
    <w:rsid w:val="00CF13A1"/>
    <w:rsid w:val="00CF1539"/>
    <w:rsid w:val="00CF15A7"/>
    <w:rsid w:val="00CF168B"/>
    <w:rsid w:val="00CF1807"/>
    <w:rsid w:val="00CF18B3"/>
    <w:rsid w:val="00CF18C6"/>
    <w:rsid w:val="00CF18FC"/>
    <w:rsid w:val="00CF1A1B"/>
    <w:rsid w:val="00CF1AC4"/>
    <w:rsid w:val="00CF1B07"/>
    <w:rsid w:val="00CF1BED"/>
    <w:rsid w:val="00CF1C77"/>
    <w:rsid w:val="00CF1E6D"/>
    <w:rsid w:val="00CF1E9E"/>
    <w:rsid w:val="00CF1EEA"/>
    <w:rsid w:val="00CF1FA6"/>
    <w:rsid w:val="00CF206D"/>
    <w:rsid w:val="00CF22AF"/>
    <w:rsid w:val="00CF2429"/>
    <w:rsid w:val="00CF25FC"/>
    <w:rsid w:val="00CF2639"/>
    <w:rsid w:val="00CF2A13"/>
    <w:rsid w:val="00CF2CA8"/>
    <w:rsid w:val="00CF2D92"/>
    <w:rsid w:val="00CF2F3B"/>
    <w:rsid w:val="00CF3066"/>
    <w:rsid w:val="00CF3251"/>
    <w:rsid w:val="00CF33B0"/>
    <w:rsid w:val="00CF3400"/>
    <w:rsid w:val="00CF34C6"/>
    <w:rsid w:val="00CF3526"/>
    <w:rsid w:val="00CF386B"/>
    <w:rsid w:val="00CF38E1"/>
    <w:rsid w:val="00CF3D0E"/>
    <w:rsid w:val="00CF3DFF"/>
    <w:rsid w:val="00CF3E08"/>
    <w:rsid w:val="00CF3E3E"/>
    <w:rsid w:val="00CF3F0A"/>
    <w:rsid w:val="00CF3F25"/>
    <w:rsid w:val="00CF4018"/>
    <w:rsid w:val="00CF40CE"/>
    <w:rsid w:val="00CF40F7"/>
    <w:rsid w:val="00CF46EF"/>
    <w:rsid w:val="00CF47B9"/>
    <w:rsid w:val="00CF47C6"/>
    <w:rsid w:val="00CF4844"/>
    <w:rsid w:val="00CF490C"/>
    <w:rsid w:val="00CF4ABA"/>
    <w:rsid w:val="00CF4B15"/>
    <w:rsid w:val="00CF4B5B"/>
    <w:rsid w:val="00CF4B94"/>
    <w:rsid w:val="00CF4E9E"/>
    <w:rsid w:val="00CF503A"/>
    <w:rsid w:val="00CF5170"/>
    <w:rsid w:val="00CF51C8"/>
    <w:rsid w:val="00CF520D"/>
    <w:rsid w:val="00CF5558"/>
    <w:rsid w:val="00CF55E0"/>
    <w:rsid w:val="00CF58C0"/>
    <w:rsid w:val="00CF590B"/>
    <w:rsid w:val="00CF5A33"/>
    <w:rsid w:val="00CF5D0B"/>
    <w:rsid w:val="00CF5DE6"/>
    <w:rsid w:val="00CF5F38"/>
    <w:rsid w:val="00CF5FEA"/>
    <w:rsid w:val="00CF5FF1"/>
    <w:rsid w:val="00CF61BC"/>
    <w:rsid w:val="00CF62B5"/>
    <w:rsid w:val="00CF648C"/>
    <w:rsid w:val="00CF64A3"/>
    <w:rsid w:val="00CF6697"/>
    <w:rsid w:val="00CF6745"/>
    <w:rsid w:val="00CF6750"/>
    <w:rsid w:val="00CF6777"/>
    <w:rsid w:val="00CF6863"/>
    <w:rsid w:val="00CF6866"/>
    <w:rsid w:val="00CF69AA"/>
    <w:rsid w:val="00CF6A69"/>
    <w:rsid w:val="00CF6BF0"/>
    <w:rsid w:val="00CF6C09"/>
    <w:rsid w:val="00CF6E0B"/>
    <w:rsid w:val="00CF6F53"/>
    <w:rsid w:val="00CF7084"/>
    <w:rsid w:val="00CF7228"/>
    <w:rsid w:val="00CF7357"/>
    <w:rsid w:val="00CF736D"/>
    <w:rsid w:val="00CF73F5"/>
    <w:rsid w:val="00CF7437"/>
    <w:rsid w:val="00CF7523"/>
    <w:rsid w:val="00CF76D3"/>
    <w:rsid w:val="00CF7782"/>
    <w:rsid w:val="00CF77C4"/>
    <w:rsid w:val="00CF7C9B"/>
    <w:rsid w:val="00CF7DB1"/>
    <w:rsid w:val="00CF7E9F"/>
    <w:rsid w:val="00CF7F52"/>
    <w:rsid w:val="00D00095"/>
    <w:rsid w:val="00D00219"/>
    <w:rsid w:val="00D002C8"/>
    <w:rsid w:val="00D003C2"/>
    <w:rsid w:val="00D00534"/>
    <w:rsid w:val="00D008E4"/>
    <w:rsid w:val="00D008F3"/>
    <w:rsid w:val="00D009FA"/>
    <w:rsid w:val="00D00DFA"/>
    <w:rsid w:val="00D00E15"/>
    <w:rsid w:val="00D00E5F"/>
    <w:rsid w:val="00D00F0A"/>
    <w:rsid w:val="00D011D4"/>
    <w:rsid w:val="00D01206"/>
    <w:rsid w:val="00D0159E"/>
    <w:rsid w:val="00D01748"/>
    <w:rsid w:val="00D0186A"/>
    <w:rsid w:val="00D01B89"/>
    <w:rsid w:val="00D01C30"/>
    <w:rsid w:val="00D01D1B"/>
    <w:rsid w:val="00D01D69"/>
    <w:rsid w:val="00D01E45"/>
    <w:rsid w:val="00D01F2B"/>
    <w:rsid w:val="00D02121"/>
    <w:rsid w:val="00D0217A"/>
    <w:rsid w:val="00D0239C"/>
    <w:rsid w:val="00D0243A"/>
    <w:rsid w:val="00D024A3"/>
    <w:rsid w:val="00D02528"/>
    <w:rsid w:val="00D02641"/>
    <w:rsid w:val="00D02691"/>
    <w:rsid w:val="00D026A3"/>
    <w:rsid w:val="00D02709"/>
    <w:rsid w:val="00D029FF"/>
    <w:rsid w:val="00D02C2B"/>
    <w:rsid w:val="00D02D4D"/>
    <w:rsid w:val="00D02EC4"/>
    <w:rsid w:val="00D02FBC"/>
    <w:rsid w:val="00D03283"/>
    <w:rsid w:val="00D03350"/>
    <w:rsid w:val="00D03478"/>
    <w:rsid w:val="00D035E5"/>
    <w:rsid w:val="00D03819"/>
    <w:rsid w:val="00D039E1"/>
    <w:rsid w:val="00D03A81"/>
    <w:rsid w:val="00D03B01"/>
    <w:rsid w:val="00D03B07"/>
    <w:rsid w:val="00D03BCC"/>
    <w:rsid w:val="00D03BEC"/>
    <w:rsid w:val="00D03C0A"/>
    <w:rsid w:val="00D04124"/>
    <w:rsid w:val="00D04126"/>
    <w:rsid w:val="00D04140"/>
    <w:rsid w:val="00D044B4"/>
    <w:rsid w:val="00D0454D"/>
    <w:rsid w:val="00D0458A"/>
    <w:rsid w:val="00D04597"/>
    <w:rsid w:val="00D04683"/>
    <w:rsid w:val="00D04954"/>
    <w:rsid w:val="00D04A81"/>
    <w:rsid w:val="00D04AC9"/>
    <w:rsid w:val="00D04B13"/>
    <w:rsid w:val="00D04B4C"/>
    <w:rsid w:val="00D04EA6"/>
    <w:rsid w:val="00D05113"/>
    <w:rsid w:val="00D0520D"/>
    <w:rsid w:val="00D052B9"/>
    <w:rsid w:val="00D052C4"/>
    <w:rsid w:val="00D052D1"/>
    <w:rsid w:val="00D052EF"/>
    <w:rsid w:val="00D052F5"/>
    <w:rsid w:val="00D055D9"/>
    <w:rsid w:val="00D055E0"/>
    <w:rsid w:val="00D0569F"/>
    <w:rsid w:val="00D0599E"/>
    <w:rsid w:val="00D05A81"/>
    <w:rsid w:val="00D05AF1"/>
    <w:rsid w:val="00D05D59"/>
    <w:rsid w:val="00D05D93"/>
    <w:rsid w:val="00D06078"/>
    <w:rsid w:val="00D060AD"/>
    <w:rsid w:val="00D06114"/>
    <w:rsid w:val="00D0620E"/>
    <w:rsid w:val="00D06663"/>
    <w:rsid w:val="00D06756"/>
    <w:rsid w:val="00D067A0"/>
    <w:rsid w:val="00D068C6"/>
    <w:rsid w:val="00D068E4"/>
    <w:rsid w:val="00D06A98"/>
    <w:rsid w:val="00D06B01"/>
    <w:rsid w:val="00D06B85"/>
    <w:rsid w:val="00D06BBD"/>
    <w:rsid w:val="00D06E8D"/>
    <w:rsid w:val="00D06F53"/>
    <w:rsid w:val="00D06F8C"/>
    <w:rsid w:val="00D07033"/>
    <w:rsid w:val="00D070AA"/>
    <w:rsid w:val="00D070D4"/>
    <w:rsid w:val="00D071FE"/>
    <w:rsid w:val="00D072FD"/>
    <w:rsid w:val="00D07561"/>
    <w:rsid w:val="00D07615"/>
    <w:rsid w:val="00D07656"/>
    <w:rsid w:val="00D076F5"/>
    <w:rsid w:val="00D07978"/>
    <w:rsid w:val="00D07AF3"/>
    <w:rsid w:val="00D07B7D"/>
    <w:rsid w:val="00D07BAE"/>
    <w:rsid w:val="00D07CAC"/>
    <w:rsid w:val="00D07DAB"/>
    <w:rsid w:val="00D07DBF"/>
    <w:rsid w:val="00D07E09"/>
    <w:rsid w:val="00D100B8"/>
    <w:rsid w:val="00D102EA"/>
    <w:rsid w:val="00D1036A"/>
    <w:rsid w:val="00D104BA"/>
    <w:rsid w:val="00D1050F"/>
    <w:rsid w:val="00D1066F"/>
    <w:rsid w:val="00D10A22"/>
    <w:rsid w:val="00D10BBF"/>
    <w:rsid w:val="00D10CE3"/>
    <w:rsid w:val="00D10EE7"/>
    <w:rsid w:val="00D10F35"/>
    <w:rsid w:val="00D10F9C"/>
    <w:rsid w:val="00D10FBB"/>
    <w:rsid w:val="00D1101B"/>
    <w:rsid w:val="00D110DB"/>
    <w:rsid w:val="00D11120"/>
    <w:rsid w:val="00D11145"/>
    <w:rsid w:val="00D111D3"/>
    <w:rsid w:val="00D1138F"/>
    <w:rsid w:val="00D113B2"/>
    <w:rsid w:val="00D1159A"/>
    <w:rsid w:val="00D115B6"/>
    <w:rsid w:val="00D115DB"/>
    <w:rsid w:val="00D116ED"/>
    <w:rsid w:val="00D11C1A"/>
    <w:rsid w:val="00D11C4D"/>
    <w:rsid w:val="00D11E52"/>
    <w:rsid w:val="00D12014"/>
    <w:rsid w:val="00D1217B"/>
    <w:rsid w:val="00D125EE"/>
    <w:rsid w:val="00D1262E"/>
    <w:rsid w:val="00D12694"/>
    <w:rsid w:val="00D12A69"/>
    <w:rsid w:val="00D12ABA"/>
    <w:rsid w:val="00D12B65"/>
    <w:rsid w:val="00D12C6A"/>
    <w:rsid w:val="00D12CFF"/>
    <w:rsid w:val="00D13081"/>
    <w:rsid w:val="00D1314C"/>
    <w:rsid w:val="00D1316D"/>
    <w:rsid w:val="00D13292"/>
    <w:rsid w:val="00D132BC"/>
    <w:rsid w:val="00D1338D"/>
    <w:rsid w:val="00D133DB"/>
    <w:rsid w:val="00D13500"/>
    <w:rsid w:val="00D1381D"/>
    <w:rsid w:val="00D139F9"/>
    <w:rsid w:val="00D13B86"/>
    <w:rsid w:val="00D13E92"/>
    <w:rsid w:val="00D13E95"/>
    <w:rsid w:val="00D1401E"/>
    <w:rsid w:val="00D140CF"/>
    <w:rsid w:val="00D141AF"/>
    <w:rsid w:val="00D1430A"/>
    <w:rsid w:val="00D14340"/>
    <w:rsid w:val="00D14373"/>
    <w:rsid w:val="00D14576"/>
    <w:rsid w:val="00D148D0"/>
    <w:rsid w:val="00D148E1"/>
    <w:rsid w:val="00D14985"/>
    <w:rsid w:val="00D14BF7"/>
    <w:rsid w:val="00D15264"/>
    <w:rsid w:val="00D15276"/>
    <w:rsid w:val="00D153DA"/>
    <w:rsid w:val="00D15533"/>
    <w:rsid w:val="00D15602"/>
    <w:rsid w:val="00D157BF"/>
    <w:rsid w:val="00D15857"/>
    <w:rsid w:val="00D158A4"/>
    <w:rsid w:val="00D158E3"/>
    <w:rsid w:val="00D159D5"/>
    <w:rsid w:val="00D159ED"/>
    <w:rsid w:val="00D15AF5"/>
    <w:rsid w:val="00D15BB0"/>
    <w:rsid w:val="00D15BEA"/>
    <w:rsid w:val="00D15D3E"/>
    <w:rsid w:val="00D15E7F"/>
    <w:rsid w:val="00D15EF0"/>
    <w:rsid w:val="00D1606A"/>
    <w:rsid w:val="00D160A3"/>
    <w:rsid w:val="00D160FD"/>
    <w:rsid w:val="00D16135"/>
    <w:rsid w:val="00D162F5"/>
    <w:rsid w:val="00D16330"/>
    <w:rsid w:val="00D163D4"/>
    <w:rsid w:val="00D165CA"/>
    <w:rsid w:val="00D166E7"/>
    <w:rsid w:val="00D1684A"/>
    <w:rsid w:val="00D16852"/>
    <w:rsid w:val="00D16BBD"/>
    <w:rsid w:val="00D16BF9"/>
    <w:rsid w:val="00D16D03"/>
    <w:rsid w:val="00D16E11"/>
    <w:rsid w:val="00D16EAF"/>
    <w:rsid w:val="00D16EF8"/>
    <w:rsid w:val="00D17589"/>
    <w:rsid w:val="00D175DB"/>
    <w:rsid w:val="00D17623"/>
    <w:rsid w:val="00D1765B"/>
    <w:rsid w:val="00D1766A"/>
    <w:rsid w:val="00D178E0"/>
    <w:rsid w:val="00D1790B"/>
    <w:rsid w:val="00D17B62"/>
    <w:rsid w:val="00D17B96"/>
    <w:rsid w:val="00D17DE2"/>
    <w:rsid w:val="00D17FA0"/>
    <w:rsid w:val="00D20015"/>
    <w:rsid w:val="00D200DA"/>
    <w:rsid w:val="00D20537"/>
    <w:rsid w:val="00D20792"/>
    <w:rsid w:val="00D20A93"/>
    <w:rsid w:val="00D20AE7"/>
    <w:rsid w:val="00D20B86"/>
    <w:rsid w:val="00D20DEB"/>
    <w:rsid w:val="00D2101A"/>
    <w:rsid w:val="00D21186"/>
    <w:rsid w:val="00D213A3"/>
    <w:rsid w:val="00D214A5"/>
    <w:rsid w:val="00D21511"/>
    <w:rsid w:val="00D2158D"/>
    <w:rsid w:val="00D215F3"/>
    <w:rsid w:val="00D2161F"/>
    <w:rsid w:val="00D2172D"/>
    <w:rsid w:val="00D2186B"/>
    <w:rsid w:val="00D219AE"/>
    <w:rsid w:val="00D219DD"/>
    <w:rsid w:val="00D219EC"/>
    <w:rsid w:val="00D21A09"/>
    <w:rsid w:val="00D21B02"/>
    <w:rsid w:val="00D21B0E"/>
    <w:rsid w:val="00D22003"/>
    <w:rsid w:val="00D2213B"/>
    <w:rsid w:val="00D2248E"/>
    <w:rsid w:val="00D22596"/>
    <w:rsid w:val="00D225CF"/>
    <w:rsid w:val="00D225D5"/>
    <w:rsid w:val="00D22607"/>
    <w:rsid w:val="00D2260E"/>
    <w:rsid w:val="00D22A07"/>
    <w:rsid w:val="00D22B50"/>
    <w:rsid w:val="00D22BAA"/>
    <w:rsid w:val="00D22C7E"/>
    <w:rsid w:val="00D22D65"/>
    <w:rsid w:val="00D22DA9"/>
    <w:rsid w:val="00D23010"/>
    <w:rsid w:val="00D2303B"/>
    <w:rsid w:val="00D2328C"/>
    <w:rsid w:val="00D23348"/>
    <w:rsid w:val="00D234F7"/>
    <w:rsid w:val="00D23636"/>
    <w:rsid w:val="00D23799"/>
    <w:rsid w:val="00D23874"/>
    <w:rsid w:val="00D23981"/>
    <w:rsid w:val="00D239DA"/>
    <w:rsid w:val="00D23AA4"/>
    <w:rsid w:val="00D23BAE"/>
    <w:rsid w:val="00D23C7C"/>
    <w:rsid w:val="00D23CB1"/>
    <w:rsid w:val="00D23E3E"/>
    <w:rsid w:val="00D23F80"/>
    <w:rsid w:val="00D24078"/>
    <w:rsid w:val="00D2414E"/>
    <w:rsid w:val="00D24246"/>
    <w:rsid w:val="00D24428"/>
    <w:rsid w:val="00D2455C"/>
    <w:rsid w:val="00D246C5"/>
    <w:rsid w:val="00D24873"/>
    <w:rsid w:val="00D24910"/>
    <w:rsid w:val="00D24D11"/>
    <w:rsid w:val="00D24E49"/>
    <w:rsid w:val="00D24EE5"/>
    <w:rsid w:val="00D25042"/>
    <w:rsid w:val="00D250B7"/>
    <w:rsid w:val="00D2520A"/>
    <w:rsid w:val="00D2520B"/>
    <w:rsid w:val="00D25324"/>
    <w:rsid w:val="00D25326"/>
    <w:rsid w:val="00D25397"/>
    <w:rsid w:val="00D253A7"/>
    <w:rsid w:val="00D25461"/>
    <w:rsid w:val="00D25507"/>
    <w:rsid w:val="00D2561F"/>
    <w:rsid w:val="00D25691"/>
    <w:rsid w:val="00D25826"/>
    <w:rsid w:val="00D259D8"/>
    <w:rsid w:val="00D25B26"/>
    <w:rsid w:val="00D25B5B"/>
    <w:rsid w:val="00D25BEC"/>
    <w:rsid w:val="00D25C53"/>
    <w:rsid w:val="00D25CCF"/>
    <w:rsid w:val="00D25DAB"/>
    <w:rsid w:val="00D26108"/>
    <w:rsid w:val="00D26144"/>
    <w:rsid w:val="00D26170"/>
    <w:rsid w:val="00D2619D"/>
    <w:rsid w:val="00D2619F"/>
    <w:rsid w:val="00D2622F"/>
    <w:rsid w:val="00D26341"/>
    <w:rsid w:val="00D26449"/>
    <w:rsid w:val="00D2694D"/>
    <w:rsid w:val="00D26987"/>
    <w:rsid w:val="00D269E5"/>
    <w:rsid w:val="00D269FB"/>
    <w:rsid w:val="00D26C19"/>
    <w:rsid w:val="00D26E10"/>
    <w:rsid w:val="00D26EE9"/>
    <w:rsid w:val="00D26F09"/>
    <w:rsid w:val="00D26F45"/>
    <w:rsid w:val="00D26F72"/>
    <w:rsid w:val="00D27302"/>
    <w:rsid w:val="00D27359"/>
    <w:rsid w:val="00D273AF"/>
    <w:rsid w:val="00D27470"/>
    <w:rsid w:val="00D275D3"/>
    <w:rsid w:val="00D2780D"/>
    <w:rsid w:val="00D27AFE"/>
    <w:rsid w:val="00D27BFB"/>
    <w:rsid w:val="00D27DC3"/>
    <w:rsid w:val="00D27E27"/>
    <w:rsid w:val="00D27ECF"/>
    <w:rsid w:val="00D27F18"/>
    <w:rsid w:val="00D301AA"/>
    <w:rsid w:val="00D301E8"/>
    <w:rsid w:val="00D3024C"/>
    <w:rsid w:val="00D30284"/>
    <w:rsid w:val="00D30466"/>
    <w:rsid w:val="00D304DA"/>
    <w:rsid w:val="00D30670"/>
    <w:rsid w:val="00D30672"/>
    <w:rsid w:val="00D3069D"/>
    <w:rsid w:val="00D3076E"/>
    <w:rsid w:val="00D30779"/>
    <w:rsid w:val="00D30874"/>
    <w:rsid w:val="00D30881"/>
    <w:rsid w:val="00D30A92"/>
    <w:rsid w:val="00D30AD2"/>
    <w:rsid w:val="00D30BC5"/>
    <w:rsid w:val="00D30CA9"/>
    <w:rsid w:val="00D30E6A"/>
    <w:rsid w:val="00D30F16"/>
    <w:rsid w:val="00D31072"/>
    <w:rsid w:val="00D312FC"/>
    <w:rsid w:val="00D313C5"/>
    <w:rsid w:val="00D3141B"/>
    <w:rsid w:val="00D315CD"/>
    <w:rsid w:val="00D3172C"/>
    <w:rsid w:val="00D31823"/>
    <w:rsid w:val="00D3184D"/>
    <w:rsid w:val="00D318D7"/>
    <w:rsid w:val="00D3199D"/>
    <w:rsid w:val="00D31AB1"/>
    <w:rsid w:val="00D31B20"/>
    <w:rsid w:val="00D31CF9"/>
    <w:rsid w:val="00D31DAE"/>
    <w:rsid w:val="00D31EA0"/>
    <w:rsid w:val="00D32024"/>
    <w:rsid w:val="00D3221F"/>
    <w:rsid w:val="00D3231C"/>
    <w:rsid w:val="00D3240A"/>
    <w:rsid w:val="00D3246A"/>
    <w:rsid w:val="00D32632"/>
    <w:rsid w:val="00D32673"/>
    <w:rsid w:val="00D32762"/>
    <w:rsid w:val="00D327F1"/>
    <w:rsid w:val="00D32944"/>
    <w:rsid w:val="00D32987"/>
    <w:rsid w:val="00D32A5C"/>
    <w:rsid w:val="00D32AFA"/>
    <w:rsid w:val="00D32C2A"/>
    <w:rsid w:val="00D32D42"/>
    <w:rsid w:val="00D33004"/>
    <w:rsid w:val="00D33139"/>
    <w:rsid w:val="00D33211"/>
    <w:rsid w:val="00D332A5"/>
    <w:rsid w:val="00D33362"/>
    <w:rsid w:val="00D3361E"/>
    <w:rsid w:val="00D33891"/>
    <w:rsid w:val="00D338CD"/>
    <w:rsid w:val="00D3392D"/>
    <w:rsid w:val="00D339E2"/>
    <w:rsid w:val="00D33B8E"/>
    <w:rsid w:val="00D33C3B"/>
    <w:rsid w:val="00D33EF4"/>
    <w:rsid w:val="00D33FA0"/>
    <w:rsid w:val="00D340AA"/>
    <w:rsid w:val="00D340C3"/>
    <w:rsid w:val="00D34132"/>
    <w:rsid w:val="00D34198"/>
    <w:rsid w:val="00D34263"/>
    <w:rsid w:val="00D343AD"/>
    <w:rsid w:val="00D34407"/>
    <w:rsid w:val="00D34454"/>
    <w:rsid w:val="00D344FE"/>
    <w:rsid w:val="00D346C2"/>
    <w:rsid w:val="00D3477A"/>
    <w:rsid w:val="00D347C0"/>
    <w:rsid w:val="00D34802"/>
    <w:rsid w:val="00D34890"/>
    <w:rsid w:val="00D348E7"/>
    <w:rsid w:val="00D348F6"/>
    <w:rsid w:val="00D34B71"/>
    <w:rsid w:val="00D34CCD"/>
    <w:rsid w:val="00D34D2D"/>
    <w:rsid w:val="00D34EF6"/>
    <w:rsid w:val="00D34FE0"/>
    <w:rsid w:val="00D35065"/>
    <w:rsid w:val="00D35247"/>
    <w:rsid w:val="00D352B3"/>
    <w:rsid w:val="00D3539F"/>
    <w:rsid w:val="00D353ED"/>
    <w:rsid w:val="00D354DE"/>
    <w:rsid w:val="00D35552"/>
    <w:rsid w:val="00D35618"/>
    <w:rsid w:val="00D3575C"/>
    <w:rsid w:val="00D35796"/>
    <w:rsid w:val="00D3582E"/>
    <w:rsid w:val="00D35895"/>
    <w:rsid w:val="00D35A5C"/>
    <w:rsid w:val="00D35BC0"/>
    <w:rsid w:val="00D35C41"/>
    <w:rsid w:val="00D35C8A"/>
    <w:rsid w:val="00D35CDE"/>
    <w:rsid w:val="00D35F63"/>
    <w:rsid w:val="00D35F85"/>
    <w:rsid w:val="00D35FA6"/>
    <w:rsid w:val="00D3612E"/>
    <w:rsid w:val="00D363CA"/>
    <w:rsid w:val="00D36469"/>
    <w:rsid w:val="00D36492"/>
    <w:rsid w:val="00D3661A"/>
    <w:rsid w:val="00D3682E"/>
    <w:rsid w:val="00D368B0"/>
    <w:rsid w:val="00D368CB"/>
    <w:rsid w:val="00D36BC4"/>
    <w:rsid w:val="00D36C55"/>
    <w:rsid w:val="00D36CE6"/>
    <w:rsid w:val="00D36D61"/>
    <w:rsid w:val="00D36EF9"/>
    <w:rsid w:val="00D36F2F"/>
    <w:rsid w:val="00D37159"/>
    <w:rsid w:val="00D37280"/>
    <w:rsid w:val="00D3733C"/>
    <w:rsid w:val="00D37578"/>
    <w:rsid w:val="00D37600"/>
    <w:rsid w:val="00D37691"/>
    <w:rsid w:val="00D37796"/>
    <w:rsid w:val="00D377A5"/>
    <w:rsid w:val="00D378A1"/>
    <w:rsid w:val="00D3793E"/>
    <w:rsid w:val="00D379EF"/>
    <w:rsid w:val="00D37EB6"/>
    <w:rsid w:val="00D40046"/>
    <w:rsid w:val="00D40106"/>
    <w:rsid w:val="00D40110"/>
    <w:rsid w:val="00D401F7"/>
    <w:rsid w:val="00D4021E"/>
    <w:rsid w:val="00D402B1"/>
    <w:rsid w:val="00D402B2"/>
    <w:rsid w:val="00D402BB"/>
    <w:rsid w:val="00D4036E"/>
    <w:rsid w:val="00D404BF"/>
    <w:rsid w:val="00D404DE"/>
    <w:rsid w:val="00D405C1"/>
    <w:rsid w:val="00D40794"/>
    <w:rsid w:val="00D4088D"/>
    <w:rsid w:val="00D408A7"/>
    <w:rsid w:val="00D40A65"/>
    <w:rsid w:val="00D40DD1"/>
    <w:rsid w:val="00D40ED0"/>
    <w:rsid w:val="00D40F3E"/>
    <w:rsid w:val="00D40F9F"/>
    <w:rsid w:val="00D41013"/>
    <w:rsid w:val="00D41117"/>
    <w:rsid w:val="00D41197"/>
    <w:rsid w:val="00D411C3"/>
    <w:rsid w:val="00D411D2"/>
    <w:rsid w:val="00D412D0"/>
    <w:rsid w:val="00D413D8"/>
    <w:rsid w:val="00D41417"/>
    <w:rsid w:val="00D41588"/>
    <w:rsid w:val="00D415BE"/>
    <w:rsid w:val="00D41636"/>
    <w:rsid w:val="00D416CA"/>
    <w:rsid w:val="00D41723"/>
    <w:rsid w:val="00D4172F"/>
    <w:rsid w:val="00D41743"/>
    <w:rsid w:val="00D41A8C"/>
    <w:rsid w:val="00D41B33"/>
    <w:rsid w:val="00D41C2B"/>
    <w:rsid w:val="00D41C41"/>
    <w:rsid w:val="00D41CAB"/>
    <w:rsid w:val="00D41D60"/>
    <w:rsid w:val="00D41DE2"/>
    <w:rsid w:val="00D41E72"/>
    <w:rsid w:val="00D42013"/>
    <w:rsid w:val="00D42076"/>
    <w:rsid w:val="00D4210C"/>
    <w:rsid w:val="00D42258"/>
    <w:rsid w:val="00D42317"/>
    <w:rsid w:val="00D424FC"/>
    <w:rsid w:val="00D426EF"/>
    <w:rsid w:val="00D429EA"/>
    <w:rsid w:val="00D429ED"/>
    <w:rsid w:val="00D42C00"/>
    <w:rsid w:val="00D42D11"/>
    <w:rsid w:val="00D42DEC"/>
    <w:rsid w:val="00D42DF0"/>
    <w:rsid w:val="00D42F2F"/>
    <w:rsid w:val="00D430ED"/>
    <w:rsid w:val="00D431CF"/>
    <w:rsid w:val="00D43303"/>
    <w:rsid w:val="00D433AB"/>
    <w:rsid w:val="00D43557"/>
    <w:rsid w:val="00D4363F"/>
    <w:rsid w:val="00D43866"/>
    <w:rsid w:val="00D438B0"/>
    <w:rsid w:val="00D43B35"/>
    <w:rsid w:val="00D43B56"/>
    <w:rsid w:val="00D43E1B"/>
    <w:rsid w:val="00D43E43"/>
    <w:rsid w:val="00D43E7E"/>
    <w:rsid w:val="00D43E93"/>
    <w:rsid w:val="00D43EB8"/>
    <w:rsid w:val="00D43F82"/>
    <w:rsid w:val="00D44009"/>
    <w:rsid w:val="00D44238"/>
    <w:rsid w:val="00D44284"/>
    <w:rsid w:val="00D442AD"/>
    <w:rsid w:val="00D442DA"/>
    <w:rsid w:val="00D4437F"/>
    <w:rsid w:val="00D443C4"/>
    <w:rsid w:val="00D44703"/>
    <w:rsid w:val="00D448A4"/>
    <w:rsid w:val="00D449CC"/>
    <w:rsid w:val="00D44A05"/>
    <w:rsid w:val="00D44D09"/>
    <w:rsid w:val="00D44D8B"/>
    <w:rsid w:val="00D45080"/>
    <w:rsid w:val="00D4513B"/>
    <w:rsid w:val="00D45199"/>
    <w:rsid w:val="00D451DE"/>
    <w:rsid w:val="00D452C2"/>
    <w:rsid w:val="00D4531A"/>
    <w:rsid w:val="00D4533A"/>
    <w:rsid w:val="00D4547B"/>
    <w:rsid w:val="00D454A2"/>
    <w:rsid w:val="00D454DD"/>
    <w:rsid w:val="00D4570F"/>
    <w:rsid w:val="00D4572F"/>
    <w:rsid w:val="00D45773"/>
    <w:rsid w:val="00D457DF"/>
    <w:rsid w:val="00D45878"/>
    <w:rsid w:val="00D45A17"/>
    <w:rsid w:val="00D45A47"/>
    <w:rsid w:val="00D45B60"/>
    <w:rsid w:val="00D45C26"/>
    <w:rsid w:val="00D45D80"/>
    <w:rsid w:val="00D45E30"/>
    <w:rsid w:val="00D45E38"/>
    <w:rsid w:val="00D45ED3"/>
    <w:rsid w:val="00D45F1C"/>
    <w:rsid w:val="00D45F69"/>
    <w:rsid w:val="00D45F77"/>
    <w:rsid w:val="00D45FA1"/>
    <w:rsid w:val="00D462AE"/>
    <w:rsid w:val="00D4635B"/>
    <w:rsid w:val="00D4639C"/>
    <w:rsid w:val="00D46472"/>
    <w:rsid w:val="00D46530"/>
    <w:rsid w:val="00D46584"/>
    <w:rsid w:val="00D467BB"/>
    <w:rsid w:val="00D46813"/>
    <w:rsid w:val="00D4696C"/>
    <w:rsid w:val="00D4698B"/>
    <w:rsid w:val="00D469ED"/>
    <w:rsid w:val="00D46A6F"/>
    <w:rsid w:val="00D46AE3"/>
    <w:rsid w:val="00D46C9A"/>
    <w:rsid w:val="00D46CDB"/>
    <w:rsid w:val="00D46D23"/>
    <w:rsid w:val="00D46D8B"/>
    <w:rsid w:val="00D46D8C"/>
    <w:rsid w:val="00D46E21"/>
    <w:rsid w:val="00D46EE3"/>
    <w:rsid w:val="00D46F04"/>
    <w:rsid w:val="00D471E8"/>
    <w:rsid w:val="00D47333"/>
    <w:rsid w:val="00D475A2"/>
    <w:rsid w:val="00D47953"/>
    <w:rsid w:val="00D47983"/>
    <w:rsid w:val="00D47A0A"/>
    <w:rsid w:val="00D47A5F"/>
    <w:rsid w:val="00D47AE4"/>
    <w:rsid w:val="00D47B22"/>
    <w:rsid w:val="00D47D07"/>
    <w:rsid w:val="00D47D75"/>
    <w:rsid w:val="00D47D8C"/>
    <w:rsid w:val="00D47EB7"/>
    <w:rsid w:val="00D47F21"/>
    <w:rsid w:val="00D50051"/>
    <w:rsid w:val="00D500FA"/>
    <w:rsid w:val="00D50126"/>
    <w:rsid w:val="00D50214"/>
    <w:rsid w:val="00D50391"/>
    <w:rsid w:val="00D503A4"/>
    <w:rsid w:val="00D50510"/>
    <w:rsid w:val="00D5058B"/>
    <w:rsid w:val="00D506E9"/>
    <w:rsid w:val="00D5074B"/>
    <w:rsid w:val="00D5088C"/>
    <w:rsid w:val="00D50A45"/>
    <w:rsid w:val="00D50AB5"/>
    <w:rsid w:val="00D50B5F"/>
    <w:rsid w:val="00D50BD7"/>
    <w:rsid w:val="00D50E25"/>
    <w:rsid w:val="00D50EC1"/>
    <w:rsid w:val="00D50F6C"/>
    <w:rsid w:val="00D5117A"/>
    <w:rsid w:val="00D511FF"/>
    <w:rsid w:val="00D51202"/>
    <w:rsid w:val="00D512A3"/>
    <w:rsid w:val="00D512FF"/>
    <w:rsid w:val="00D5131D"/>
    <w:rsid w:val="00D5140A"/>
    <w:rsid w:val="00D514EC"/>
    <w:rsid w:val="00D516F1"/>
    <w:rsid w:val="00D51749"/>
    <w:rsid w:val="00D51843"/>
    <w:rsid w:val="00D51858"/>
    <w:rsid w:val="00D518E0"/>
    <w:rsid w:val="00D51A27"/>
    <w:rsid w:val="00D51B44"/>
    <w:rsid w:val="00D51D15"/>
    <w:rsid w:val="00D51E92"/>
    <w:rsid w:val="00D52191"/>
    <w:rsid w:val="00D52327"/>
    <w:rsid w:val="00D523EA"/>
    <w:rsid w:val="00D52655"/>
    <w:rsid w:val="00D52664"/>
    <w:rsid w:val="00D526FF"/>
    <w:rsid w:val="00D5295D"/>
    <w:rsid w:val="00D5297B"/>
    <w:rsid w:val="00D529F6"/>
    <w:rsid w:val="00D52B6F"/>
    <w:rsid w:val="00D52C3C"/>
    <w:rsid w:val="00D52CAA"/>
    <w:rsid w:val="00D52D49"/>
    <w:rsid w:val="00D52DDF"/>
    <w:rsid w:val="00D52EF4"/>
    <w:rsid w:val="00D53009"/>
    <w:rsid w:val="00D53054"/>
    <w:rsid w:val="00D534F4"/>
    <w:rsid w:val="00D5353F"/>
    <w:rsid w:val="00D53584"/>
    <w:rsid w:val="00D535EF"/>
    <w:rsid w:val="00D5378D"/>
    <w:rsid w:val="00D539FB"/>
    <w:rsid w:val="00D53B55"/>
    <w:rsid w:val="00D53C0E"/>
    <w:rsid w:val="00D53C52"/>
    <w:rsid w:val="00D53D40"/>
    <w:rsid w:val="00D53DFD"/>
    <w:rsid w:val="00D53F19"/>
    <w:rsid w:val="00D53F62"/>
    <w:rsid w:val="00D54045"/>
    <w:rsid w:val="00D54115"/>
    <w:rsid w:val="00D54168"/>
    <w:rsid w:val="00D541E8"/>
    <w:rsid w:val="00D5421C"/>
    <w:rsid w:val="00D54263"/>
    <w:rsid w:val="00D54460"/>
    <w:rsid w:val="00D544CC"/>
    <w:rsid w:val="00D544CE"/>
    <w:rsid w:val="00D544FD"/>
    <w:rsid w:val="00D5450B"/>
    <w:rsid w:val="00D545DA"/>
    <w:rsid w:val="00D54634"/>
    <w:rsid w:val="00D546CA"/>
    <w:rsid w:val="00D5478D"/>
    <w:rsid w:val="00D54882"/>
    <w:rsid w:val="00D54A30"/>
    <w:rsid w:val="00D54AA5"/>
    <w:rsid w:val="00D54BF2"/>
    <w:rsid w:val="00D54C6F"/>
    <w:rsid w:val="00D54D21"/>
    <w:rsid w:val="00D54DA0"/>
    <w:rsid w:val="00D54E36"/>
    <w:rsid w:val="00D54F5E"/>
    <w:rsid w:val="00D5501A"/>
    <w:rsid w:val="00D5529E"/>
    <w:rsid w:val="00D552CA"/>
    <w:rsid w:val="00D55333"/>
    <w:rsid w:val="00D55346"/>
    <w:rsid w:val="00D55447"/>
    <w:rsid w:val="00D55499"/>
    <w:rsid w:val="00D55553"/>
    <w:rsid w:val="00D55BC0"/>
    <w:rsid w:val="00D55C45"/>
    <w:rsid w:val="00D55C5C"/>
    <w:rsid w:val="00D55CF6"/>
    <w:rsid w:val="00D55F46"/>
    <w:rsid w:val="00D55F96"/>
    <w:rsid w:val="00D561C2"/>
    <w:rsid w:val="00D56339"/>
    <w:rsid w:val="00D56682"/>
    <w:rsid w:val="00D566F6"/>
    <w:rsid w:val="00D56724"/>
    <w:rsid w:val="00D568E9"/>
    <w:rsid w:val="00D56904"/>
    <w:rsid w:val="00D56A48"/>
    <w:rsid w:val="00D56AC7"/>
    <w:rsid w:val="00D56C53"/>
    <w:rsid w:val="00D56CC8"/>
    <w:rsid w:val="00D56D19"/>
    <w:rsid w:val="00D56D1A"/>
    <w:rsid w:val="00D56D20"/>
    <w:rsid w:val="00D56D5F"/>
    <w:rsid w:val="00D56D9F"/>
    <w:rsid w:val="00D56E33"/>
    <w:rsid w:val="00D56F14"/>
    <w:rsid w:val="00D57073"/>
    <w:rsid w:val="00D57127"/>
    <w:rsid w:val="00D57159"/>
    <w:rsid w:val="00D5717B"/>
    <w:rsid w:val="00D57199"/>
    <w:rsid w:val="00D571A1"/>
    <w:rsid w:val="00D5741C"/>
    <w:rsid w:val="00D57616"/>
    <w:rsid w:val="00D576DF"/>
    <w:rsid w:val="00D577CA"/>
    <w:rsid w:val="00D578B9"/>
    <w:rsid w:val="00D5795E"/>
    <w:rsid w:val="00D57989"/>
    <w:rsid w:val="00D57A5B"/>
    <w:rsid w:val="00D57BC3"/>
    <w:rsid w:val="00D57C29"/>
    <w:rsid w:val="00D57CEA"/>
    <w:rsid w:val="00D57D87"/>
    <w:rsid w:val="00D57E09"/>
    <w:rsid w:val="00D6012C"/>
    <w:rsid w:val="00D60177"/>
    <w:rsid w:val="00D6022A"/>
    <w:rsid w:val="00D60425"/>
    <w:rsid w:val="00D604F1"/>
    <w:rsid w:val="00D6063C"/>
    <w:rsid w:val="00D608F0"/>
    <w:rsid w:val="00D6099A"/>
    <w:rsid w:val="00D609D0"/>
    <w:rsid w:val="00D60BFB"/>
    <w:rsid w:val="00D60C70"/>
    <w:rsid w:val="00D60CAA"/>
    <w:rsid w:val="00D60DAC"/>
    <w:rsid w:val="00D60F6B"/>
    <w:rsid w:val="00D60F79"/>
    <w:rsid w:val="00D61005"/>
    <w:rsid w:val="00D6128D"/>
    <w:rsid w:val="00D612CF"/>
    <w:rsid w:val="00D6138D"/>
    <w:rsid w:val="00D61539"/>
    <w:rsid w:val="00D61589"/>
    <w:rsid w:val="00D61795"/>
    <w:rsid w:val="00D617DF"/>
    <w:rsid w:val="00D61937"/>
    <w:rsid w:val="00D61A39"/>
    <w:rsid w:val="00D61AEB"/>
    <w:rsid w:val="00D61C3B"/>
    <w:rsid w:val="00D61D35"/>
    <w:rsid w:val="00D61D3F"/>
    <w:rsid w:val="00D61D57"/>
    <w:rsid w:val="00D61FA1"/>
    <w:rsid w:val="00D62052"/>
    <w:rsid w:val="00D62129"/>
    <w:rsid w:val="00D62171"/>
    <w:rsid w:val="00D621CC"/>
    <w:rsid w:val="00D62385"/>
    <w:rsid w:val="00D6243D"/>
    <w:rsid w:val="00D626D3"/>
    <w:rsid w:val="00D6286F"/>
    <w:rsid w:val="00D62917"/>
    <w:rsid w:val="00D629A4"/>
    <w:rsid w:val="00D629C3"/>
    <w:rsid w:val="00D62C56"/>
    <w:rsid w:val="00D62D3F"/>
    <w:rsid w:val="00D631E1"/>
    <w:rsid w:val="00D6325D"/>
    <w:rsid w:val="00D63270"/>
    <w:rsid w:val="00D6333F"/>
    <w:rsid w:val="00D6337B"/>
    <w:rsid w:val="00D6341F"/>
    <w:rsid w:val="00D6346F"/>
    <w:rsid w:val="00D6353E"/>
    <w:rsid w:val="00D6358A"/>
    <w:rsid w:val="00D637D0"/>
    <w:rsid w:val="00D63AC8"/>
    <w:rsid w:val="00D63C4B"/>
    <w:rsid w:val="00D63C71"/>
    <w:rsid w:val="00D63CF7"/>
    <w:rsid w:val="00D63E12"/>
    <w:rsid w:val="00D642C9"/>
    <w:rsid w:val="00D643EE"/>
    <w:rsid w:val="00D6440E"/>
    <w:rsid w:val="00D6450B"/>
    <w:rsid w:val="00D6450D"/>
    <w:rsid w:val="00D64610"/>
    <w:rsid w:val="00D646D3"/>
    <w:rsid w:val="00D646FD"/>
    <w:rsid w:val="00D648E1"/>
    <w:rsid w:val="00D6499C"/>
    <w:rsid w:val="00D64BB1"/>
    <w:rsid w:val="00D64C26"/>
    <w:rsid w:val="00D64E46"/>
    <w:rsid w:val="00D64E5E"/>
    <w:rsid w:val="00D650BF"/>
    <w:rsid w:val="00D65288"/>
    <w:rsid w:val="00D65390"/>
    <w:rsid w:val="00D65569"/>
    <w:rsid w:val="00D65786"/>
    <w:rsid w:val="00D65A1B"/>
    <w:rsid w:val="00D65BBE"/>
    <w:rsid w:val="00D65CE0"/>
    <w:rsid w:val="00D65E74"/>
    <w:rsid w:val="00D65FEE"/>
    <w:rsid w:val="00D661DA"/>
    <w:rsid w:val="00D6645B"/>
    <w:rsid w:val="00D664DE"/>
    <w:rsid w:val="00D66503"/>
    <w:rsid w:val="00D66572"/>
    <w:rsid w:val="00D66A8F"/>
    <w:rsid w:val="00D66BC3"/>
    <w:rsid w:val="00D66BE9"/>
    <w:rsid w:val="00D66C87"/>
    <w:rsid w:val="00D66C88"/>
    <w:rsid w:val="00D66DEC"/>
    <w:rsid w:val="00D66E5A"/>
    <w:rsid w:val="00D66E6F"/>
    <w:rsid w:val="00D672C7"/>
    <w:rsid w:val="00D672D6"/>
    <w:rsid w:val="00D673A1"/>
    <w:rsid w:val="00D67421"/>
    <w:rsid w:val="00D674C7"/>
    <w:rsid w:val="00D677E5"/>
    <w:rsid w:val="00D678F0"/>
    <w:rsid w:val="00D679B8"/>
    <w:rsid w:val="00D67A65"/>
    <w:rsid w:val="00D67B2D"/>
    <w:rsid w:val="00D67E26"/>
    <w:rsid w:val="00D67E84"/>
    <w:rsid w:val="00D67FE2"/>
    <w:rsid w:val="00D701BA"/>
    <w:rsid w:val="00D7027C"/>
    <w:rsid w:val="00D702DF"/>
    <w:rsid w:val="00D70362"/>
    <w:rsid w:val="00D703AE"/>
    <w:rsid w:val="00D703B9"/>
    <w:rsid w:val="00D70711"/>
    <w:rsid w:val="00D7076D"/>
    <w:rsid w:val="00D707B9"/>
    <w:rsid w:val="00D70B5B"/>
    <w:rsid w:val="00D70C33"/>
    <w:rsid w:val="00D70D1D"/>
    <w:rsid w:val="00D70D69"/>
    <w:rsid w:val="00D70DDD"/>
    <w:rsid w:val="00D70E9E"/>
    <w:rsid w:val="00D70EDE"/>
    <w:rsid w:val="00D710DB"/>
    <w:rsid w:val="00D71132"/>
    <w:rsid w:val="00D711C4"/>
    <w:rsid w:val="00D711F5"/>
    <w:rsid w:val="00D712A2"/>
    <w:rsid w:val="00D713DD"/>
    <w:rsid w:val="00D71510"/>
    <w:rsid w:val="00D7155C"/>
    <w:rsid w:val="00D7156C"/>
    <w:rsid w:val="00D71652"/>
    <w:rsid w:val="00D71682"/>
    <w:rsid w:val="00D71725"/>
    <w:rsid w:val="00D71947"/>
    <w:rsid w:val="00D71983"/>
    <w:rsid w:val="00D71A73"/>
    <w:rsid w:val="00D71BED"/>
    <w:rsid w:val="00D71D25"/>
    <w:rsid w:val="00D71DF6"/>
    <w:rsid w:val="00D71E92"/>
    <w:rsid w:val="00D71F8A"/>
    <w:rsid w:val="00D720CA"/>
    <w:rsid w:val="00D72151"/>
    <w:rsid w:val="00D72163"/>
    <w:rsid w:val="00D721FA"/>
    <w:rsid w:val="00D72253"/>
    <w:rsid w:val="00D72418"/>
    <w:rsid w:val="00D726FA"/>
    <w:rsid w:val="00D7274F"/>
    <w:rsid w:val="00D72784"/>
    <w:rsid w:val="00D72877"/>
    <w:rsid w:val="00D72994"/>
    <w:rsid w:val="00D72A27"/>
    <w:rsid w:val="00D72B50"/>
    <w:rsid w:val="00D72C86"/>
    <w:rsid w:val="00D72D4D"/>
    <w:rsid w:val="00D72F0D"/>
    <w:rsid w:val="00D72F86"/>
    <w:rsid w:val="00D73016"/>
    <w:rsid w:val="00D7307B"/>
    <w:rsid w:val="00D730C4"/>
    <w:rsid w:val="00D730F2"/>
    <w:rsid w:val="00D731C3"/>
    <w:rsid w:val="00D732DA"/>
    <w:rsid w:val="00D732DF"/>
    <w:rsid w:val="00D73311"/>
    <w:rsid w:val="00D73461"/>
    <w:rsid w:val="00D7365E"/>
    <w:rsid w:val="00D7367F"/>
    <w:rsid w:val="00D736D1"/>
    <w:rsid w:val="00D736E9"/>
    <w:rsid w:val="00D73AE3"/>
    <w:rsid w:val="00D73BEE"/>
    <w:rsid w:val="00D73C8E"/>
    <w:rsid w:val="00D73D45"/>
    <w:rsid w:val="00D73D68"/>
    <w:rsid w:val="00D73F65"/>
    <w:rsid w:val="00D73FEE"/>
    <w:rsid w:val="00D7409A"/>
    <w:rsid w:val="00D742DD"/>
    <w:rsid w:val="00D743E9"/>
    <w:rsid w:val="00D743F2"/>
    <w:rsid w:val="00D743F8"/>
    <w:rsid w:val="00D74447"/>
    <w:rsid w:val="00D74470"/>
    <w:rsid w:val="00D744F5"/>
    <w:rsid w:val="00D74545"/>
    <w:rsid w:val="00D7474F"/>
    <w:rsid w:val="00D74823"/>
    <w:rsid w:val="00D74948"/>
    <w:rsid w:val="00D74BD6"/>
    <w:rsid w:val="00D74C17"/>
    <w:rsid w:val="00D74C28"/>
    <w:rsid w:val="00D74C95"/>
    <w:rsid w:val="00D751A0"/>
    <w:rsid w:val="00D751EE"/>
    <w:rsid w:val="00D7528C"/>
    <w:rsid w:val="00D75298"/>
    <w:rsid w:val="00D75316"/>
    <w:rsid w:val="00D754F1"/>
    <w:rsid w:val="00D754FA"/>
    <w:rsid w:val="00D75778"/>
    <w:rsid w:val="00D7589D"/>
    <w:rsid w:val="00D758B8"/>
    <w:rsid w:val="00D75AA2"/>
    <w:rsid w:val="00D75ACC"/>
    <w:rsid w:val="00D75C7F"/>
    <w:rsid w:val="00D75DD4"/>
    <w:rsid w:val="00D75EAB"/>
    <w:rsid w:val="00D75FCF"/>
    <w:rsid w:val="00D76131"/>
    <w:rsid w:val="00D7616C"/>
    <w:rsid w:val="00D7619B"/>
    <w:rsid w:val="00D763CA"/>
    <w:rsid w:val="00D76437"/>
    <w:rsid w:val="00D76521"/>
    <w:rsid w:val="00D766DF"/>
    <w:rsid w:val="00D76748"/>
    <w:rsid w:val="00D76852"/>
    <w:rsid w:val="00D76881"/>
    <w:rsid w:val="00D76B50"/>
    <w:rsid w:val="00D76B65"/>
    <w:rsid w:val="00D76B7E"/>
    <w:rsid w:val="00D76C8D"/>
    <w:rsid w:val="00D76CB6"/>
    <w:rsid w:val="00D76D02"/>
    <w:rsid w:val="00D76D32"/>
    <w:rsid w:val="00D76D49"/>
    <w:rsid w:val="00D76D66"/>
    <w:rsid w:val="00D76DD7"/>
    <w:rsid w:val="00D76F7B"/>
    <w:rsid w:val="00D771DE"/>
    <w:rsid w:val="00D774B2"/>
    <w:rsid w:val="00D7750F"/>
    <w:rsid w:val="00D77676"/>
    <w:rsid w:val="00D77706"/>
    <w:rsid w:val="00D7780C"/>
    <w:rsid w:val="00D7781D"/>
    <w:rsid w:val="00D77A9A"/>
    <w:rsid w:val="00D77AF2"/>
    <w:rsid w:val="00D77DE9"/>
    <w:rsid w:val="00D77E2B"/>
    <w:rsid w:val="00D77E5E"/>
    <w:rsid w:val="00D8008A"/>
    <w:rsid w:val="00D800B2"/>
    <w:rsid w:val="00D801B3"/>
    <w:rsid w:val="00D803D1"/>
    <w:rsid w:val="00D80416"/>
    <w:rsid w:val="00D80551"/>
    <w:rsid w:val="00D80772"/>
    <w:rsid w:val="00D807CA"/>
    <w:rsid w:val="00D80858"/>
    <w:rsid w:val="00D808A1"/>
    <w:rsid w:val="00D808A4"/>
    <w:rsid w:val="00D809AB"/>
    <w:rsid w:val="00D80AAD"/>
    <w:rsid w:val="00D80C69"/>
    <w:rsid w:val="00D80E7A"/>
    <w:rsid w:val="00D80EB5"/>
    <w:rsid w:val="00D80EFD"/>
    <w:rsid w:val="00D80F95"/>
    <w:rsid w:val="00D80FE0"/>
    <w:rsid w:val="00D80FE5"/>
    <w:rsid w:val="00D811CB"/>
    <w:rsid w:val="00D814C9"/>
    <w:rsid w:val="00D818D8"/>
    <w:rsid w:val="00D81AB7"/>
    <w:rsid w:val="00D81B43"/>
    <w:rsid w:val="00D81BA9"/>
    <w:rsid w:val="00D81C2E"/>
    <w:rsid w:val="00D81D0B"/>
    <w:rsid w:val="00D81DDD"/>
    <w:rsid w:val="00D82015"/>
    <w:rsid w:val="00D8202F"/>
    <w:rsid w:val="00D82184"/>
    <w:rsid w:val="00D82189"/>
    <w:rsid w:val="00D821E3"/>
    <w:rsid w:val="00D8234F"/>
    <w:rsid w:val="00D82364"/>
    <w:rsid w:val="00D823BE"/>
    <w:rsid w:val="00D82638"/>
    <w:rsid w:val="00D826B2"/>
    <w:rsid w:val="00D8288A"/>
    <w:rsid w:val="00D82A1C"/>
    <w:rsid w:val="00D82C3D"/>
    <w:rsid w:val="00D82D12"/>
    <w:rsid w:val="00D82D24"/>
    <w:rsid w:val="00D82D4A"/>
    <w:rsid w:val="00D82DDC"/>
    <w:rsid w:val="00D83199"/>
    <w:rsid w:val="00D833E7"/>
    <w:rsid w:val="00D834DD"/>
    <w:rsid w:val="00D836C1"/>
    <w:rsid w:val="00D83730"/>
    <w:rsid w:val="00D8385B"/>
    <w:rsid w:val="00D83932"/>
    <w:rsid w:val="00D83997"/>
    <w:rsid w:val="00D83A93"/>
    <w:rsid w:val="00D83B30"/>
    <w:rsid w:val="00D83C6B"/>
    <w:rsid w:val="00D83F4F"/>
    <w:rsid w:val="00D84213"/>
    <w:rsid w:val="00D842BE"/>
    <w:rsid w:val="00D842DF"/>
    <w:rsid w:val="00D843D2"/>
    <w:rsid w:val="00D8449C"/>
    <w:rsid w:val="00D844A6"/>
    <w:rsid w:val="00D845E8"/>
    <w:rsid w:val="00D84806"/>
    <w:rsid w:val="00D84AC7"/>
    <w:rsid w:val="00D84AFA"/>
    <w:rsid w:val="00D84C03"/>
    <w:rsid w:val="00D84C88"/>
    <w:rsid w:val="00D84C8D"/>
    <w:rsid w:val="00D84CF9"/>
    <w:rsid w:val="00D84D82"/>
    <w:rsid w:val="00D84DFC"/>
    <w:rsid w:val="00D84E02"/>
    <w:rsid w:val="00D85044"/>
    <w:rsid w:val="00D850F7"/>
    <w:rsid w:val="00D8512C"/>
    <w:rsid w:val="00D851D9"/>
    <w:rsid w:val="00D852A1"/>
    <w:rsid w:val="00D85431"/>
    <w:rsid w:val="00D855F1"/>
    <w:rsid w:val="00D85828"/>
    <w:rsid w:val="00D85A7E"/>
    <w:rsid w:val="00D85B43"/>
    <w:rsid w:val="00D85BF7"/>
    <w:rsid w:val="00D85DA5"/>
    <w:rsid w:val="00D85E93"/>
    <w:rsid w:val="00D85F77"/>
    <w:rsid w:val="00D861A1"/>
    <w:rsid w:val="00D861CB"/>
    <w:rsid w:val="00D862E1"/>
    <w:rsid w:val="00D864D4"/>
    <w:rsid w:val="00D86556"/>
    <w:rsid w:val="00D86572"/>
    <w:rsid w:val="00D86610"/>
    <w:rsid w:val="00D86663"/>
    <w:rsid w:val="00D866BC"/>
    <w:rsid w:val="00D867EB"/>
    <w:rsid w:val="00D8682A"/>
    <w:rsid w:val="00D868DB"/>
    <w:rsid w:val="00D86914"/>
    <w:rsid w:val="00D86BC6"/>
    <w:rsid w:val="00D86D60"/>
    <w:rsid w:val="00D86E95"/>
    <w:rsid w:val="00D86F48"/>
    <w:rsid w:val="00D86FF1"/>
    <w:rsid w:val="00D870C6"/>
    <w:rsid w:val="00D8716F"/>
    <w:rsid w:val="00D871D5"/>
    <w:rsid w:val="00D87210"/>
    <w:rsid w:val="00D8722D"/>
    <w:rsid w:val="00D872DE"/>
    <w:rsid w:val="00D87397"/>
    <w:rsid w:val="00D8753A"/>
    <w:rsid w:val="00D87554"/>
    <w:rsid w:val="00D875BC"/>
    <w:rsid w:val="00D875F7"/>
    <w:rsid w:val="00D87643"/>
    <w:rsid w:val="00D87995"/>
    <w:rsid w:val="00D87A05"/>
    <w:rsid w:val="00D87B0E"/>
    <w:rsid w:val="00D87D6A"/>
    <w:rsid w:val="00D87EB6"/>
    <w:rsid w:val="00D87F0B"/>
    <w:rsid w:val="00D87F3E"/>
    <w:rsid w:val="00D87F5E"/>
    <w:rsid w:val="00D87F8E"/>
    <w:rsid w:val="00D90054"/>
    <w:rsid w:val="00D90213"/>
    <w:rsid w:val="00D9033A"/>
    <w:rsid w:val="00D90355"/>
    <w:rsid w:val="00D90472"/>
    <w:rsid w:val="00D90565"/>
    <w:rsid w:val="00D905C2"/>
    <w:rsid w:val="00D905F3"/>
    <w:rsid w:val="00D90605"/>
    <w:rsid w:val="00D90623"/>
    <w:rsid w:val="00D906E4"/>
    <w:rsid w:val="00D9088C"/>
    <w:rsid w:val="00D9090A"/>
    <w:rsid w:val="00D90937"/>
    <w:rsid w:val="00D909F4"/>
    <w:rsid w:val="00D90BD1"/>
    <w:rsid w:val="00D90C00"/>
    <w:rsid w:val="00D90D50"/>
    <w:rsid w:val="00D90D94"/>
    <w:rsid w:val="00D90EE4"/>
    <w:rsid w:val="00D913F9"/>
    <w:rsid w:val="00D915F8"/>
    <w:rsid w:val="00D9189D"/>
    <w:rsid w:val="00D918A5"/>
    <w:rsid w:val="00D918DE"/>
    <w:rsid w:val="00D918F1"/>
    <w:rsid w:val="00D91BEB"/>
    <w:rsid w:val="00D91C57"/>
    <w:rsid w:val="00D91E21"/>
    <w:rsid w:val="00D91F00"/>
    <w:rsid w:val="00D9206C"/>
    <w:rsid w:val="00D92103"/>
    <w:rsid w:val="00D9214B"/>
    <w:rsid w:val="00D922E6"/>
    <w:rsid w:val="00D92306"/>
    <w:rsid w:val="00D924A5"/>
    <w:rsid w:val="00D925AE"/>
    <w:rsid w:val="00D92685"/>
    <w:rsid w:val="00D92691"/>
    <w:rsid w:val="00D92762"/>
    <w:rsid w:val="00D92888"/>
    <w:rsid w:val="00D92B30"/>
    <w:rsid w:val="00D92BAA"/>
    <w:rsid w:val="00D92BAB"/>
    <w:rsid w:val="00D92EDC"/>
    <w:rsid w:val="00D92EED"/>
    <w:rsid w:val="00D92F5A"/>
    <w:rsid w:val="00D92FD0"/>
    <w:rsid w:val="00D931AB"/>
    <w:rsid w:val="00D9336E"/>
    <w:rsid w:val="00D933B9"/>
    <w:rsid w:val="00D93439"/>
    <w:rsid w:val="00D934BD"/>
    <w:rsid w:val="00D934F0"/>
    <w:rsid w:val="00D9366D"/>
    <w:rsid w:val="00D937CE"/>
    <w:rsid w:val="00D937F9"/>
    <w:rsid w:val="00D938C1"/>
    <w:rsid w:val="00D939C3"/>
    <w:rsid w:val="00D93A9A"/>
    <w:rsid w:val="00D93CB1"/>
    <w:rsid w:val="00D9407E"/>
    <w:rsid w:val="00D940C7"/>
    <w:rsid w:val="00D94124"/>
    <w:rsid w:val="00D94126"/>
    <w:rsid w:val="00D9412D"/>
    <w:rsid w:val="00D941B4"/>
    <w:rsid w:val="00D94216"/>
    <w:rsid w:val="00D942CB"/>
    <w:rsid w:val="00D9434A"/>
    <w:rsid w:val="00D943BA"/>
    <w:rsid w:val="00D94731"/>
    <w:rsid w:val="00D9474B"/>
    <w:rsid w:val="00D94783"/>
    <w:rsid w:val="00D9488B"/>
    <w:rsid w:val="00D948A9"/>
    <w:rsid w:val="00D948ED"/>
    <w:rsid w:val="00D94A6F"/>
    <w:rsid w:val="00D94CB0"/>
    <w:rsid w:val="00D94D4D"/>
    <w:rsid w:val="00D94D60"/>
    <w:rsid w:val="00D94E63"/>
    <w:rsid w:val="00D94E72"/>
    <w:rsid w:val="00D94F81"/>
    <w:rsid w:val="00D950E0"/>
    <w:rsid w:val="00D95143"/>
    <w:rsid w:val="00D95334"/>
    <w:rsid w:val="00D957C8"/>
    <w:rsid w:val="00D9585C"/>
    <w:rsid w:val="00D95954"/>
    <w:rsid w:val="00D95C41"/>
    <w:rsid w:val="00D95C66"/>
    <w:rsid w:val="00D95D92"/>
    <w:rsid w:val="00D95FA2"/>
    <w:rsid w:val="00D95FBB"/>
    <w:rsid w:val="00D96418"/>
    <w:rsid w:val="00D9652C"/>
    <w:rsid w:val="00D96624"/>
    <w:rsid w:val="00D9678D"/>
    <w:rsid w:val="00D96953"/>
    <w:rsid w:val="00D96A0F"/>
    <w:rsid w:val="00D96E01"/>
    <w:rsid w:val="00D96E88"/>
    <w:rsid w:val="00D96ED0"/>
    <w:rsid w:val="00D97175"/>
    <w:rsid w:val="00D9731F"/>
    <w:rsid w:val="00D97624"/>
    <w:rsid w:val="00D976A1"/>
    <w:rsid w:val="00D97862"/>
    <w:rsid w:val="00D97B6B"/>
    <w:rsid w:val="00D97C02"/>
    <w:rsid w:val="00D97D54"/>
    <w:rsid w:val="00DA0114"/>
    <w:rsid w:val="00DA0148"/>
    <w:rsid w:val="00DA021D"/>
    <w:rsid w:val="00DA025D"/>
    <w:rsid w:val="00DA026D"/>
    <w:rsid w:val="00DA02AF"/>
    <w:rsid w:val="00DA04C6"/>
    <w:rsid w:val="00DA05E7"/>
    <w:rsid w:val="00DA0765"/>
    <w:rsid w:val="00DA08A6"/>
    <w:rsid w:val="00DA08B6"/>
    <w:rsid w:val="00DA08BE"/>
    <w:rsid w:val="00DA0910"/>
    <w:rsid w:val="00DA0918"/>
    <w:rsid w:val="00DA0973"/>
    <w:rsid w:val="00DA0AD4"/>
    <w:rsid w:val="00DA0BDB"/>
    <w:rsid w:val="00DA0BE3"/>
    <w:rsid w:val="00DA0D57"/>
    <w:rsid w:val="00DA0D93"/>
    <w:rsid w:val="00DA0FBB"/>
    <w:rsid w:val="00DA0FE1"/>
    <w:rsid w:val="00DA1067"/>
    <w:rsid w:val="00DA10D2"/>
    <w:rsid w:val="00DA115D"/>
    <w:rsid w:val="00DA1172"/>
    <w:rsid w:val="00DA11CB"/>
    <w:rsid w:val="00DA1433"/>
    <w:rsid w:val="00DA1640"/>
    <w:rsid w:val="00DA1661"/>
    <w:rsid w:val="00DA18FB"/>
    <w:rsid w:val="00DA1987"/>
    <w:rsid w:val="00DA19D3"/>
    <w:rsid w:val="00DA1A51"/>
    <w:rsid w:val="00DA1AEA"/>
    <w:rsid w:val="00DA1DF0"/>
    <w:rsid w:val="00DA1F76"/>
    <w:rsid w:val="00DA20CB"/>
    <w:rsid w:val="00DA21A4"/>
    <w:rsid w:val="00DA21D3"/>
    <w:rsid w:val="00DA22EB"/>
    <w:rsid w:val="00DA2336"/>
    <w:rsid w:val="00DA23A8"/>
    <w:rsid w:val="00DA26B8"/>
    <w:rsid w:val="00DA2857"/>
    <w:rsid w:val="00DA2941"/>
    <w:rsid w:val="00DA29AA"/>
    <w:rsid w:val="00DA2A32"/>
    <w:rsid w:val="00DA2A84"/>
    <w:rsid w:val="00DA2B4E"/>
    <w:rsid w:val="00DA2CA4"/>
    <w:rsid w:val="00DA2E29"/>
    <w:rsid w:val="00DA2F63"/>
    <w:rsid w:val="00DA33B5"/>
    <w:rsid w:val="00DA35B5"/>
    <w:rsid w:val="00DA3656"/>
    <w:rsid w:val="00DA396C"/>
    <w:rsid w:val="00DA3AF0"/>
    <w:rsid w:val="00DA3C0A"/>
    <w:rsid w:val="00DA3C93"/>
    <w:rsid w:val="00DA3CDB"/>
    <w:rsid w:val="00DA3DAA"/>
    <w:rsid w:val="00DA3DCF"/>
    <w:rsid w:val="00DA3E60"/>
    <w:rsid w:val="00DA3FFA"/>
    <w:rsid w:val="00DA4217"/>
    <w:rsid w:val="00DA43D6"/>
    <w:rsid w:val="00DA43FC"/>
    <w:rsid w:val="00DA4647"/>
    <w:rsid w:val="00DA483F"/>
    <w:rsid w:val="00DA4865"/>
    <w:rsid w:val="00DA49CD"/>
    <w:rsid w:val="00DA4AD6"/>
    <w:rsid w:val="00DA4BDC"/>
    <w:rsid w:val="00DA4C25"/>
    <w:rsid w:val="00DA4C40"/>
    <w:rsid w:val="00DA4C4C"/>
    <w:rsid w:val="00DA4F6B"/>
    <w:rsid w:val="00DA5027"/>
    <w:rsid w:val="00DA5030"/>
    <w:rsid w:val="00DA5086"/>
    <w:rsid w:val="00DA50D1"/>
    <w:rsid w:val="00DA51A2"/>
    <w:rsid w:val="00DA52FA"/>
    <w:rsid w:val="00DA536D"/>
    <w:rsid w:val="00DA5426"/>
    <w:rsid w:val="00DA5470"/>
    <w:rsid w:val="00DA560E"/>
    <w:rsid w:val="00DA583E"/>
    <w:rsid w:val="00DA58D9"/>
    <w:rsid w:val="00DA59E5"/>
    <w:rsid w:val="00DA5CC9"/>
    <w:rsid w:val="00DA5D62"/>
    <w:rsid w:val="00DA6026"/>
    <w:rsid w:val="00DA60A3"/>
    <w:rsid w:val="00DA61AB"/>
    <w:rsid w:val="00DA61B3"/>
    <w:rsid w:val="00DA6256"/>
    <w:rsid w:val="00DA6382"/>
    <w:rsid w:val="00DA642A"/>
    <w:rsid w:val="00DA64AD"/>
    <w:rsid w:val="00DA65E9"/>
    <w:rsid w:val="00DA689C"/>
    <w:rsid w:val="00DA6A6F"/>
    <w:rsid w:val="00DA6A70"/>
    <w:rsid w:val="00DA6AA8"/>
    <w:rsid w:val="00DA6D63"/>
    <w:rsid w:val="00DA6E39"/>
    <w:rsid w:val="00DA6E48"/>
    <w:rsid w:val="00DA709A"/>
    <w:rsid w:val="00DA76A7"/>
    <w:rsid w:val="00DA77EF"/>
    <w:rsid w:val="00DA77F8"/>
    <w:rsid w:val="00DA7851"/>
    <w:rsid w:val="00DA78A5"/>
    <w:rsid w:val="00DA79F4"/>
    <w:rsid w:val="00DA7A81"/>
    <w:rsid w:val="00DA7E4A"/>
    <w:rsid w:val="00DA7E54"/>
    <w:rsid w:val="00DA7E62"/>
    <w:rsid w:val="00DA7E8B"/>
    <w:rsid w:val="00DA7E9D"/>
    <w:rsid w:val="00DA7FA4"/>
    <w:rsid w:val="00DB005A"/>
    <w:rsid w:val="00DB013F"/>
    <w:rsid w:val="00DB0274"/>
    <w:rsid w:val="00DB0404"/>
    <w:rsid w:val="00DB0457"/>
    <w:rsid w:val="00DB045E"/>
    <w:rsid w:val="00DB0829"/>
    <w:rsid w:val="00DB082F"/>
    <w:rsid w:val="00DB0B42"/>
    <w:rsid w:val="00DB0C65"/>
    <w:rsid w:val="00DB0E75"/>
    <w:rsid w:val="00DB0F6D"/>
    <w:rsid w:val="00DB1063"/>
    <w:rsid w:val="00DB10F5"/>
    <w:rsid w:val="00DB122A"/>
    <w:rsid w:val="00DB124E"/>
    <w:rsid w:val="00DB1254"/>
    <w:rsid w:val="00DB1260"/>
    <w:rsid w:val="00DB1394"/>
    <w:rsid w:val="00DB14BD"/>
    <w:rsid w:val="00DB1536"/>
    <w:rsid w:val="00DB159A"/>
    <w:rsid w:val="00DB16F4"/>
    <w:rsid w:val="00DB1816"/>
    <w:rsid w:val="00DB1E46"/>
    <w:rsid w:val="00DB1F2F"/>
    <w:rsid w:val="00DB1F7A"/>
    <w:rsid w:val="00DB20CB"/>
    <w:rsid w:val="00DB2125"/>
    <w:rsid w:val="00DB21D8"/>
    <w:rsid w:val="00DB2350"/>
    <w:rsid w:val="00DB2471"/>
    <w:rsid w:val="00DB2585"/>
    <w:rsid w:val="00DB26E0"/>
    <w:rsid w:val="00DB2779"/>
    <w:rsid w:val="00DB2790"/>
    <w:rsid w:val="00DB28DF"/>
    <w:rsid w:val="00DB2946"/>
    <w:rsid w:val="00DB2961"/>
    <w:rsid w:val="00DB2A27"/>
    <w:rsid w:val="00DB2B60"/>
    <w:rsid w:val="00DB2DBF"/>
    <w:rsid w:val="00DB2EF0"/>
    <w:rsid w:val="00DB30EB"/>
    <w:rsid w:val="00DB3184"/>
    <w:rsid w:val="00DB318E"/>
    <w:rsid w:val="00DB337A"/>
    <w:rsid w:val="00DB3586"/>
    <w:rsid w:val="00DB36BE"/>
    <w:rsid w:val="00DB3837"/>
    <w:rsid w:val="00DB38BB"/>
    <w:rsid w:val="00DB38C5"/>
    <w:rsid w:val="00DB3972"/>
    <w:rsid w:val="00DB39D0"/>
    <w:rsid w:val="00DB39E2"/>
    <w:rsid w:val="00DB3B89"/>
    <w:rsid w:val="00DB3BA7"/>
    <w:rsid w:val="00DB3CF1"/>
    <w:rsid w:val="00DB3D0B"/>
    <w:rsid w:val="00DB3E6F"/>
    <w:rsid w:val="00DB411D"/>
    <w:rsid w:val="00DB41EC"/>
    <w:rsid w:val="00DB4351"/>
    <w:rsid w:val="00DB45E8"/>
    <w:rsid w:val="00DB4820"/>
    <w:rsid w:val="00DB48C4"/>
    <w:rsid w:val="00DB4AE0"/>
    <w:rsid w:val="00DB4B4A"/>
    <w:rsid w:val="00DB4BD0"/>
    <w:rsid w:val="00DB5326"/>
    <w:rsid w:val="00DB534B"/>
    <w:rsid w:val="00DB536E"/>
    <w:rsid w:val="00DB5438"/>
    <w:rsid w:val="00DB5536"/>
    <w:rsid w:val="00DB55EF"/>
    <w:rsid w:val="00DB5655"/>
    <w:rsid w:val="00DB565A"/>
    <w:rsid w:val="00DB56E2"/>
    <w:rsid w:val="00DB576A"/>
    <w:rsid w:val="00DB58A9"/>
    <w:rsid w:val="00DB58E0"/>
    <w:rsid w:val="00DB5ADC"/>
    <w:rsid w:val="00DB5B3F"/>
    <w:rsid w:val="00DB5B5E"/>
    <w:rsid w:val="00DB5BAF"/>
    <w:rsid w:val="00DB5C1D"/>
    <w:rsid w:val="00DB5C27"/>
    <w:rsid w:val="00DB5E55"/>
    <w:rsid w:val="00DB5F4A"/>
    <w:rsid w:val="00DB6041"/>
    <w:rsid w:val="00DB606C"/>
    <w:rsid w:val="00DB61A7"/>
    <w:rsid w:val="00DB61C1"/>
    <w:rsid w:val="00DB61D2"/>
    <w:rsid w:val="00DB6272"/>
    <w:rsid w:val="00DB62B6"/>
    <w:rsid w:val="00DB6340"/>
    <w:rsid w:val="00DB6350"/>
    <w:rsid w:val="00DB6361"/>
    <w:rsid w:val="00DB6390"/>
    <w:rsid w:val="00DB6405"/>
    <w:rsid w:val="00DB6489"/>
    <w:rsid w:val="00DB6804"/>
    <w:rsid w:val="00DB68A0"/>
    <w:rsid w:val="00DB68DF"/>
    <w:rsid w:val="00DB693A"/>
    <w:rsid w:val="00DB696D"/>
    <w:rsid w:val="00DB6B40"/>
    <w:rsid w:val="00DB6BBF"/>
    <w:rsid w:val="00DB6DEB"/>
    <w:rsid w:val="00DB6E3F"/>
    <w:rsid w:val="00DB6EF5"/>
    <w:rsid w:val="00DB7016"/>
    <w:rsid w:val="00DB7123"/>
    <w:rsid w:val="00DB7343"/>
    <w:rsid w:val="00DB767C"/>
    <w:rsid w:val="00DB78E5"/>
    <w:rsid w:val="00DB7C56"/>
    <w:rsid w:val="00DB7D32"/>
    <w:rsid w:val="00DB7D3D"/>
    <w:rsid w:val="00DB7F38"/>
    <w:rsid w:val="00DB7FC7"/>
    <w:rsid w:val="00DC0027"/>
    <w:rsid w:val="00DC00D2"/>
    <w:rsid w:val="00DC00FB"/>
    <w:rsid w:val="00DC0287"/>
    <w:rsid w:val="00DC03B8"/>
    <w:rsid w:val="00DC03C6"/>
    <w:rsid w:val="00DC049F"/>
    <w:rsid w:val="00DC04AC"/>
    <w:rsid w:val="00DC058C"/>
    <w:rsid w:val="00DC07D2"/>
    <w:rsid w:val="00DC0988"/>
    <w:rsid w:val="00DC0AC9"/>
    <w:rsid w:val="00DC0C78"/>
    <w:rsid w:val="00DC0E6C"/>
    <w:rsid w:val="00DC0FD2"/>
    <w:rsid w:val="00DC0FD6"/>
    <w:rsid w:val="00DC1160"/>
    <w:rsid w:val="00DC135A"/>
    <w:rsid w:val="00DC1365"/>
    <w:rsid w:val="00DC13BE"/>
    <w:rsid w:val="00DC1456"/>
    <w:rsid w:val="00DC1547"/>
    <w:rsid w:val="00DC17C7"/>
    <w:rsid w:val="00DC1802"/>
    <w:rsid w:val="00DC1882"/>
    <w:rsid w:val="00DC1973"/>
    <w:rsid w:val="00DC19FA"/>
    <w:rsid w:val="00DC1D48"/>
    <w:rsid w:val="00DC1E88"/>
    <w:rsid w:val="00DC2112"/>
    <w:rsid w:val="00DC22ED"/>
    <w:rsid w:val="00DC2555"/>
    <w:rsid w:val="00DC25D8"/>
    <w:rsid w:val="00DC25FC"/>
    <w:rsid w:val="00DC2734"/>
    <w:rsid w:val="00DC2788"/>
    <w:rsid w:val="00DC2790"/>
    <w:rsid w:val="00DC2807"/>
    <w:rsid w:val="00DC2AD8"/>
    <w:rsid w:val="00DC2B21"/>
    <w:rsid w:val="00DC2B34"/>
    <w:rsid w:val="00DC2C56"/>
    <w:rsid w:val="00DC2CF6"/>
    <w:rsid w:val="00DC2FDE"/>
    <w:rsid w:val="00DC3003"/>
    <w:rsid w:val="00DC308A"/>
    <w:rsid w:val="00DC326F"/>
    <w:rsid w:val="00DC3401"/>
    <w:rsid w:val="00DC3523"/>
    <w:rsid w:val="00DC35B8"/>
    <w:rsid w:val="00DC3629"/>
    <w:rsid w:val="00DC378F"/>
    <w:rsid w:val="00DC38B4"/>
    <w:rsid w:val="00DC3995"/>
    <w:rsid w:val="00DC3AA4"/>
    <w:rsid w:val="00DC3B25"/>
    <w:rsid w:val="00DC3B99"/>
    <w:rsid w:val="00DC3E59"/>
    <w:rsid w:val="00DC3E83"/>
    <w:rsid w:val="00DC40C0"/>
    <w:rsid w:val="00DC411E"/>
    <w:rsid w:val="00DC417C"/>
    <w:rsid w:val="00DC41DF"/>
    <w:rsid w:val="00DC422F"/>
    <w:rsid w:val="00DC42AC"/>
    <w:rsid w:val="00DC4389"/>
    <w:rsid w:val="00DC4470"/>
    <w:rsid w:val="00DC45A7"/>
    <w:rsid w:val="00DC4785"/>
    <w:rsid w:val="00DC482D"/>
    <w:rsid w:val="00DC4ABD"/>
    <w:rsid w:val="00DC4D42"/>
    <w:rsid w:val="00DC4D75"/>
    <w:rsid w:val="00DC4EF9"/>
    <w:rsid w:val="00DC5190"/>
    <w:rsid w:val="00DC5332"/>
    <w:rsid w:val="00DC55F1"/>
    <w:rsid w:val="00DC594D"/>
    <w:rsid w:val="00DC5965"/>
    <w:rsid w:val="00DC598A"/>
    <w:rsid w:val="00DC59CC"/>
    <w:rsid w:val="00DC5A71"/>
    <w:rsid w:val="00DC5AC5"/>
    <w:rsid w:val="00DC5AEE"/>
    <w:rsid w:val="00DC5C09"/>
    <w:rsid w:val="00DC5C7C"/>
    <w:rsid w:val="00DC5C99"/>
    <w:rsid w:val="00DC6004"/>
    <w:rsid w:val="00DC6033"/>
    <w:rsid w:val="00DC60CF"/>
    <w:rsid w:val="00DC6237"/>
    <w:rsid w:val="00DC6276"/>
    <w:rsid w:val="00DC63DF"/>
    <w:rsid w:val="00DC6553"/>
    <w:rsid w:val="00DC65B6"/>
    <w:rsid w:val="00DC65BB"/>
    <w:rsid w:val="00DC6695"/>
    <w:rsid w:val="00DC6782"/>
    <w:rsid w:val="00DC6818"/>
    <w:rsid w:val="00DC6960"/>
    <w:rsid w:val="00DC69B2"/>
    <w:rsid w:val="00DC6AE6"/>
    <w:rsid w:val="00DC6B12"/>
    <w:rsid w:val="00DC6B57"/>
    <w:rsid w:val="00DC6BEE"/>
    <w:rsid w:val="00DC6DDC"/>
    <w:rsid w:val="00DC6E0A"/>
    <w:rsid w:val="00DC6E0D"/>
    <w:rsid w:val="00DC7097"/>
    <w:rsid w:val="00DC70C0"/>
    <w:rsid w:val="00DC7102"/>
    <w:rsid w:val="00DC7250"/>
    <w:rsid w:val="00DC75B0"/>
    <w:rsid w:val="00DC76C8"/>
    <w:rsid w:val="00DC772A"/>
    <w:rsid w:val="00DC78A1"/>
    <w:rsid w:val="00DC79D5"/>
    <w:rsid w:val="00DC7DCF"/>
    <w:rsid w:val="00DC7EEE"/>
    <w:rsid w:val="00DC7F4A"/>
    <w:rsid w:val="00DC7F68"/>
    <w:rsid w:val="00DD0188"/>
    <w:rsid w:val="00DD03B1"/>
    <w:rsid w:val="00DD046C"/>
    <w:rsid w:val="00DD0562"/>
    <w:rsid w:val="00DD06AD"/>
    <w:rsid w:val="00DD0904"/>
    <w:rsid w:val="00DD095A"/>
    <w:rsid w:val="00DD0AB3"/>
    <w:rsid w:val="00DD0ADF"/>
    <w:rsid w:val="00DD10FC"/>
    <w:rsid w:val="00DD1135"/>
    <w:rsid w:val="00DD11CD"/>
    <w:rsid w:val="00DD12CE"/>
    <w:rsid w:val="00DD1363"/>
    <w:rsid w:val="00DD136B"/>
    <w:rsid w:val="00DD13DA"/>
    <w:rsid w:val="00DD14F5"/>
    <w:rsid w:val="00DD1552"/>
    <w:rsid w:val="00DD1626"/>
    <w:rsid w:val="00DD1655"/>
    <w:rsid w:val="00DD171E"/>
    <w:rsid w:val="00DD1793"/>
    <w:rsid w:val="00DD1859"/>
    <w:rsid w:val="00DD1A6C"/>
    <w:rsid w:val="00DD1BF9"/>
    <w:rsid w:val="00DD1CB1"/>
    <w:rsid w:val="00DD1CF8"/>
    <w:rsid w:val="00DD1DCD"/>
    <w:rsid w:val="00DD1E8B"/>
    <w:rsid w:val="00DD1F43"/>
    <w:rsid w:val="00DD200B"/>
    <w:rsid w:val="00DD214B"/>
    <w:rsid w:val="00DD2253"/>
    <w:rsid w:val="00DD26B4"/>
    <w:rsid w:val="00DD281A"/>
    <w:rsid w:val="00DD298A"/>
    <w:rsid w:val="00DD2C9F"/>
    <w:rsid w:val="00DD2CEC"/>
    <w:rsid w:val="00DD2EBE"/>
    <w:rsid w:val="00DD2EE8"/>
    <w:rsid w:val="00DD2FC0"/>
    <w:rsid w:val="00DD332E"/>
    <w:rsid w:val="00DD3406"/>
    <w:rsid w:val="00DD34A7"/>
    <w:rsid w:val="00DD36F7"/>
    <w:rsid w:val="00DD37A1"/>
    <w:rsid w:val="00DD37C6"/>
    <w:rsid w:val="00DD37FF"/>
    <w:rsid w:val="00DD38C7"/>
    <w:rsid w:val="00DD399C"/>
    <w:rsid w:val="00DD39A0"/>
    <w:rsid w:val="00DD39DA"/>
    <w:rsid w:val="00DD39DE"/>
    <w:rsid w:val="00DD3A8F"/>
    <w:rsid w:val="00DD3AF1"/>
    <w:rsid w:val="00DD3B0A"/>
    <w:rsid w:val="00DD3F25"/>
    <w:rsid w:val="00DD3F31"/>
    <w:rsid w:val="00DD403E"/>
    <w:rsid w:val="00DD4046"/>
    <w:rsid w:val="00DD4391"/>
    <w:rsid w:val="00DD4594"/>
    <w:rsid w:val="00DD45A5"/>
    <w:rsid w:val="00DD46D6"/>
    <w:rsid w:val="00DD48A7"/>
    <w:rsid w:val="00DD49CE"/>
    <w:rsid w:val="00DD49E9"/>
    <w:rsid w:val="00DD4A18"/>
    <w:rsid w:val="00DD4BF6"/>
    <w:rsid w:val="00DD4D8D"/>
    <w:rsid w:val="00DD4D9F"/>
    <w:rsid w:val="00DD4E05"/>
    <w:rsid w:val="00DD4E41"/>
    <w:rsid w:val="00DD4E77"/>
    <w:rsid w:val="00DD4E7B"/>
    <w:rsid w:val="00DD4F33"/>
    <w:rsid w:val="00DD4F82"/>
    <w:rsid w:val="00DD507A"/>
    <w:rsid w:val="00DD518B"/>
    <w:rsid w:val="00DD51E7"/>
    <w:rsid w:val="00DD526E"/>
    <w:rsid w:val="00DD551B"/>
    <w:rsid w:val="00DD56A5"/>
    <w:rsid w:val="00DD59C8"/>
    <w:rsid w:val="00DD5A7A"/>
    <w:rsid w:val="00DD5E7B"/>
    <w:rsid w:val="00DD5E88"/>
    <w:rsid w:val="00DD5F84"/>
    <w:rsid w:val="00DD5FE9"/>
    <w:rsid w:val="00DD61D0"/>
    <w:rsid w:val="00DD623A"/>
    <w:rsid w:val="00DD627A"/>
    <w:rsid w:val="00DD6416"/>
    <w:rsid w:val="00DD642E"/>
    <w:rsid w:val="00DD6700"/>
    <w:rsid w:val="00DD671B"/>
    <w:rsid w:val="00DD68A2"/>
    <w:rsid w:val="00DD68AF"/>
    <w:rsid w:val="00DD6A66"/>
    <w:rsid w:val="00DD6AE9"/>
    <w:rsid w:val="00DD6DFF"/>
    <w:rsid w:val="00DD6FBD"/>
    <w:rsid w:val="00DD717F"/>
    <w:rsid w:val="00DD7355"/>
    <w:rsid w:val="00DD7376"/>
    <w:rsid w:val="00DD738F"/>
    <w:rsid w:val="00DD7598"/>
    <w:rsid w:val="00DD777A"/>
    <w:rsid w:val="00DD7986"/>
    <w:rsid w:val="00DD7A5F"/>
    <w:rsid w:val="00DD7B39"/>
    <w:rsid w:val="00DD7B72"/>
    <w:rsid w:val="00DD7CA8"/>
    <w:rsid w:val="00DD7E50"/>
    <w:rsid w:val="00DD7EDF"/>
    <w:rsid w:val="00DD7F66"/>
    <w:rsid w:val="00DE00C0"/>
    <w:rsid w:val="00DE0232"/>
    <w:rsid w:val="00DE0243"/>
    <w:rsid w:val="00DE029F"/>
    <w:rsid w:val="00DE0479"/>
    <w:rsid w:val="00DE049C"/>
    <w:rsid w:val="00DE0516"/>
    <w:rsid w:val="00DE05BC"/>
    <w:rsid w:val="00DE062C"/>
    <w:rsid w:val="00DE06EF"/>
    <w:rsid w:val="00DE0724"/>
    <w:rsid w:val="00DE079F"/>
    <w:rsid w:val="00DE0846"/>
    <w:rsid w:val="00DE08DE"/>
    <w:rsid w:val="00DE091C"/>
    <w:rsid w:val="00DE0961"/>
    <w:rsid w:val="00DE09E6"/>
    <w:rsid w:val="00DE0A3D"/>
    <w:rsid w:val="00DE0CD7"/>
    <w:rsid w:val="00DE0F2B"/>
    <w:rsid w:val="00DE1119"/>
    <w:rsid w:val="00DE132C"/>
    <w:rsid w:val="00DE1343"/>
    <w:rsid w:val="00DE140E"/>
    <w:rsid w:val="00DE1568"/>
    <w:rsid w:val="00DE16CB"/>
    <w:rsid w:val="00DE17D3"/>
    <w:rsid w:val="00DE193F"/>
    <w:rsid w:val="00DE1A0F"/>
    <w:rsid w:val="00DE1A43"/>
    <w:rsid w:val="00DE1A5F"/>
    <w:rsid w:val="00DE1AF9"/>
    <w:rsid w:val="00DE1BD3"/>
    <w:rsid w:val="00DE1C24"/>
    <w:rsid w:val="00DE1D6A"/>
    <w:rsid w:val="00DE1FFF"/>
    <w:rsid w:val="00DE2026"/>
    <w:rsid w:val="00DE207A"/>
    <w:rsid w:val="00DE20F3"/>
    <w:rsid w:val="00DE2122"/>
    <w:rsid w:val="00DE215A"/>
    <w:rsid w:val="00DE21CB"/>
    <w:rsid w:val="00DE22F7"/>
    <w:rsid w:val="00DE249D"/>
    <w:rsid w:val="00DE2630"/>
    <w:rsid w:val="00DE2690"/>
    <w:rsid w:val="00DE26BC"/>
    <w:rsid w:val="00DE26FA"/>
    <w:rsid w:val="00DE274C"/>
    <w:rsid w:val="00DE28D1"/>
    <w:rsid w:val="00DE2931"/>
    <w:rsid w:val="00DE2964"/>
    <w:rsid w:val="00DE2A3C"/>
    <w:rsid w:val="00DE2A7F"/>
    <w:rsid w:val="00DE2AE0"/>
    <w:rsid w:val="00DE2AF4"/>
    <w:rsid w:val="00DE2B05"/>
    <w:rsid w:val="00DE2C16"/>
    <w:rsid w:val="00DE2C4B"/>
    <w:rsid w:val="00DE2CD4"/>
    <w:rsid w:val="00DE2D11"/>
    <w:rsid w:val="00DE2DB8"/>
    <w:rsid w:val="00DE2FEC"/>
    <w:rsid w:val="00DE302B"/>
    <w:rsid w:val="00DE3073"/>
    <w:rsid w:val="00DE3216"/>
    <w:rsid w:val="00DE3299"/>
    <w:rsid w:val="00DE33DB"/>
    <w:rsid w:val="00DE3435"/>
    <w:rsid w:val="00DE351E"/>
    <w:rsid w:val="00DE362A"/>
    <w:rsid w:val="00DE390A"/>
    <w:rsid w:val="00DE3BE1"/>
    <w:rsid w:val="00DE3C23"/>
    <w:rsid w:val="00DE400F"/>
    <w:rsid w:val="00DE43DC"/>
    <w:rsid w:val="00DE43F4"/>
    <w:rsid w:val="00DE441E"/>
    <w:rsid w:val="00DE4552"/>
    <w:rsid w:val="00DE4665"/>
    <w:rsid w:val="00DE478E"/>
    <w:rsid w:val="00DE493D"/>
    <w:rsid w:val="00DE4A15"/>
    <w:rsid w:val="00DE4B5F"/>
    <w:rsid w:val="00DE4C22"/>
    <w:rsid w:val="00DE4C64"/>
    <w:rsid w:val="00DE4C9A"/>
    <w:rsid w:val="00DE4DF5"/>
    <w:rsid w:val="00DE4E21"/>
    <w:rsid w:val="00DE4EE4"/>
    <w:rsid w:val="00DE4F74"/>
    <w:rsid w:val="00DE4FC5"/>
    <w:rsid w:val="00DE5108"/>
    <w:rsid w:val="00DE51A0"/>
    <w:rsid w:val="00DE533B"/>
    <w:rsid w:val="00DE5407"/>
    <w:rsid w:val="00DE5597"/>
    <w:rsid w:val="00DE565C"/>
    <w:rsid w:val="00DE56B5"/>
    <w:rsid w:val="00DE572B"/>
    <w:rsid w:val="00DE573A"/>
    <w:rsid w:val="00DE5951"/>
    <w:rsid w:val="00DE59B3"/>
    <w:rsid w:val="00DE5C1B"/>
    <w:rsid w:val="00DE5C6E"/>
    <w:rsid w:val="00DE5D3F"/>
    <w:rsid w:val="00DE5F9D"/>
    <w:rsid w:val="00DE6000"/>
    <w:rsid w:val="00DE6012"/>
    <w:rsid w:val="00DE61B9"/>
    <w:rsid w:val="00DE62A3"/>
    <w:rsid w:val="00DE6302"/>
    <w:rsid w:val="00DE6309"/>
    <w:rsid w:val="00DE636D"/>
    <w:rsid w:val="00DE63F3"/>
    <w:rsid w:val="00DE6449"/>
    <w:rsid w:val="00DE6454"/>
    <w:rsid w:val="00DE64C9"/>
    <w:rsid w:val="00DE6589"/>
    <w:rsid w:val="00DE659A"/>
    <w:rsid w:val="00DE65B5"/>
    <w:rsid w:val="00DE6723"/>
    <w:rsid w:val="00DE6792"/>
    <w:rsid w:val="00DE686D"/>
    <w:rsid w:val="00DE68F5"/>
    <w:rsid w:val="00DE6917"/>
    <w:rsid w:val="00DE6A04"/>
    <w:rsid w:val="00DE6AA7"/>
    <w:rsid w:val="00DE6AC0"/>
    <w:rsid w:val="00DE6BB8"/>
    <w:rsid w:val="00DE6EB7"/>
    <w:rsid w:val="00DE71F8"/>
    <w:rsid w:val="00DE7255"/>
    <w:rsid w:val="00DE728B"/>
    <w:rsid w:val="00DE7296"/>
    <w:rsid w:val="00DE7445"/>
    <w:rsid w:val="00DE7465"/>
    <w:rsid w:val="00DE74F9"/>
    <w:rsid w:val="00DE750A"/>
    <w:rsid w:val="00DE7731"/>
    <w:rsid w:val="00DE77D3"/>
    <w:rsid w:val="00DE77F1"/>
    <w:rsid w:val="00DE7949"/>
    <w:rsid w:val="00DE7A8C"/>
    <w:rsid w:val="00DE7B1B"/>
    <w:rsid w:val="00DE7C28"/>
    <w:rsid w:val="00DE7C73"/>
    <w:rsid w:val="00DE7DB6"/>
    <w:rsid w:val="00DE7DC3"/>
    <w:rsid w:val="00DE7E3F"/>
    <w:rsid w:val="00DE7EAB"/>
    <w:rsid w:val="00DE7F42"/>
    <w:rsid w:val="00DE7F48"/>
    <w:rsid w:val="00DE7FC7"/>
    <w:rsid w:val="00DF006C"/>
    <w:rsid w:val="00DF0238"/>
    <w:rsid w:val="00DF03B2"/>
    <w:rsid w:val="00DF03E5"/>
    <w:rsid w:val="00DF047B"/>
    <w:rsid w:val="00DF0572"/>
    <w:rsid w:val="00DF0581"/>
    <w:rsid w:val="00DF06EF"/>
    <w:rsid w:val="00DF06FB"/>
    <w:rsid w:val="00DF079A"/>
    <w:rsid w:val="00DF07C7"/>
    <w:rsid w:val="00DF0B0E"/>
    <w:rsid w:val="00DF0CF3"/>
    <w:rsid w:val="00DF0D3A"/>
    <w:rsid w:val="00DF0DE7"/>
    <w:rsid w:val="00DF0F42"/>
    <w:rsid w:val="00DF0F5D"/>
    <w:rsid w:val="00DF1088"/>
    <w:rsid w:val="00DF11ED"/>
    <w:rsid w:val="00DF1300"/>
    <w:rsid w:val="00DF1312"/>
    <w:rsid w:val="00DF1406"/>
    <w:rsid w:val="00DF1528"/>
    <w:rsid w:val="00DF172B"/>
    <w:rsid w:val="00DF1766"/>
    <w:rsid w:val="00DF17D6"/>
    <w:rsid w:val="00DF1906"/>
    <w:rsid w:val="00DF19C9"/>
    <w:rsid w:val="00DF1A04"/>
    <w:rsid w:val="00DF1BEB"/>
    <w:rsid w:val="00DF1E92"/>
    <w:rsid w:val="00DF1F87"/>
    <w:rsid w:val="00DF20D7"/>
    <w:rsid w:val="00DF210B"/>
    <w:rsid w:val="00DF22E6"/>
    <w:rsid w:val="00DF2315"/>
    <w:rsid w:val="00DF24A3"/>
    <w:rsid w:val="00DF2501"/>
    <w:rsid w:val="00DF29F6"/>
    <w:rsid w:val="00DF2A03"/>
    <w:rsid w:val="00DF2A60"/>
    <w:rsid w:val="00DF2B53"/>
    <w:rsid w:val="00DF2BF1"/>
    <w:rsid w:val="00DF2CEA"/>
    <w:rsid w:val="00DF2D7F"/>
    <w:rsid w:val="00DF2EDE"/>
    <w:rsid w:val="00DF2F19"/>
    <w:rsid w:val="00DF2F88"/>
    <w:rsid w:val="00DF2FDD"/>
    <w:rsid w:val="00DF30C1"/>
    <w:rsid w:val="00DF3126"/>
    <w:rsid w:val="00DF322F"/>
    <w:rsid w:val="00DF34AF"/>
    <w:rsid w:val="00DF36C4"/>
    <w:rsid w:val="00DF3B2A"/>
    <w:rsid w:val="00DF3CB2"/>
    <w:rsid w:val="00DF3CD9"/>
    <w:rsid w:val="00DF3E38"/>
    <w:rsid w:val="00DF3E64"/>
    <w:rsid w:val="00DF43B0"/>
    <w:rsid w:val="00DF4652"/>
    <w:rsid w:val="00DF46DD"/>
    <w:rsid w:val="00DF46FF"/>
    <w:rsid w:val="00DF4975"/>
    <w:rsid w:val="00DF4C37"/>
    <w:rsid w:val="00DF4E09"/>
    <w:rsid w:val="00DF5111"/>
    <w:rsid w:val="00DF5206"/>
    <w:rsid w:val="00DF5716"/>
    <w:rsid w:val="00DF583B"/>
    <w:rsid w:val="00DF5842"/>
    <w:rsid w:val="00DF585A"/>
    <w:rsid w:val="00DF5880"/>
    <w:rsid w:val="00DF595F"/>
    <w:rsid w:val="00DF5B9F"/>
    <w:rsid w:val="00DF5C53"/>
    <w:rsid w:val="00DF5CBB"/>
    <w:rsid w:val="00DF5D9D"/>
    <w:rsid w:val="00DF5E2C"/>
    <w:rsid w:val="00DF5F3F"/>
    <w:rsid w:val="00DF5F83"/>
    <w:rsid w:val="00DF60A3"/>
    <w:rsid w:val="00DF6115"/>
    <w:rsid w:val="00DF6161"/>
    <w:rsid w:val="00DF618B"/>
    <w:rsid w:val="00DF629D"/>
    <w:rsid w:val="00DF62A2"/>
    <w:rsid w:val="00DF631E"/>
    <w:rsid w:val="00DF63CE"/>
    <w:rsid w:val="00DF648C"/>
    <w:rsid w:val="00DF6552"/>
    <w:rsid w:val="00DF6645"/>
    <w:rsid w:val="00DF672C"/>
    <w:rsid w:val="00DF6789"/>
    <w:rsid w:val="00DF67CD"/>
    <w:rsid w:val="00DF685F"/>
    <w:rsid w:val="00DF68E5"/>
    <w:rsid w:val="00DF6908"/>
    <w:rsid w:val="00DF6C5A"/>
    <w:rsid w:val="00DF6C5E"/>
    <w:rsid w:val="00DF6CBE"/>
    <w:rsid w:val="00DF7021"/>
    <w:rsid w:val="00DF7033"/>
    <w:rsid w:val="00DF7112"/>
    <w:rsid w:val="00DF7154"/>
    <w:rsid w:val="00DF71A7"/>
    <w:rsid w:val="00DF72ED"/>
    <w:rsid w:val="00DF74C1"/>
    <w:rsid w:val="00DF766A"/>
    <w:rsid w:val="00DF76EC"/>
    <w:rsid w:val="00DF77BE"/>
    <w:rsid w:val="00DF77EE"/>
    <w:rsid w:val="00DF7801"/>
    <w:rsid w:val="00DF7981"/>
    <w:rsid w:val="00DF7B28"/>
    <w:rsid w:val="00DF7B63"/>
    <w:rsid w:val="00DF7BEE"/>
    <w:rsid w:val="00DF7DFE"/>
    <w:rsid w:val="00DF7FA3"/>
    <w:rsid w:val="00E00052"/>
    <w:rsid w:val="00E000C2"/>
    <w:rsid w:val="00E00229"/>
    <w:rsid w:val="00E0098E"/>
    <w:rsid w:val="00E00ADC"/>
    <w:rsid w:val="00E00D1C"/>
    <w:rsid w:val="00E00E33"/>
    <w:rsid w:val="00E00F0C"/>
    <w:rsid w:val="00E012E5"/>
    <w:rsid w:val="00E014C9"/>
    <w:rsid w:val="00E01553"/>
    <w:rsid w:val="00E0158A"/>
    <w:rsid w:val="00E016CA"/>
    <w:rsid w:val="00E017B8"/>
    <w:rsid w:val="00E01A71"/>
    <w:rsid w:val="00E01B4C"/>
    <w:rsid w:val="00E01E0C"/>
    <w:rsid w:val="00E01E63"/>
    <w:rsid w:val="00E020EA"/>
    <w:rsid w:val="00E0226A"/>
    <w:rsid w:val="00E023B0"/>
    <w:rsid w:val="00E023DB"/>
    <w:rsid w:val="00E025C2"/>
    <w:rsid w:val="00E026E0"/>
    <w:rsid w:val="00E0289F"/>
    <w:rsid w:val="00E02975"/>
    <w:rsid w:val="00E02A29"/>
    <w:rsid w:val="00E02A3F"/>
    <w:rsid w:val="00E02BAC"/>
    <w:rsid w:val="00E02E9D"/>
    <w:rsid w:val="00E02F58"/>
    <w:rsid w:val="00E030C0"/>
    <w:rsid w:val="00E03208"/>
    <w:rsid w:val="00E03526"/>
    <w:rsid w:val="00E035B2"/>
    <w:rsid w:val="00E03659"/>
    <w:rsid w:val="00E03690"/>
    <w:rsid w:val="00E036FF"/>
    <w:rsid w:val="00E038A5"/>
    <w:rsid w:val="00E038A9"/>
    <w:rsid w:val="00E03AFA"/>
    <w:rsid w:val="00E03B3A"/>
    <w:rsid w:val="00E03C77"/>
    <w:rsid w:val="00E03DD9"/>
    <w:rsid w:val="00E03F8E"/>
    <w:rsid w:val="00E04122"/>
    <w:rsid w:val="00E041DA"/>
    <w:rsid w:val="00E04399"/>
    <w:rsid w:val="00E04480"/>
    <w:rsid w:val="00E04502"/>
    <w:rsid w:val="00E04544"/>
    <w:rsid w:val="00E04769"/>
    <w:rsid w:val="00E04895"/>
    <w:rsid w:val="00E048A1"/>
    <w:rsid w:val="00E049B6"/>
    <w:rsid w:val="00E049BC"/>
    <w:rsid w:val="00E04A2D"/>
    <w:rsid w:val="00E04B31"/>
    <w:rsid w:val="00E04C4C"/>
    <w:rsid w:val="00E04C8C"/>
    <w:rsid w:val="00E04F1C"/>
    <w:rsid w:val="00E04FA9"/>
    <w:rsid w:val="00E05252"/>
    <w:rsid w:val="00E054FF"/>
    <w:rsid w:val="00E0552C"/>
    <w:rsid w:val="00E056AD"/>
    <w:rsid w:val="00E056E7"/>
    <w:rsid w:val="00E05799"/>
    <w:rsid w:val="00E057F5"/>
    <w:rsid w:val="00E0580B"/>
    <w:rsid w:val="00E0583B"/>
    <w:rsid w:val="00E05A4E"/>
    <w:rsid w:val="00E05B73"/>
    <w:rsid w:val="00E05C66"/>
    <w:rsid w:val="00E05CB2"/>
    <w:rsid w:val="00E05D8E"/>
    <w:rsid w:val="00E05DA1"/>
    <w:rsid w:val="00E06097"/>
    <w:rsid w:val="00E0618E"/>
    <w:rsid w:val="00E061F4"/>
    <w:rsid w:val="00E0620D"/>
    <w:rsid w:val="00E063C8"/>
    <w:rsid w:val="00E064A1"/>
    <w:rsid w:val="00E064DF"/>
    <w:rsid w:val="00E06584"/>
    <w:rsid w:val="00E06675"/>
    <w:rsid w:val="00E0679C"/>
    <w:rsid w:val="00E067B1"/>
    <w:rsid w:val="00E0686B"/>
    <w:rsid w:val="00E069CB"/>
    <w:rsid w:val="00E06AB4"/>
    <w:rsid w:val="00E06B1C"/>
    <w:rsid w:val="00E06C68"/>
    <w:rsid w:val="00E06F7D"/>
    <w:rsid w:val="00E06FF2"/>
    <w:rsid w:val="00E07056"/>
    <w:rsid w:val="00E0709B"/>
    <w:rsid w:val="00E070D9"/>
    <w:rsid w:val="00E071A0"/>
    <w:rsid w:val="00E074B4"/>
    <w:rsid w:val="00E0765E"/>
    <w:rsid w:val="00E078E0"/>
    <w:rsid w:val="00E079A4"/>
    <w:rsid w:val="00E07E50"/>
    <w:rsid w:val="00E07E9F"/>
    <w:rsid w:val="00E07F03"/>
    <w:rsid w:val="00E1012E"/>
    <w:rsid w:val="00E1013D"/>
    <w:rsid w:val="00E1019E"/>
    <w:rsid w:val="00E101A6"/>
    <w:rsid w:val="00E10201"/>
    <w:rsid w:val="00E103EF"/>
    <w:rsid w:val="00E10440"/>
    <w:rsid w:val="00E10610"/>
    <w:rsid w:val="00E106E9"/>
    <w:rsid w:val="00E106FC"/>
    <w:rsid w:val="00E108F3"/>
    <w:rsid w:val="00E109CE"/>
    <w:rsid w:val="00E10B41"/>
    <w:rsid w:val="00E10FA8"/>
    <w:rsid w:val="00E1113C"/>
    <w:rsid w:val="00E11161"/>
    <w:rsid w:val="00E1133B"/>
    <w:rsid w:val="00E113D1"/>
    <w:rsid w:val="00E11434"/>
    <w:rsid w:val="00E1145E"/>
    <w:rsid w:val="00E11723"/>
    <w:rsid w:val="00E11866"/>
    <w:rsid w:val="00E119AF"/>
    <w:rsid w:val="00E11A13"/>
    <w:rsid w:val="00E11B13"/>
    <w:rsid w:val="00E11B1A"/>
    <w:rsid w:val="00E11B2E"/>
    <w:rsid w:val="00E11B5F"/>
    <w:rsid w:val="00E11E43"/>
    <w:rsid w:val="00E11F3C"/>
    <w:rsid w:val="00E11FEE"/>
    <w:rsid w:val="00E12020"/>
    <w:rsid w:val="00E120A3"/>
    <w:rsid w:val="00E120B4"/>
    <w:rsid w:val="00E12365"/>
    <w:rsid w:val="00E12397"/>
    <w:rsid w:val="00E124B1"/>
    <w:rsid w:val="00E124F1"/>
    <w:rsid w:val="00E12520"/>
    <w:rsid w:val="00E12582"/>
    <w:rsid w:val="00E1271F"/>
    <w:rsid w:val="00E12903"/>
    <w:rsid w:val="00E12924"/>
    <w:rsid w:val="00E12BAB"/>
    <w:rsid w:val="00E12C23"/>
    <w:rsid w:val="00E12CEF"/>
    <w:rsid w:val="00E12F8C"/>
    <w:rsid w:val="00E12FBF"/>
    <w:rsid w:val="00E1313D"/>
    <w:rsid w:val="00E131F2"/>
    <w:rsid w:val="00E133B0"/>
    <w:rsid w:val="00E135DB"/>
    <w:rsid w:val="00E1362B"/>
    <w:rsid w:val="00E1368C"/>
    <w:rsid w:val="00E13696"/>
    <w:rsid w:val="00E136D1"/>
    <w:rsid w:val="00E136FC"/>
    <w:rsid w:val="00E1372B"/>
    <w:rsid w:val="00E137D4"/>
    <w:rsid w:val="00E1383C"/>
    <w:rsid w:val="00E13841"/>
    <w:rsid w:val="00E138D7"/>
    <w:rsid w:val="00E139B8"/>
    <w:rsid w:val="00E139BA"/>
    <w:rsid w:val="00E13AFB"/>
    <w:rsid w:val="00E13BD9"/>
    <w:rsid w:val="00E13FE0"/>
    <w:rsid w:val="00E14106"/>
    <w:rsid w:val="00E14281"/>
    <w:rsid w:val="00E142E5"/>
    <w:rsid w:val="00E14386"/>
    <w:rsid w:val="00E145E4"/>
    <w:rsid w:val="00E14654"/>
    <w:rsid w:val="00E1468A"/>
    <w:rsid w:val="00E1473A"/>
    <w:rsid w:val="00E147E0"/>
    <w:rsid w:val="00E14847"/>
    <w:rsid w:val="00E14BEB"/>
    <w:rsid w:val="00E14D61"/>
    <w:rsid w:val="00E14F20"/>
    <w:rsid w:val="00E14FC7"/>
    <w:rsid w:val="00E150B9"/>
    <w:rsid w:val="00E152FB"/>
    <w:rsid w:val="00E15445"/>
    <w:rsid w:val="00E15486"/>
    <w:rsid w:val="00E1550D"/>
    <w:rsid w:val="00E155AB"/>
    <w:rsid w:val="00E1570A"/>
    <w:rsid w:val="00E15A9D"/>
    <w:rsid w:val="00E15AF3"/>
    <w:rsid w:val="00E15DCF"/>
    <w:rsid w:val="00E15E72"/>
    <w:rsid w:val="00E15E92"/>
    <w:rsid w:val="00E15ECB"/>
    <w:rsid w:val="00E15EF4"/>
    <w:rsid w:val="00E1604C"/>
    <w:rsid w:val="00E161FA"/>
    <w:rsid w:val="00E162C9"/>
    <w:rsid w:val="00E16345"/>
    <w:rsid w:val="00E165D8"/>
    <w:rsid w:val="00E165F7"/>
    <w:rsid w:val="00E1667D"/>
    <w:rsid w:val="00E166FB"/>
    <w:rsid w:val="00E1673D"/>
    <w:rsid w:val="00E1689C"/>
    <w:rsid w:val="00E16937"/>
    <w:rsid w:val="00E1696E"/>
    <w:rsid w:val="00E16984"/>
    <w:rsid w:val="00E16BDF"/>
    <w:rsid w:val="00E16CF0"/>
    <w:rsid w:val="00E16F62"/>
    <w:rsid w:val="00E170A8"/>
    <w:rsid w:val="00E17122"/>
    <w:rsid w:val="00E17137"/>
    <w:rsid w:val="00E17199"/>
    <w:rsid w:val="00E17216"/>
    <w:rsid w:val="00E17269"/>
    <w:rsid w:val="00E17316"/>
    <w:rsid w:val="00E17382"/>
    <w:rsid w:val="00E173B5"/>
    <w:rsid w:val="00E173D9"/>
    <w:rsid w:val="00E175AE"/>
    <w:rsid w:val="00E17694"/>
    <w:rsid w:val="00E1775E"/>
    <w:rsid w:val="00E17823"/>
    <w:rsid w:val="00E17A85"/>
    <w:rsid w:val="00E17A88"/>
    <w:rsid w:val="00E17BA3"/>
    <w:rsid w:val="00E17C14"/>
    <w:rsid w:val="00E17C6A"/>
    <w:rsid w:val="00E17D4A"/>
    <w:rsid w:val="00E17D6D"/>
    <w:rsid w:val="00E17DC0"/>
    <w:rsid w:val="00E17DFA"/>
    <w:rsid w:val="00E17EA3"/>
    <w:rsid w:val="00E2019B"/>
    <w:rsid w:val="00E20223"/>
    <w:rsid w:val="00E20249"/>
    <w:rsid w:val="00E2024B"/>
    <w:rsid w:val="00E202D5"/>
    <w:rsid w:val="00E203B4"/>
    <w:rsid w:val="00E2044D"/>
    <w:rsid w:val="00E204BF"/>
    <w:rsid w:val="00E20772"/>
    <w:rsid w:val="00E207C9"/>
    <w:rsid w:val="00E20859"/>
    <w:rsid w:val="00E20926"/>
    <w:rsid w:val="00E2099F"/>
    <w:rsid w:val="00E20C56"/>
    <w:rsid w:val="00E20D10"/>
    <w:rsid w:val="00E20D94"/>
    <w:rsid w:val="00E20DA8"/>
    <w:rsid w:val="00E20EBD"/>
    <w:rsid w:val="00E20ED4"/>
    <w:rsid w:val="00E20EFA"/>
    <w:rsid w:val="00E21035"/>
    <w:rsid w:val="00E2112A"/>
    <w:rsid w:val="00E2123F"/>
    <w:rsid w:val="00E212BD"/>
    <w:rsid w:val="00E21581"/>
    <w:rsid w:val="00E215EA"/>
    <w:rsid w:val="00E2165B"/>
    <w:rsid w:val="00E21668"/>
    <w:rsid w:val="00E2195E"/>
    <w:rsid w:val="00E21B4A"/>
    <w:rsid w:val="00E21B61"/>
    <w:rsid w:val="00E21C67"/>
    <w:rsid w:val="00E21E11"/>
    <w:rsid w:val="00E21E86"/>
    <w:rsid w:val="00E22024"/>
    <w:rsid w:val="00E220CE"/>
    <w:rsid w:val="00E2226F"/>
    <w:rsid w:val="00E22328"/>
    <w:rsid w:val="00E22412"/>
    <w:rsid w:val="00E224A1"/>
    <w:rsid w:val="00E225F2"/>
    <w:rsid w:val="00E2264E"/>
    <w:rsid w:val="00E226FB"/>
    <w:rsid w:val="00E22762"/>
    <w:rsid w:val="00E22D3F"/>
    <w:rsid w:val="00E22E08"/>
    <w:rsid w:val="00E22EC1"/>
    <w:rsid w:val="00E22F7E"/>
    <w:rsid w:val="00E22F9E"/>
    <w:rsid w:val="00E23095"/>
    <w:rsid w:val="00E23156"/>
    <w:rsid w:val="00E23181"/>
    <w:rsid w:val="00E23206"/>
    <w:rsid w:val="00E2332B"/>
    <w:rsid w:val="00E2338C"/>
    <w:rsid w:val="00E2339A"/>
    <w:rsid w:val="00E233CE"/>
    <w:rsid w:val="00E23769"/>
    <w:rsid w:val="00E23778"/>
    <w:rsid w:val="00E2387D"/>
    <w:rsid w:val="00E23A1E"/>
    <w:rsid w:val="00E23A97"/>
    <w:rsid w:val="00E23AA7"/>
    <w:rsid w:val="00E23BA0"/>
    <w:rsid w:val="00E23BC4"/>
    <w:rsid w:val="00E23E0D"/>
    <w:rsid w:val="00E23F92"/>
    <w:rsid w:val="00E241D7"/>
    <w:rsid w:val="00E2432E"/>
    <w:rsid w:val="00E2438B"/>
    <w:rsid w:val="00E24436"/>
    <w:rsid w:val="00E244A1"/>
    <w:rsid w:val="00E2460A"/>
    <w:rsid w:val="00E24A00"/>
    <w:rsid w:val="00E24B3F"/>
    <w:rsid w:val="00E24C41"/>
    <w:rsid w:val="00E24F70"/>
    <w:rsid w:val="00E25017"/>
    <w:rsid w:val="00E25063"/>
    <w:rsid w:val="00E25158"/>
    <w:rsid w:val="00E251CB"/>
    <w:rsid w:val="00E251D7"/>
    <w:rsid w:val="00E25257"/>
    <w:rsid w:val="00E2528B"/>
    <w:rsid w:val="00E25428"/>
    <w:rsid w:val="00E25475"/>
    <w:rsid w:val="00E255FC"/>
    <w:rsid w:val="00E2564D"/>
    <w:rsid w:val="00E256B3"/>
    <w:rsid w:val="00E257DE"/>
    <w:rsid w:val="00E25807"/>
    <w:rsid w:val="00E25ADC"/>
    <w:rsid w:val="00E25D9E"/>
    <w:rsid w:val="00E25E71"/>
    <w:rsid w:val="00E26015"/>
    <w:rsid w:val="00E260BA"/>
    <w:rsid w:val="00E262CB"/>
    <w:rsid w:val="00E263B1"/>
    <w:rsid w:val="00E263DF"/>
    <w:rsid w:val="00E263EF"/>
    <w:rsid w:val="00E264A1"/>
    <w:rsid w:val="00E264D0"/>
    <w:rsid w:val="00E26798"/>
    <w:rsid w:val="00E2689E"/>
    <w:rsid w:val="00E26A44"/>
    <w:rsid w:val="00E26A8B"/>
    <w:rsid w:val="00E26AAE"/>
    <w:rsid w:val="00E26BCD"/>
    <w:rsid w:val="00E26C50"/>
    <w:rsid w:val="00E26CBE"/>
    <w:rsid w:val="00E26E6D"/>
    <w:rsid w:val="00E26F4A"/>
    <w:rsid w:val="00E27063"/>
    <w:rsid w:val="00E2711B"/>
    <w:rsid w:val="00E27185"/>
    <w:rsid w:val="00E271A3"/>
    <w:rsid w:val="00E271C5"/>
    <w:rsid w:val="00E27232"/>
    <w:rsid w:val="00E27285"/>
    <w:rsid w:val="00E2734E"/>
    <w:rsid w:val="00E27417"/>
    <w:rsid w:val="00E2753A"/>
    <w:rsid w:val="00E27563"/>
    <w:rsid w:val="00E27629"/>
    <w:rsid w:val="00E27705"/>
    <w:rsid w:val="00E27719"/>
    <w:rsid w:val="00E2772F"/>
    <w:rsid w:val="00E27ABF"/>
    <w:rsid w:val="00E27B57"/>
    <w:rsid w:val="00E27EAD"/>
    <w:rsid w:val="00E27FB8"/>
    <w:rsid w:val="00E30032"/>
    <w:rsid w:val="00E30089"/>
    <w:rsid w:val="00E300DE"/>
    <w:rsid w:val="00E301EB"/>
    <w:rsid w:val="00E302B3"/>
    <w:rsid w:val="00E30326"/>
    <w:rsid w:val="00E303F0"/>
    <w:rsid w:val="00E3059B"/>
    <w:rsid w:val="00E30680"/>
    <w:rsid w:val="00E30730"/>
    <w:rsid w:val="00E30751"/>
    <w:rsid w:val="00E30988"/>
    <w:rsid w:val="00E309A9"/>
    <w:rsid w:val="00E30A62"/>
    <w:rsid w:val="00E30ABD"/>
    <w:rsid w:val="00E30B2D"/>
    <w:rsid w:val="00E30C35"/>
    <w:rsid w:val="00E30CEA"/>
    <w:rsid w:val="00E30D3E"/>
    <w:rsid w:val="00E30D40"/>
    <w:rsid w:val="00E30ECE"/>
    <w:rsid w:val="00E30ED8"/>
    <w:rsid w:val="00E31027"/>
    <w:rsid w:val="00E310A0"/>
    <w:rsid w:val="00E3113C"/>
    <w:rsid w:val="00E312FC"/>
    <w:rsid w:val="00E3135D"/>
    <w:rsid w:val="00E31407"/>
    <w:rsid w:val="00E3146F"/>
    <w:rsid w:val="00E314B5"/>
    <w:rsid w:val="00E314B6"/>
    <w:rsid w:val="00E3152B"/>
    <w:rsid w:val="00E31557"/>
    <w:rsid w:val="00E316F1"/>
    <w:rsid w:val="00E318DA"/>
    <w:rsid w:val="00E31904"/>
    <w:rsid w:val="00E31909"/>
    <w:rsid w:val="00E319F1"/>
    <w:rsid w:val="00E319FC"/>
    <w:rsid w:val="00E31B76"/>
    <w:rsid w:val="00E31F0C"/>
    <w:rsid w:val="00E31FAF"/>
    <w:rsid w:val="00E320CC"/>
    <w:rsid w:val="00E320EC"/>
    <w:rsid w:val="00E325B4"/>
    <w:rsid w:val="00E325EC"/>
    <w:rsid w:val="00E32828"/>
    <w:rsid w:val="00E32836"/>
    <w:rsid w:val="00E32922"/>
    <w:rsid w:val="00E32B7A"/>
    <w:rsid w:val="00E32CA4"/>
    <w:rsid w:val="00E32DC0"/>
    <w:rsid w:val="00E33109"/>
    <w:rsid w:val="00E33159"/>
    <w:rsid w:val="00E3332F"/>
    <w:rsid w:val="00E334CE"/>
    <w:rsid w:val="00E3354C"/>
    <w:rsid w:val="00E3379B"/>
    <w:rsid w:val="00E33824"/>
    <w:rsid w:val="00E3389D"/>
    <w:rsid w:val="00E338CC"/>
    <w:rsid w:val="00E33AE6"/>
    <w:rsid w:val="00E33D4A"/>
    <w:rsid w:val="00E33DA5"/>
    <w:rsid w:val="00E33DDE"/>
    <w:rsid w:val="00E33E60"/>
    <w:rsid w:val="00E33ECF"/>
    <w:rsid w:val="00E33FF6"/>
    <w:rsid w:val="00E34289"/>
    <w:rsid w:val="00E34328"/>
    <w:rsid w:val="00E34426"/>
    <w:rsid w:val="00E34496"/>
    <w:rsid w:val="00E344D8"/>
    <w:rsid w:val="00E3457A"/>
    <w:rsid w:val="00E345D9"/>
    <w:rsid w:val="00E34607"/>
    <w:rsid w:val="00E34932"/>
    <w:rsid w:val="00E34A9E"/>
    <w:rsid w:val="00E34AB3"/>
    <w:rsid w:val="00E34B80"/>
    <w:rsid w:val="00E34C1A"/>
    <w:rsid w:val="00E34F26"/>
    <w:rsid w:val="00E34F87"/>
    <w:rsid w:val="00E34F96"/>
    <w:rsid w:val="00E35122"/>
    <w:rsid w:val="00E35171"/>
    <w:rsid w:val="00E352AA"/>
    <w:rsid w:val="00E35391"/>
    <w:rsid w:val="00E353AC"/>
    <w:rsid w:val="00E35571"/>
    <w:rsid w:val="00E356F9"/>
    <w:rsid w:val="00E35834"/>
    <w:rsid w:val="00E358B6"/>
    <w:rsid w:val="00E358F7"/>
    <w:rsid w:val="00E359A7"/>
    <w:rsid w:val="00E359CC"/>
    <w:rsid w:val="00E35A8E"/>
    <w:rsid w:val="00E35B02"/>
    <w:rsid w:val="00E35BD6"/>
    <w:rsid w:val="00E35CD6"/>
    <w:rsid w:val="00E35DBF"/>
    <w:rsid w:val="00E35EDB"/>
    <w:rsid w:val="00E35F01"/>
    <w:rsid w:val="00E35F69"/>
    <w:rsid w:val="00E35F7B"/>
    <w:rsid w:val="00E35F7E"/>
    <w:rsid w:val="00E36034"/>
    <w:rsid w:val="00E3615A"/>
    <w:rsid w:val="00E361B2"/>
    <w:rsid w:val="00E3623B"/>
    <w:rsid w:val="00E36303"/>
    <w:rsid w:val="00E3648E"/>
    <w:rsid w:val="00E364A7"/>
    <w:rsid w:val="00E36571"/>
    <w:rsid w:val="00E3673C"/>
    <w:rsid w:val="00E3675E"/>
    <w:rsid w:val="00E367AA"/>
    <w:rsid w:val="00E367B7"/>
    <w:rsid w:val="00E36874"/>
    <w:rsid w:val="00E368EF"/>
    <w:rsid w:val="00E3693C"/>
    <w:rsid w:val="00E36B2A"/>
    <w:rsid w:val="00E36BEA"/>
    <w:rsid w:val="00E36BF1"/>
    <w:rsid w:val="00E36C44"/>
    <w:rsid w:val="00E36C86"/>
    <w:rsid w:val="00E36E34"/>
    <w:rsid w:val="00E36F47"/>
    <w:rsid w:val="00E37149"/>
    <w:rsid w:val="00E37264"/>
    <w:rsid w:val="00E37302"/>
    <w:rsid w:val="00E375A9"/>
    <w:rsid w:val="00E37790"/>
    <w:rsid w:val="00E377B8"/>
    <w:rsid w:val="00E377BC"/>
    <w:rsid w:val="00E377DC"/>
    <w:rsid w:val="00E37826"/>
    <w:rsid w:val="00E3784D"/>
    <w:rsid w:val="00E37B14"/>
    <w:rsid w:val="00E37C73"/>
    <w:rsid w:val="00E37D26"/>
    <w:rsid w:val="00E37D3F"/>
    <w:rsid w:val="00E37D6B"/>
    <w:rsid w:val="00E37E47"/>
    <w:rsid w:val="00E37E75"/>
    <w:rsid w:val="00E37E8E"/>
    <w:rsid w:val="00E37ED4"/>
    <w:rsid w:val="00E37EDB"/>
    <w:rsid w:val="00E37F62"/>
    <w:rsid w:val="00E4008D"/>
    <w:rsid w:val="00E400C9"/>
    <w:rsid w:val="00E40318"/>
    <w:rsid w:val="00E403F0"/>
    <w:rsid w:val="00E4060D"/>
    <w:rsid w:val="00E407A9"/>
    <w:rsid w:val="00E40807"/>
    <w:rsid w:val="00E40BB4"/>
    <w:rsid w:val="00E40CAF"/>
    <w:rsid w:val="00E40DB3"/>
    <w:rsid w:val="00E40F00"/>
    <w:rsid w:val="00E410A3"/>
    <w:rsid w:val="00E414AD"/>
    <w:rsid w:val="00E41509"/>
    <w:rsid w:val="00E4159B"/>
    <w:rsid w:val="00E41737"/>
    <w:rsid w:val="00E41757"/>
    <w:rsid w:val="00E41B32"/>
    <w:rsid w:val="00E41BE2"/>
    <w:rsid w:val="00E41CE3"/>
    <w:rsid w:val="00E41F1B"/>
    <w:rsid w:val="00E42054"/>
    <w:rsid w:val="00E420CD"/>
    <w:rsid w:val="00E4232F"/>
    <w:rsid w:val="00E425EF"/>
    <w:rsid w:val="00E4262A"/>
    <w:rsid w:val="00E426E6"/>
    <w:rsid w:val="00E4290D"/>
    <w:rsid w:val="00E42970"/>
    <w:rsid w:val="00E42A8F"/>
    <w:rsid w:val="00E42A91"/>
    <w:rsid w:val="00E42B66"/>
    <w:rsid w:val="00E42BC3"/>
    <w:rsid w:val="00E42BD9"/>
    <w:rsid w:val="00E42C4E"/>
    <w:rsid w:val="00E42D1E"/>
    <w:rsid w:val="00E42DC0"/>
    <w:rsid w:val="00E42E1C"/>
    <w:rsid w:val="00E42F96"/>
    <w:rsid w:val="00E43083"/>
    <w:rsid w:val="00E4314E"/>
    <w:rsid w:val="00E43734"/>
    <w:rsid w:val="00E43741"/>
    <w:rsid w:val="00E4389A"/>
    <w:rsid w:val="00E43983"/>
    <w:rsid w:val="00E43C12"/>
    <w:rsid w:val="00E43C30"/>
    <w:rsid w:val="00E43D60"/>
    <w:rsid w:val="00E43DC7"/>
    <w:rsid w:val="00E43E3F"/>
    <w:rsid w:val="00E43FEF"/>
    <w:rsid w:val="00E4418F"/>
    <w:rsid w:val="00E4454F"/>
    <w:rsid w:val="00E4460D"/>
    <w:rsid w:val="00E44646"/>
    <w:rsid w:val="00E44664"/>
    <w:rsid w:val="00E4467E"/>
    <w:rsid w:val="00E44704"/>
    <w:rsid w:val="00E44765"/>
    <w:rsid w:val="00E44774"/>
    <w:rsid w:val="00E4481C"/>
    <w:rsid w:val="00E44878"/>
    <w:rsid w:val="00E448B6"/>
    <w:rsid w:val="00E4495C"/>
    <w:rsid w:val="00E449EC"/>
    <w:rsid w:val="00E44A31"/>
    <w:rsid w:val="00E44D1D"/>
    <w:rsid w:val="00E44D5D"/>
    <w:rsid w:val="00E44F42"/>
    <w:rsid w:val="00E4521B"/>
    <w:rsid w:val="00E45483"/>
    <w:rsid w:val="00E455F8"/>
    <w:rsid w:val="00E45700"/>
    <w:rsid w:val="00E45C23"/>
    <w:rsid w:val="00E45C53"/>
    <w:rsid w:val="00E45E3A"/>
    <w:rsid w:val="00E45E50"/>
    <w:rsid w:val="00E45E8A"/>
    <w:rsid w:val="00E46245"/>
    <w:rsid w:val="00E462A1"/>
    <w:rsid w:val="00E4661C"/>
    <w:rsid w:val="00E46705"/>
    <w:rsid w:val="00E4689D"/>
    <w:rsid w:val="00E468FB"/>
    <w:rsid w:val="00E4694F"/>
    <w:rsid w:val="00E46978"/>
    <w:rsid w:val="00E46C65"/>
    <w:rsid w:val="00E46C6D"/>
    <w:rsid w:val="00E46F05"/>
    <w:rsid w:val="00E46FBD"/>
    <w:rsid w:val="00E4707F"/>
    <w:rsid w:val="00E47116"/>
    <w:rsid w:val="00E47151"/>
    <w:rsid w:val="00E4716B"/>
    <w:rsid w:val="00E47259"/>
    <w:rsid w:val="00E472ED"/>
    <w:rsid w:val="00E47302"/>
    <w:rsid w:val="00E47372"/>
    <w:rsid w:val="00E473C5"/>
    <w:rsid w:val="00E4744F"/>
    <w:rsid w:val="00E4779D"/>
    <w:rsid w:val="00E477DE"/>
    <w:rsid w:val="00E47948"/>
    <w:rsid w:val="00E4797D"/>
    <w:rsid w:val="00E47A06"/>
    <w:rsid w:val="00E47AD9"/>
    <w:rsid w:val="00E47B81"/>
    <w:rsid w:val="00E47C7A"/>
    <w:rsid w:val="00E47DE0"/>
    <w:rsid w:val="00E47E01"/>
    <w:rsid w:val="00E47E3E"/>
    <w:rsid w:val="00E47ED7"/>
    <w:rsid w:val="00E5005A"/>
    <w:rsid w:val="00E5008B"/>
    <w:rsid w:val="00E500DF"/>
    <w:rsid w:val="00E5019C"/>
    <w:rsid w:val="00E501FB"/>
    <w:rsid w:val="00E505AD"/>
    <w:rsid w:val="00E505C5"/>
    <w:rsid w:val="00E50627"/>
    <w:rsid w:val="00E507A6"/>
    <w:rsid w:val="00E50AD0"/>
    <w:rsid w:val="00E50B28"/>
    <w:rsid w:val="00E50C39"/>
    <w:rsid w:val="00E50EAB"/>
    <w:rsid w:val="00E50F01"/>
    <w:rsid w:val="00E50F5F"/>
    <w:rsid w:val="00E50FB4"/>
    <w:rsid w:val="00E510A5"/>
    <w:rsid w:val="00E510C1"/>
    <w:rsid w:val="00E51154"/>
    <w:rsid w:val="00E51277"/>
    <w:rsid w:val="00E51302"/>
    <w:rsid w:val="00E513AC"/>
    <w:rsid w:val="00E513ED"/>
    <w:rsid w:val="00E5150D"/>
    <w:rsid w:val="00E51570"/>
    <w:rsid w:val="00E5158C"/>
    <w:rsid w:val="00E5171A"/>
    <w:rsid w:val="00E517D4"/>
    <w:rsid w:val="00E51801"/>
    <w:rsid w:val="00E518A2"/>
    <w:rsid w:val="00E519BB"/>
    <w:rsid w:val="00E51CEC"/>
    <w:rsid w:val="00E51D43"/>
    <w:rsid w:val="00E5201C"/>
    <w:rsid w:val="00E520BE"/>
    <w:rsid w:val="00E5240F"/>
    <w:rsid w:val="00E5243B"/>
    <w:rsid w:val="00E52445"/>
    <w:rsid w:val="00E52459"/>
    <w:rsid w:val="00E5256C"/>
    <w:rsid w:val="00E525EC"/>
    <w:rsid w:val="00E52634"/>
    <w:rsid w:val="00E527DF"/>
    <w:rsid w:val="00E52831"/>
    <w:rsid w:val="00E52842"/>
    <w:rsid w:val="00E528DE"/>
    <w:rsid w:val="00E52928"/>
    <w:rsid w:val="00E52A9E"/>
    <w:rsid w:val="00E52B9F"/>
    <w:rsid w:val="00E52BAC"/>
    <w:rsid w:val="00E52C97"/>
    <w:rsid w:val="00E52D8B"/>
    <w:rsid w:val="00E52E0C"/>
    <w:rsid w:val="00E52F3E"/>
    <w:rsid w:val="00E52FB1"/>
    <w:rsid w:val="00E532AE"/>
    <w:rsid w:val="00E532E3"/>
    <w:rsid w:val="00E532EF"/>
    <w:rsid w:val="00E533E3"/>
    <w:rsid w:val="00E53558"/>
    <w:rsid w:val="00E53576"/>
    <w:rsid w:val="00E535E6"/>
    <w:rsid w:val="00E539A4"/>
    <w:rsid w:val="00E53C72"/>
    <w:rsid w:val="00E53CD6"/>
    <w:rsid w:val="00E53D89"/>
    <w:rsid w:val="00E53DB9"/>
    <w:rsid w:val="00E53EE2"/>
    <w:rsid w:val="00E53F05"/>
    <w:rsid w:val="00E53F73"/>
    <w:rsid w:val="00E53FF5"/>
    <w:rsid w:val="00E54057"/>
    <w:rsid w:val="00E5418D"/>
    <w:rsid w:val="00E542FA"/>
    <w:rsid w:val="00E543D0"/>
    <w:rsid w:val="00E544AF"/>
    <w:rsid w:val="00E54754"/>
    <w:rsid w:val="00E54873"/>
    <w:rsid w:val="00E54885"/>
    <w:rsid w:val="00E5496F"/>
    <w:rsid w:val="00E549DA"/>
    <w:rsid w:val="00E549EB"/>
    <w:rsid w:val="00E54A91"/>
    <w:rsid w:val="00E54B51"/>
    <w:rsid w:val="00E54B8D"/>
    <w:rsid w:val="00E54C55"/>
    <w:rsid w:val="00E54CD2"/>
    <w:rsid w:val="00E54DF0"/>
    <w:rsid w:val="00E54E8F"/>
    <w:rsid w:val="00E54FE3"/>
    <w:rsid w:val="00E55056"/>
    <w:rsid w:val="00E5525C"/>
    <w:rsid w:val="00E553A0"/>
    <w:rsid w:val="00E554DD"/>
    <w:rsid w:val="00E5561B"/>
    <w:rsid w:val="00E5585C"/>
    <w:rsid w:val="00E55AA5"/>
    <w:rsid w:val="00E55B25"/>
    <w:rsid w:val="00E55BB5"/>
    <w:rsid w:val="00E55D77"/>
    <w:rsid w:val="00E55F52"/>
    <w:rsid w:val="00E56091"/>
    <w:rsid w:val="00E56150"/>
    <w:rsid w:val="00E5616E"/>
    <w:rsid w:val="00E56308"/>
    <w:rsid w:val="00E56412"/>
    <w:rsid w:val="00E565BB"/>
    <w:rsid w:val="00E5662D"/>
    <w:rsid w:val="00E5669B"/>
    <w:rsid w:val="00E567A4"/>
    <w:rsid w:val="00E56865"/>
    <w:rsid w:val="00E56997"/>
    <w:rsid w:val="00E569F7"/>
    <w:rsid w:val="00E569FA"/>
    <w:rsid w:val="00E56A77"/>
    <w:rsid w:val="00E56AAE"/>
    <w:rsid w:val="00E56AE5"/>
    <w:rsid w:val="00E56B11"/>
    <w:rsid w:val="00E56BE8"/>
    <w:rsid w:val="00E56E85"/>
    <w:rsid w:val="00E57025"/>
    <w:rsid w:val="00E57034"/>
    <w:rsid w:val="00E573BC"/>
    <w:rsid w:val="00E576E0"/>
    <w:rsid w:val="00E579DD"/>
    <w:rsid w:val="00E57A18"/>
    <w:rsid w:val="00E57B3B"/>
    <w:rsid w:val="00E57E4A"/>
    <w:rsid w:val="00E57EB3"/>
    <w:rsid w:val="00E57EE3"/>
    <w:rsid w:val="00E60005"/>
    <w:rsid w:val="00E60044"/>
    <w:rsid w:val="00E60048"/>
    <w:rsid w:val="00E6015A"/>
    <w:rsid w:val="00E6018A"/>
    <w:rsid w:val="00E6021B"/>
    <w:rsid w:val="00E60316"/>
    <w:rsid w:val="00E60339"/>
    <w:rsid w:val="00E6035C"/>
    <w:rsid w:val="00E60438"/>
    <w:rsid w:val="00E60641"/>
    <w:rsid w:val="00E6070E"/>
    <w:rsid w:val="00E6087A"/>
    <w:rsid w:val="00E60B01"/>
    <w:rsid w:val="00E60B80"/>
    <w:rsid w:val="00E60C59"/>
    <w:rsid w:val="00E60CE8"/>
    <w:rsid w:val="00E60EF5"/>
    <w:rsid w:val="00E6119E"/>
    <w:rsid w:val="00E61289"/>
    <w:rsid w:val="00E612E1"/>
    <w:rsid w:val="00E61508"/>
    <w:rsid w:val="00E61550"/>
    <w:rsid w:val="00E615E4"/>
    <w:rsid w:val="00E617AE"/>
    <w:rsid w:val="00E618D5"/>
    <w:rsid w:val="00E6195A"/>
    <w:rsid w:val="00E6196F"/>
    <w:rsid w:val="00E619C7"/>
    <w:rsid w:val="00E61BDD"/>
    <w:rsid w:val="00E61C0A"/>
    <w:rsid w:val="00E621B6"/>
    <w:rsid w:val="00E62201"/>
    <w:rsid w:val="00E62333"/>
    <w:rsid w:val="00E62386"/>
    <w:rsid w:val="00E6241C"/>
    <w:rsid w:val="00E624B9"/>
    <w:rsid w:val="00E625C5"/>
    <w:rsid w:val="00E62653"/>
    <w:rsid w:val="00E6265A"/>
    <w:rsid w:val="00E6277D"/>
    <w:rsid w:val="00E62A66"/>
    <w:rsid w:val="00E62AE4"/>
    <w:rsid w:val="00E62B38"/>
    <w:rsid w:val="00E62D45"/>
    <w:rsid w:val="00E62F3B"/>
    <w:rsid w:val="00E62FA6"/>
    <w:rsid w:val="00E6309B"/>
    <w:rsid w:val="00E630A7"/>
    <w:rsid w:val="00E631DA"/>
    <w:rsid w:val="00E632EE"/>
    <w:rsid w:val="00E63498"/>
    <w:rsid w:val="00E63507"/>
    <w:rsid w:val="00E635AF"/>
    <w:rsid w:val="00E637A2"/>
    <w:rsid w:val="00E63B9C"/>
    <w:rsid w:val="00E63CBE"/>
    <w:rsid w:val="00E63D6D"/>
    <w:rsid w:val="00E63D93"/>
    <w:rsid w:val="00E63FFB"/>
    <w:rsid w:val="00E642DB"/>
    <w:rsid w:val="00E642EB"/>
    <w:rsid w:val="00E64329"/>
    <w:rsid w:val="00E6448D"/>
    <w:rsid w:val="00E6453E"/>
    <w:rsid w:val="00E645A4"/>
    <w:rsid w:val="00E6487A"/>
    <w:rsid w:val="00E648E9"/>
    <w:rsid w:val="00E64A68"/>
    <w:rsid w:val="00E64AEE"/>
    <w:rsid w:val="00E64AEF"/>
    <w:rsid w:val="00E64B00"/>
    <w:rsid w:val="00E64B16"/>
    <w:rsid w:val="00E64B23"/>
    <w:rsid w:val="00E64CD6"/>
    <w:rsid w:val="00E64DA9"/>
    <w:rsid w:val="00E64E1B"/>
    <w:rsid w:val="00E64EA4"/>
    <w:rsid w:val="00E64ED2"/>
    <w:rsid w:val="00E64F0B"/>
    <w:rsid w:val="00E64F7A"/>
    <w:rsid w:val="00E6500C"/>
    <w:rsid w:val="00E65080"/>
    <w:rsid w:val="00E65188"/>
    <w:rsid w:val="00E651ED"/>
    <w:rsid w:val="00E652A8"/>
    <w:rsid w:val="00E65343"/>
    <w:rsid w:val="00E6565B"/>
    <w:rsid w:val="00E657BF"/>
    <w:rsid w:val="00E657D8"/>
    <w:rsid w:val="00E657E6"/>
    <w:rsid w:val="00E6581B"/>
    <w:rsid w:val="00E658AE"/>
    <w:rsid w:val="00E65927"/>
    <w:rsid w:val="00E65945"/>
    <w:rsid w:val="00E65E3B"/>
    <w:rsid w:val="00E66284"/>
    <w:rsid w:val="00E662AE"/>
    <w:rsid w:val="00E66539"/>
    <w:rsid w:val="00E665D5"/>
    <w:rsid w:val="00E6688D"/>
    <w:rsid w:val="00E669E1"/>
    <w:rsid w:val="00E66D05"/>
    <w:rsid w:val="00E66E3B"/>
    <w:rsid w:val="00E66FA9"/>
    <w:rsid w:val="00E670C0"/>
    <w:rsid w:val="00E673C7"/>
    <w:rsid w:val="00E6756E"/>
    <w:rsid w:val="00E67797"/>
    <w:rsid w:val="00E67868"/>
    <w:rsid w:val="00E679D9"/>
    <w:rsid w:val="00E67AA0"/>
    <w:rsid w:val="00E67AB3"/>
    <w:rsid w:val="00E67BBE"/>
    <w:rsid w:val="00E67BEA"/>
    <w:rsid w:val="00E70024"/>
    <w:rsid w:val="00E70177"/>
    <w:rsid w:val="00E701D7"/>
    <w:rsid w:val="00E70299"/>
    <w:rsid w:val="00E70457"/>
    <w:rsid w:val="00E704EA"/>
    <w:rsid w:val="00E70521"/>
    <w:rsid w:val="00E705B2"/>
    <w:rsid w:val="00E70607"/>
    <w:rsid w:val="00E7067F"/>
    <w:rsid w:val="00E706EB"/>
    <w:rsid w:val="00E7088C"/>
    <w:rsid w:val="00E7089C"/>
    <w:rsid w:val="00E709AF"/>
    <w:rsid w:val="00E70DEE"/>
    <w:rsid w:val="00E70F10"/>
    <w:rsid w:val="00E70FCF"/>
    <w:rsid w:val="00E7106B"/>
    <w:rsid w:val="00E71156"/>
    <w:rsid w:val="00E7116B"/>
    <w:rsid w:val="00E7117E"/>
    <w:rsid w:val="00E71286"/>
    <w:rsid w:val="00E7142E"/>
    <w:rsid w:val="00E714CB"/>
    <w:rsid w:val="00E71597"/>
    <w:rsid w:val="00E716F1"/>
    <w:rsid w:val="00E71759"/>
    <w:rsid w:val="00E71868"/>
    <w:rsid w:val="00E718A5"/>
    <w:rsid w:val="00E71929"/>
    <w:rsid w:val="00E71A7D"/>
    <w:rsid w:val="00E71C97"/>
    <w:rsid w:val="00E71E21"/>
    <w:rsid w:val="00E71EF4"/>
    <w:rsid w:val="00E71F23"/>
    <w:rsid w:val="00E71F7F"/>
    <w:rsid w:val="00E72003"/>
    <w:rsid w:val="00E720AF"/>
    <w:rsid w:val="00E7215C"/>
    <w:rsid w:val="00E7246B"/>
    <w:rsid w:val="00E72495"/>
    <w:rsid w:val="00E724E3"/>
    <w:rsid w:val="00E72968"/>
    <w:rsid w:val="00E7299D"/>
    <w:rsid w:val="00E72B38"/>
    <w:rsid w:val="00E72BB6"/>
    <w:rsid w:val="00E72C0D"/>
    <w:rsid w:val="00E72C78"/>
    <w:rsid w:val="00E72D9C"/>
    <w:rsid w:val="00E72DAE"/>
    <w:rsid w:val="00E72E30"/>
    <w:rsid w:val="00E72E46"/>
    <w:rsid w:val="00E73165"/>
    <w:rsid w:val="00E732BC"/>
    <w:rsid w:val="00E7347A"/>
    <w:rsid w:val="00E734F9"/>
    <w:rsid w:val="00E73703"/>
    <w:rsid w:val="00E73748"/>
    <w:rsid w:val="00E73926"/>
    <w:rsid w:val="00E73983"/>
    <w:rsid w:val="00E73AB1"/>
    <w:rsid w:val="00E73BF4"/>
    <w:rsid w:val="00E73C7D"/>
    <w:rsid w:val="00E73E5D"/>
    <w:rsid w:val="00E73F3E"/>
    <w:rsid w:val="00E73F9E"/>
    <w:rsid w:val="00E74193"/>
    <w:rsid w:val="00E741F3"/>
    <w:rsid w:val="00E74234"/>
    <w:rsid w:val="00E742F2"/>
    <w:rsid w:val="00E743F8"/>
    <w:rsid w:val="00E74559"/>
    <w:rsid w:val="00E74709"/>
    <w:rsid w:val="00E74878"/>
    <w:rsid w:val="00E74933"/>
    <w:rsid w:val="00E74971"/>
    <w:rsid w:val="00E74A23"/>
    <w:rsid w:val="00E74A7C"/>
    <w:rsid w:val="00E74A80"/>
    <w:rsid w:val="00E74BBC"/>
    <w:rsid w:val="00E74DF6"/>
    <w:rsid w:val="00E74E4C"/>
    <w:rsid w:val="00E74EEF"/>
    <w:rsid w:val="00E7505F"/>
    <w:rsid w:val="00E7522B"/>
    <w:rsid w:val="00E7522C"/>
    <w:rsid w:val="00E75234"/>
    <w:rsid w:val="00E75349"/>
    <w:rsid w:val="00E75481"/>
    <w:rsid w:val="00E75507"/>
    <w:rsid w:val="00E7557B"/>
    <w:rsid w:val="00E7558A"/>
    <w:rsid w:val="00E755EA"/>
    <w:rsid w:val="00E756DB"/>
    <w:rsid w:val="00E756E8"/>
    <w:rsid w:val="00E75B59"/>
    <w:rsid w:val="00E75BBF"/>
    <w:rsid w:val="00E75CD5"/>
    <w:rsid w:val="00E75D89"/>
    <w:rsid w:val="00E75E90"/>
    <w:rsid w:val="00E75FB5"/>
    <w:rsid w:val="00E75FE7"/>
    <w:rsid w:val="00E76140"/>
    <w:rsid w:val="00E76217"/>
    <w:rsid w:val="00E76222"/>
    <w:rsid w:val="00E76265"/>
    <w:rsid w:val="00E762D2"/>
    <w:rsid w:val="00E76518"/>
    <w:rsid w:val="00E766CD"/>
    <w:rsid w:val="00E76956"/>
    <w:rsid w:val="00E769B5"/>
    <w:rsid w:val="00E76A5C"/>
    <w:rsid w:val="00E76C15"/>
    <w:rsid w:val="00E76CB7"/>
    <w:rsid w:val="00E76DA0"/>
    <w:rsid w:val="00E76DB3"/>
    <w:rsid w:val="00E76E87"/>
    <w:rsid w:val="00E76F9F"/>
    <w:rsid w:val="00E770B1"/>
    <w:rsid w:val="00E7713C"/>
    <w:rsid w:val="00E77143"/>
    <w:rsid w:val="00E7725D"/>
    <w:rsid w:val="00E7727D"/>
    <w:rsid w:val="00E773BE"/>
    <w:rsid w:val="00E77409"/>
    <w:rsid w:val="00E776B5"/>
    <w:rsid w:val="00E778A2"/>
    <w:rsid w:val="00E77A46"/>
    <w:rsid w:val="00E77B11"/>
    <w:rsid w:val="00E77B99"/>
    <w:rsid w:val="00E77C80"/>
    <w:rsid w:val="00E77CB8"/>
    <w:rsid w:val="00E800D5"/>
    <w:rsid w:val="00E80220"/>
    <w:rsid w:val="00E80444"/>
    <w:rsid w:val="00E80480"/>
    <w:rsid w:val="00E805E8"/>
    <w:rsid w:val="00E806E3"/>
    <w:rsid w:val="00E80907"/>
    <w:rsid w:val="00E80936"/>
    <w:rsid w:val="00E80A37"/>
    <w:rsid w:val="00E80A40"/>
    <w:rsid w:val="00E80CA4"/>
    <w:rsid w:val="00E80E54"/>
    <w:rsid w:val="00E81084"/>
    <w:rsid w:val="00E8110C"/>
    <w:rsid w:val="00E81139"/>
    <w:rsid w:val="00E8137B"/>
    <w:rsid w:val="00E813CA"/>
    <w:rsid w:val="00E8144A"/>
    <w:rsid w:val="00E8157E"/>
    <w:rsid w:val="00E817B7"/>
    <w:rsid w:val="00E819C0"/>
    <w:rsid w:val="00E819F6"/>
    <w:rsid w:val="00E81C94"/>
    <w:rsid w:val="00E81DE8"/>
    <w:rsid w:val="00E81DF5"/>
    <w:rsid w:val="00E81E5E"/>
    <w:rsid w:val="00E81EB1"/>
    <w:rsid w:val="00E81EBC"/>
    <w:rsid w:val="00E81EFE"/>
    <w:rsid w:val="00E8230B"/>
    <w:rsid w:val="00E823C3"/>
    <w:rsid w:val="00E8252D"/>
    <w:rsid w:val="00E82748"/>
    <w:rsid w:val="00E82782"/>
    <w:rsid w:val="00E8287C"/>
    <w:rsid w:val="00E82A5B"/>
    <w:rsid w:val="00E82A9A"/>
    <w:rsid w:val="00E82AA9"/>
    <w:rsid w:val="00E82B65"/>
    <w:rsid w:val="00E82BCD"/>
    <w:rsid w:val="00E82CDB"/>
    <w:rsid w:val="00E82F3E"/>
    <w:rsid w:val="00E82F6E"/>
    <w:rsid w:val="00E830F6"/>
    <w:rsid w:val="00E833AB"/>
    <w:rsid w:val="00E8347F"/>
    <w:rsid w:val="00E836E0"/>
    <w:rsid w:val="00E837A0"/>
    <w:rsid w:val="00E8381B"/>
    <w:rsid w:val="00E83894"/>
    <w:rsid w:val="00E838BA"/>
    <w:rsid w:val="00E838EB"/>
    <w:rsid w:val="00E83939"/>
    <w:rsid w:val="00E83A60"/>
    <w:rsid w:val="00E83B85"/>
    <w:rsid w:val="00E83D36"/>
    <w:rsid w:val="00E83D5B"/>
    <w:rsid w:val="00E83D9D"/>
    <w:rsid w:val="00E83FA8"/>
    <w:rsid w:val="00E84007"/>
    <w:rsid w:val="00E84113"/>
    <w:rsid w:val="00E84453"/>
    <w:rsid w:val="00E84461"/>
    <w:rsid w:val="00E8447F"/>
    <w:rsid w:val="00E84642"/>
    <w:rsid w:val="00E8478C"/>
    <w:rsid w:val="00E84790"/>
    <w:rsid w:val="00E84857"/>
    <w:rsid w:val="00E8494E"/>
    <w:rsid w:val="00E849B8"/>
    <w:rsid w:val="00E84B8B"/>
    <w:rsid w:val="00E84BD9"/>
    <w:rsid w:val="00E84BE7"/>
    <w:rsid w:val="00E84C97"/>
    <w:rsid w:val="00E84CA2"/>
    <w:rsid w:val="00E84CCF"/>
    <w:rsid w:val="00E84D14"/>
    <w:rsid w:val="00E84E3D"/>
    <w:rsid w:val="00E84ECA"/>
    <w:rsid w:val="00E84F3E"/>
    <w:rsid w:val="00E84FB7"/>
    <w:rsid w:val="00E85080"/>
    <w:rsid w:val="00E850C2"/>
    <w:rsid w:val="00E8541E"/>
    <w:rsid w:val="00E856FC"/>
    <w:rsid w:val="00E85782"/>
    <w:rsid w:val="00E8585B"/>
    <w:rsid w:val="00E85AE2"/>
    <w:rsid w:val="00E85C6D"/>
    <w:rsid w:val="00E85DCE"/>
    <w:rsid w:val="00E85E47"/>
    <w:rsid w:val="00E86060"/>
    <w:rsid w:val="00E8623F"/>
    <w:rsid w:val="00E86292"/>
    <w:rsid w:val="00E863E3"/>
    <w:rsid w:val="00E86515"/>
    <w:rsid w:val="00E86679"/>
    <w:rsid w:val="00E86739"/>
    <w:rsid w:val="00E86AF1"/>
    <w:rsid w:val="00E86AF7"/>
    <w:rsid w:val="00E86CB6"/>
    <w:rsid w:val="00E86CD9"/>
    <w:rsid w:val="00E86E0C"/>
    <w:rsid w:val="00E86FD0"/>
    <w:rsid w:val="00E86FE7"/>
    <w:rsid w:val="00E870A9"/>
    <w:rsid w:val="00E8716D"/>
    <w:rsid w:val="00E87341"/>
    <w:rsid w:val="00E87368"/>
    <w:rsid w:val="00E873A6"/>
    <w:rsid w:val="00E8747F"/>
    <w:rsid w:val="00E874C0"/>
    <w:rsid w:val="00E87505"/>
    <w:rsid w:val="00E8763A"/>
    <w:rsid w:val="00E8765D"/>
    <w:rsid w:val="00E879B4"/>
    <w:rsid w:val="00E879E2"/>
    <w:rsid w:val="00E87C8B"/>
    <w:rsid w:val="00E87C94"/>
    <w:rsid w:val="00E87D9D"/>
    <w:rsid w:val="00E87DAE"/>
    <w:rsid w:val="00E87EA4"/>
    <w:rsid w:val="00E90002"/>
    <w:rsid w:val="00E9018A"/>
    <w:rsid w:val="00E901BE"/>
    <w:rsid w:val="00E905D7"/>
    <w:rsid w:val="00E9068B"/>
    <w:rsid w:val="00E90715"/>
    <w:rsid w:val="00E9076D"/>
    <w:rsid w:val="00E9082E"/>
    <w:rsid w:val="00E90892"/>
    <w:rsid w:val="00E90A0C"/>
    <w:rsid w:val="00E90A30"/>
    <w:rsid w:val="00E90A78"/>
    <w:rsid w:val="00E90B15"/>
    <w:rsid w:val="00E90D8F"/>
    <w:rsid w:val="00E90E92"/>
    <w:rsid w:val="00E90F3D"/>
    <w:rsid w:val="00E90FC4"/>
    <w:rsid w:val="00E91062"/>
    <w:rsid w:val="00E91104"/>
    <w:rsid w:val="00E91169"/>
    <w:rsid w:val="00E911E8"/>
    <w:rsid w:val="00E91330"/>
    <w:rsid w:val="00E91719"/>
    <w:rsid w:val="00E918BC"/>
    <w:rsid w:val="00E91C31"/>
    <w:rsid w:val="00E91D88"/>
    <w:rsid w:val="00E91E4C"/>
    <w:rsid w:val="00E91FAD"/>
    <w:rsid w:val="00E92065"/>
    <w:rsid w:val="00E92101"/>
    <w:rsid w:val="00E92161"/>
    <w:rsid w:val="00E92176"/>
    <w:rsid w:val="00E92291"/>
    <w:rsid w:val="00E9235F"/>
    <w:rsid w:val="00E92384"/>
    <w:rsid w:val="00E92391"/>
    <w:rsid w:val="00E9251C"/>
    <w:rsid w:val="00E9267A"/>
    <w:rsid w:val="00E92981"/>
    <w:rsid w:val="00E92AB6"/>
    <w:rsid w:val="00E92BA1"/>
    <w:rsid w:val="00E92BDB"/>
    <w:rsid w:val="00E92BFB"/>
    <w:rsid w:val="00E92C2A"/>
    <w:rsid w:val="00E92CC5"/>
    <w:rsid w:val="00E92CFC"/>
    <w:rsid w:val="00E92DE0"/>
    <w:rsid w:val="00E92E35"/>
    <w:rsid w:val="00E92EEC"/>
    <w:rsid w:val="00E92F4B"/>
    <w:rsid w:val="00E92F97"/>
    <w:rsid w:val="00E9309C"/>
    <w:rsid w:val="00E930B0"/>
    <w:rsid w:val="00E9310F"/>
    <w:rsid w:val="00E932BE"/>
    <w:rsid w:val="00E933A1"/>
    <w:rsid w:val="00E934CA"/>
    <w:rsid w:val="00E93553"/>
    <w:rsid w:val="00E9357C"/>
    <w:rsid w:val="00E936DC"/>
    <w:rsid w:val="00E93752"/>
    <w:rsid w:val="00E937A7"/>
    <w:rsid w:val="00E938D6"/>
    <w:rsid w:val="00E9390B"/>
    <w:rsid w:val="00E93BA1"/>
    <w:rsid w:val="00E93BDF"/>
    <w:rsid w:val="00E93D0E"/>
    <w:rsid w:val="00E93D3E"/>
    <w:rsid w:val="00E93D58"/>
    <w:rsid w:val="00E93ED9"/>
    <w:rsid w:val="00E94193"/>
    <w:rsid w:val="00E941AB"/>
    <w:rsid w:val="00E942A2"/>
    <w:rsid w:val="00E942D3"/>
    <w:rsid w:val="00E943B6"/>
    <w:rsid w:val="00E9455A"/>
    <w:rsid w:val="00E9461C"/>
    <w:rsid w:val="00E94664"/>
    <w:rsid w:val="00E94677"/>
    <w:rsid w:val="00E9470F"/>
    <w:rsid w:val="00E94728"/>
    <w:rsid w:val="00E947CC"/>
    <w:rsid w:val="00E948D2"/>
    <w:rsid w:val="00E94D74"/>
    <w:rsid w:val="00E9525C"/>
    <w:rsid w:val="00E9526A"/>
    <w:rsid w:val="00E95270"/>
    <w:rsid w:val="00E952FE"/>
    <w:rsid w:val="00E95349"/>
    <w:rsid w:val="00E9534B"/>
    <w:rsid w:val="00E9545F"/>
    <w:rsid w:val="00E95752"/>
    <w:rsid w:val="00E9594E"/>
    <w:rsid w:val="00E95976"/>
    <w:rsid w:val="00E959DD"/>
    <w:rsid w:val="00E959FF"/>
    <w:rsid w:val="00E95A89"/>
    <w:rsid w:val="00E95B3B"/>
    <w:rsid w:val="00E95D40"/>
    <w:rsid w:val="00E95FC2"/>
    <w:rsid w:val="00E9609E"/>
    <w:rsid w:val="00E96315"/>
    <w:rsid w:val="00E9637E"/>
    <w:rsid w:val="00E964BE"/>
    <w:rsid w:val="00E96514"/>
    <w:rsid w:val="00E96583"/>
    <w:rsid w:val="00E967A2"/>
    <w:rsid w:val="00E96924"/>
    <w:rsid w:val="00E96955"/>
    <w:rsid w:val="00E969A5"/>
    <w:rsid w:val="00E969D7"/>
    <w:rsid w:val="00E96CAB"/>
    <w:rsid w:val="00E96DFE"/>
    <w:rsid w:val="00E96E0B"/>
    <w:rsid w:val="00E96F5F"/>
    <w:rsid w:val="00E96F61"/>
    <w:rsid w:val="00E97068"/>
    <w:rsid w:val="00E971BD"/>
    <w:rsid w:val="00E97215"/>
    <w:rsid w:val="00E972F7"/>
    <w:rsid w:val="00E975C2"/>
    <w:rsid w:val="00E9760A"/>
    <w:rsid w:val="00E977E5"/>
    <w:rsid w:val="00E97855"/>
    <w:rsid w:val="00E979A9"/>
    <w:rsid w:val="00E97B0C"/>
    <w:rsid w:val="00E97B72"/>
    <w:rsid w:val="00E97B7E"/>
    <w:rsid w:val="00E97D7E"/>
    <w:rsid w:val="00E97DE2"/>
    <w:rsid w:val="00EA006B"/>
    <w:rsid w:val="00EA007B"/>
    <w:rsid w:val="00EA0115"/>
    <w:rsid w:val="00EA0150"/>
    <w:rsid w:val="00EA015B"/>
    <w:rsid w:val="00EA022E"/>
    <w:rsid w:val="00EA029A"/>
    <w:rsid w:val="00EA0308"/>
    <w:rsid w:val="00EA0449"/>
    <w:rsid w:val="00EA0752"/>
    <w:rsid w:val="00EA0948"/>
    <w:rsid w:val="00EA094F"/>
    <w:rsid w:val="00EA0969"/>
    <w:rsid w:val="00EA0A69"/>
    <w:rsid w:val="00EA0AEA"/>
    <w:rsid w:val="00EA0D97"/>
    <w:rsid w:val="00EA0E8C"/>
    <w:rsid w:val="00EA102D"/>
    <w:rsid w:val="00EA1051"/>
    <w:rsid w:val="00EA11DF"/>
    <w:rsid w:val="00EA1229"/>
    <w:rsid w:val="00EA12D8"/>
    <w:rsid w:val="00EA156F"/>
    <w:rsid w:val="00EA1634"/>
    <w:rsid w:val="00EA1745"/>
    <w:rsid w:val="00EA17D9"/>
    <w:rsid w:val="00EA1860"/>
    <w:rsid w:val="00EA18B0"/>
    <w:rsid w:val="00EA18C6"/>
    <w:rsid w:val="00EA194C"/>
    <w:rsid w:val="00EA1A55"/>
    <w:rsid w:val="00EA1BA9"/>
    <w:rsid w:val="00EA1F4E"/>
    <w:rsid w:val="00EA215F"/>
    <w:rsid w:val="00EA2205"/>
    <w:rsid w:val="00EA22CA"/>
    <w:rsid w:val="00EA22D0"/>
    <w:rsid w:val="00EA2398"/>
    <w:rsid w:val="00EA243F"/>
    <w:rsid w:val="00EA2477"/>
    <w:rsid w:val="00EA24A2"/>
    <w:rsid w:val="00EA2501"/>
    <w:rsid w:val="00EA2540"/>
    <w:rsid w:val="00EA261E"/>
    <w:rsid w:val="00EA26A9"/>
    <w:rsid w:val="00EA26BF"/>
    <w:rsid w:val="00EA2741"/>
    <w:rsid w:val="00EA274A"/>
    <w:rsid w:val="00EA2865"/>
    <w:rsid w:val="00EA28F9"/>
    <w:rsid w:val="00EA2A36"/>
    <w:rsid w:val="00EA2A9D"/>
    <w:rsid w:val="00EA2C05"/>
    <w:rsid w:val="00EA308E"/>
    <w:rsid w:val="00EA3121"/>
    <w:rsid w:val="00EA33A2"/>
    <w:rsid w:val="00EA35C2"/>
    <w:rsid w:val="00EA3B77"/>
    <w:rsid w:val="00EA3D61"/>
    <w:rsid w:val="00EA3E0D"/>
    <w:rsid w:val="00EA3E5C"/>
    <w:rsid w:val="00EA3E6A"/>
    <w:rsid w:val="00EA3F11"/>
    <w:rsid w:val="00EA3F8B"/>
    <w:rsid w:val="00EA4317"/>
    <w:rsid w:val="00EA43C0"/>
    <w:rsid w:val="00EA4490"/>
    <w:rsid w:val="00EA4575"/>
    <w:rsid w:val="00EA457D"/>
    <w:rsid w:val="00EA45B3"/>
    <w:rsid w:val="00EA4622"/>
    <w:rsid w:val="00EA4644"/>
    <w:rsid w:val="00EA4665"/>
    <w:rsid w:val="00EA4757"/>
    <w:rsid w:val="00EA489E"/>
    <w:rsid w:val="00EA4908"/>
    <w:rsid w:val="00EA4B24"/>
    <w:rsid w:val="00EA4B57"/>
    <w:rsid w:val="00EA4BA9"/>
    <w:rsid w:val="00EA4BC2"/>
    <w:rsid w:val="00EA4C00"/>
    <w:rsid w:val="00EA4C62"/>
    <w:rsid w:val="00EA4CBD"/>
    <w:rsid w:val="00EA4DD1"/>
    <w:rsid w:val="00EA513B"/>
    <w:rsid w:val="00EA51F0"/>
    <w:rsid w:val="00EA54B6"/>
    <w:rsid w:val="00EA55CF"/>
    <w:rsid w:val="00EA55EE"/>
    <w:rsid w:val="00EA5924"/>
    <w:rsid w:val="00EA593A"/>
    <w:rsid w:val="00EA59B6"/>
    <w:rsid w:val="00EA5C04"/>
    <w:rsid w:val="00EA5DD4"/>
    <w:rsid w:val="00EA5F21"/>
    <w:rsid w:val="00EA604B"/>
    <w:rsid w:val="00EA6182"/>
    <w:rsid w:val="00EA6312"/>
    <w:rsid w:val="00EA633B"/>
    <w:rsid w:val="00EA6415"/>
    <w:rsid w:val="00EA653E"/>
    <w:rsid w:val="00EA6593"/>
    <w:rsid w:val="00EA6619"/>
    <w:rsid w:val="00EA67D4"/>
    <w:rsid w:val="00EA6815"/>
    <w:rsid w:val="00EA691F"/>
    <w:rsid w:val="00EA69B3"/>
    <w:rsid w:val="00EA6BDB"/>
    <w:rsid w:val="00EA6C23"/>
    <w:rsid w:val="00EA6D3E"/>
    <w:rsid w:val="00EA7073"/>
    <w:rsid w:val="00EA73D4"/>
    <w:rsid w:val="00EA7450"/>
    <w:rsid w:val="00EA7460"/>
    <w:rsid w:val="00EA7480"/>
    <w:rsid w:val="00EA7641"/>
    <w:rsid w:val="00EA77DC"/>
    <w:rsid w:val="00EA7B15"/>
    <w:rsid w:val="00EA7BCF"/>
    <w:rsid w:val="00EA7C58"/>
    <w:rsid w:val="00EA7CC1"/>
    <w:rsid w:val="00EA7EAC"/>
    <w:rsid w:val="00EA7F69"/>
    <w:rsid w:val="00EB0487"/>
    <w:rsid w:val="00EB0538"/>
    <w:rsid w:val="00EB08AD"/>
    <w:rsid w:val="00EB0BD6"/>
    <w:rsid w:val="00EB0C1A"/>
    <w:rsid w:val="00EB0D99"/>
    <w:rsid w:val="00EB1099"/>
    <w:rsid w:val="00EB1265"/>
    <w:rsid w:val="00EB1338"/>
    <w:rsid w:val="00EB136D"/>
    <w:rsid w:val="00EB139B"/>
    <w:rsid w:val="00EB1427"/>
    <w:rsid w:val="00EB1512"/>
    <w:rsid w:val="00EB156C"/>
    <w:rsid w:val="00EB15E9"/>
    <w:rsid w:val="00EB1601"/>
    <w:rsid w:val="00EB16C3"/>
    <w:rsid w:val="00EB1889"/>
    <w:rsid w:val="00EB19B8"/>
    <w:rsid w:val="00EB1A9F"/>
    <w:rsid w:val="00EB1B39"/>
    <w:rsid w:val="00EB1BD5"/>
    <w:rsid w:val="00EB1DBE"/>
    <w:rsid w:val="00EB1E21"/>
    <w:rsid w:val="00EB1F56"/>
    <w:rsid w:val="00EB218E"/>
    <w:rsid w:val="00EB21B5"/>
    <w:rsid w:val="00EB2209"/>
    <w:rsid w:val="00EB2276"/>
    <w:rsid w:val="00EB2370"/>
    <w:rsid w:val="00EB24FE"/>
    <w:rsid w:val="00EB2684"/>
    <w:rsid w:val="00EB27FE"/>
    <w:rsid w:val="00EB299C"/>
    <w:rsid w:val="00EB2E21"/>
    <w:rsid w:val="00EB3033"/>
    <w:rsid w:val="00EB30EB"/>
    <w:rsid w:val="00EB3175"/>
    <w:rsid w:val="00EB31A2"/>
    <w:rsid w:val="00EB3324"/>
    <w:rsid w:val="00EB36A4"/>
    <w:rsid w:val="00EB3771"/>
    <w:rsid w:val="00EB386E"/>
    <w:rsid w:val="00EB3993"/>
    <w:rsid w:val="00EB3A01"/>
    <w:rsid w:val="00EB3B95"/>
    <w:rsid w:val="00EB3BFC"/>
    <w:rsid w:val="00EB3C8D"/>
    <w:rsid w:val="00EB3CB1"/>
    <w:rsid w:val="00EB3E74"/>
    <w:rsid w:val="00EB3FA9"/>
    <w:rsid w:val="00EB42D2"/>
    <w:rsid w:val="00EB42D4"/>
    <w:rsid w:val="00EB434E"/>
    <w:rsid w:val="00EB456E"/>
    <w:rsid w:val="00EB45B1"/>
    <w:rsid w:val="00EB495C"/>
    <w:rsid w:val="00EB4A1B"/>
    <w:rsid w:val="00EB4B69"/>
    <w:rsid w:val="00EB4BCE"/>
    <w:rsid w:val="00EB4C7E"/>
    <w:rsid w:val="00EB4EFE"/>
    <w:rsid w:val="00EB5076"/>
    <w:rsid w:val="00EB510D"/>
    <w:rsid w:val="00EB51EB"/>
    <w:rsid w:val="00EB51F2"/>
    <w:rsid w:val="00EB534A"/>
    <w:rsid w:val="00EB5466"/>
    <w:rsid w:val="00EB5571"/>
    <w:rsid w:val="00EB55E0"/>
    <w:rsid w:val="00EB55F7"/>
    <w:rsid w:val="00EB5D42"/>
    <w:rsid w:val="00EB5D7D"/>
    <w:rsid w:val="00EB5F73"/>
    <w:rsid w:val="00EB6030"/>
    <w:rsid w:val="00EB63AC"/>
    <w:rsid w:val="00EB6A46"/>
    <w:rsid w:val="00EB6AAA"/>
    <w:rsid w:val="00EB6BE9"/>
    <w:rsid w:val="00EB6C17"/>
    <w:rsid w:val="00EB6D24"/>
    <w:rsid w:val="00EB701D"/>
    <w:rsid w:val="00EB704B"/>
    <w:rsid w:val="00EB7113"/>
    <w:rsid w:val="00EB718F"/>
    <w:rsid w:val="00EB72F9"/>
    <w:rsid w:val="00EB736F"/>
    <w:rsid w:val="00EB737C"/>
    <w:rsid w:val="00EB7432"/>
    <w:rsid w:val="00EB74CA"/>
    <w:rsid w:val="00EB74EC"/>
    <w:rsid w:val="00EB751F"/>
    <w:rsid w:val="00EB754A"/>
    <w:rsid w:val="00EB7550"/>
    <w:rsid w:val="00EB7C1A"/>
    <w:rsid w:val="00EB7C43"/>
    <w:rsid w:val="00EB7C55"/>
    <w:rsid w:val="00EB7D44"/>
    <w:rsid w:val="00EB7D48"/>
    <w:rsid w:val="00EB7DFF"/>
    <w:rsid w:val="00EB7E29"/>
    <w:rsid w:val="00EB7FB1"/>
    <w:rsid w:val="00EB7FE9"/>
    <w:rsid w:val="00EC0066"/>
    <w:rsid w:val="00EC012D"/>
    <w:rsid w:val="00EC01E0"/>
    <w:rsid w:val="00EC02B4"/>
    <w:rsid w:val="00EC02E4"/>
    <w:rsid w:val="00EC02F9"/>
    <w:rsid w:val="00EC039B"/>
    <w:rsid w:val="00EC044D"/>
    <w:rsid w:val="00EC050C"/>
    <w:rsid w:val="00EC0727"/>
    <w:rsid w:val="00EC07AC"/>
    <w:rsid w:val="00EC07E9"/>
    <w:rsid w:val="00EC09A5"/>
    <w:rsid w:val="00EC0A90"/>
    <w:rsid w:val="00EC0AD3"/>
    <w:rsid w:val="00EC0B5D"/>
    <w:rsid w:val="00EC0BB4"/>
    <w:rsid w:val="00EC0DD4"/>
    <w:rsid w:val="00EC0F80"/>
    <w:rsid w:val="00EC0FAD"/>
    <w:rsid w:val="00EC0FB6"/>
    <w:rsid w:val="00EC106F"/>
    <w:rsid w:val="00EC10EF"/>
    <w:rsid w:val="00EC1364"/>
    <w:rsid w:val="00EC140F"/>
    <w:rsid w:val="00EC16CC"/>
    <w:rsid w:val="00EC1707"/>
    <w:rsid w:val="00EC1862"/>
    <w:rsid w:val="00EC18DC"/>
    <w:rsid w:val="00EC18E7"/>
    <w:rsid w:val="00EC18F4"/>
    <w:rsid w:val="00EC1A29"/>
    <w:rsid w:val="00EC1AE6"/>
    <w:rsid w:val="00EC1B90"/>
    <w:rsid w:val="00EC1C44"/>
    <w:rsid w:val="00EC1D2B"/>
    <w:rsid w:val="00EC1E47"/>
    <w:rsid w:val="00EC20D7"/>
    <w:rsid w:val="00EC2129"/>
    <w:rsid w:val="00EC21FB"/>
    <w:rsid w:val="00EC244B"/>
    <w:rsid w:val="00EC24BE"/>
    <w:rsid w:val="00EC2640"/>
    <w:rsid w:val="00EC2725"/>
    <w:rsid w:val="00EC27C6"/>
    <w:rsid w:val="00EC27DF"/>
    <w:rsid w:val="00EC2BDB"/>
    <w:rsid w:val="00EC2D49"/>
    <w:rsid w:val="00EC319F"/>
    <w:rsid w:val="00EC3273"/>
    <w:rsid w:val="00EC32A9"/>
    <w:rsid w:val="00EC3312"/>
    <w:rsid w:val="00EC3350"/>
    <w:rsid w:val="00EC341B"/>
    <w:rsid w:val="00EC34F3"/>
    <w:rsid w:val="00EC369A"/>
    <w:rsid w:val="00EC36C7"/>
    <w:rsid w:val="00EC377A"/>
    <w:rsid w:val="00EC3815"/>
    <w:rsid w:val="00EC3CE8"/>
    <w:rsid w:val="00EC3E34"/>
    <w:rsid w:val="00EC3E9E"/>
    <w:rsid w:val="00EC3FAC"/>
    <w:rsid w:val="00EC415B"/>
    <w:rsid w:val="00EC4294"/>
    <w:rsid w:val="00EC4385"/>
    <w:rsid w:val="00EC43B6"/>
    <w:rsid w:val="00EC4617"/>
    <w:rsid w:val="00EC47F6"/>
    <w:rsid w:val="00EC4B89"/>
    <w:rsid w:val="00EC4BAA"/>
    <w:rsid w:val="00EC4D5E"/>
    <w:rsid w:val="00EC4E48"/>
    <w:rsid w:val="00EC4EA2"/>
    <w:rsid w:val="00EC4F3D"/>
    <w:rsid w:val="00EC4F7C"/>
    <w:rsid w:val="00EC50F5"/>
    <w:rsid w:val="00EC520E"/>
    <w:rsid w:val="00EC522A"/>
    <w:rsid w:val="00EC533E"/>
    <w:rsid w:val="00EC54FA"/>
    <w:rsid w:val="00EC5791"/>
    <w:rsid w:val="00EC57C8"/>
    <w:rsid w:val="00EC586C"/>
    <w:rsid w:val="00EC5942"/>
    <w:rsid w:val="00EC5ABC"/>
    <w:rsid w:val="00EC5AD4"/>
    <w:rsid w:val="00EC5AF8"/>
    <w:rsid w:val="00EC5CDA"/>
    <w:rsid w:val="00EC6298"/>
    <w:rsid w:val="00EC6592"/>
    <w:rsid w:val="00EC66BF"/>
    <w:rsid w:val="00EC67C1"/>
    <w:rsid w:val="00EC6A04"/>
    <w:rsid w:val="00EC6A46"/>
    <w:rsid w:val="00EC6A5B"/>
    <w:rsid w:val="00EC6A6B"/>
    <w:rsid w:val="00EC6BB0"/>
    <w:rsid w:val="00EC6BBD"/>
    <w:rsid w:val="00EC6D79"/>
    <w:rsid w:val="00EC6DA5"/>
    <w:rsid w:val="00EC6DF1"/>
    <w:rsid w:val="00EC6F32"/>
    <w:rsid w:val="00EC6F62"/>
    <w:rsid w:val="00EC6FE8"/>
    <w:rsid w:val="00EC70A3"/>
    <w:rsid w:val="00EC70D5"/>
    <w:rsid w:val="00EC7253"/>
    <w:rsid w:val="00EC7478"/>
    <w:rsid w:val="00EC7520"/>
    <w:rsid w:val="00EC752B"/>
    <w:rsid w:val="00EC7696"/>
    <w:rsid w:val="00EC78A0"/>
    <w:rsid w:val="00EC79EC"/>
    <w:rsid w:val="00EC7BB9"/>
    <w:rsid w:val="00EC7C87"/>
    <w:rsid w:val="00EC7D53"/>
    <w:rsid w:val="00EC7DD2"/>
    <w:rsid w:val="00ED00B0"/>
    <w:rsid w:val="00ED030D"/>
    <w:rsid w:val="00ED06F4"/>
    <w:rsid w:val="00ED075B"/>
    <w:rsid w:val="00ED08FD"/>
    <w:rsid w:val="00ED0BB2"/>
    <w:rsid w:val="00ED0E55"/>
    <w:rsid w:val="00ED0F81"/>
    <w:rsid w:val="00ED108B"/>
    <w:rsid w:val="00ED1557"/>
    <w:rsid w:val="00ED159D"/>
    <w:rsid w:val="00ED164D"/>
    <w:rsid w:val="00ED169A"/>
    <w:rsid w:val="00ED18C7"/>
    <w:rsid w:val="00ED1B7E"/>
    <w:rsid w:val="00ED1C7F"/>
    <w:rsid w:val="00ED1F84"/>
    <w:rsid w:val="00ED22EB"/>
    <w:rsid w:val="00ED2448"/>
    <w:rsid w:val="00ED25EE"/>
    <w:rsid w:val="00ED26F3"/>
    <w:rsid w:val="00ED277B"/>
    <w:rsid w:val="00ED299A"/>
    <w:rsid w:val="00ED2A47"/>
    <w:rsid w:val="00ED2AEA"/>
    <w:rsid w:val="00ED2AF1"/>
    <w:rsid w:val="00ED2C8C"/>
    <w:rsid w:val="00ED2DF5"/>
    <w:rsid w:val="00ED317E"/>
    <w:rsid w:val="00ED3328"/>
    <w:rsid w:val="00ED338E"/>
    <w:rsid w:val="00ED34B4"/>
    <w:rsid w:val="00ED366D"/>
    <w:rsid w:val="00ED3AA8"/>
    <w:rsid w:val="00ED3AB8"/>
    <w:rsid w:val="00ED3BC4"/>
    <w:rsid w:val="00ED3BEB"/>
    <w:rsid w:val="00ED3CE2"/>
    <w:rsid w:val="00ED3D4A"/>
    <w:rsid w:val="00ED3DE1"/>
    <w:rsid w:val="00ED3E4D"/>
    <w:rsid w:val="00ED3E83"/>
    <w:rsid w:val="00ED427B"/>
    <w:rsid w:val="00ED4306"/>
    <w:rsid w:val="00ED442A"/>
    <w:rsid w:val="00ED443A"/>
    <w:rsid w:val="00ED449B"/>
    <w:rsid w:val="00ED4502"/>
    <w:rsid w:val="00ED45B3"/>
    <w:rsid w:val="00ED4616"/>
    <w:rsid w:val="00ED465B"/>
    <w:rsid w:val="00ED46C3"/>
    <w:rsid w:val="00ED46CF"/>
    <w:rsid w:val="00ED4717"/>
    <w:rsid w:val="00ED4721"/>
    <w:rsid w:val="00ED4751"/>
    <w:rsid w:val="00ED4766"/>
    <w:rsid w:val="00ED4856"/>
    <w:rsid w:val="00ED48CE"/>
    <w:rsid w:val="00ED4A31"/>
    <w:rsid w:val="00ED4C21"/>
    <w:rsid w:val="00ED4D01"/>
    <w:rsid w:val="00ED4D15"/>
    <w:rsid w:val="00ED4D3E"/>
    <w:rsid w:val="00ED4DD7"/>
    <w:rsid w:val="00ED4E64"/>
    <w:rsid w:val="00ED501C"/>
    <w:rsid w:val="00ED522C"/>
    <w:rsid w:val="00ED52AD"/>
    <w:rsid w:val="00ED52F9"/>
    <w:rsid w:val="00ED53E7"/>
    <w:rsid w:val="00ED5608"/>
    <w:rsid w:val="00ED5691"/>
    <w:rsid w:val="00ED56D5"/>
    <w:rsid w:val="00ED56E1"/>
    <w:rsid w:val="00ED584A"/>
    <w:rsid w:val="00ED5955"/>
    <w:rsid w:val="00ED5A18"/>
    <w:rsid w:val="00ED5A44"/>
    <w:rsid w:val="00ED5AB4"/>
    <w:rsid w:val="00ED5C40"/>
    <w:rsid w:val="00ED5CFE"/>
    <w:rsid w:val="00ED5FD3"/>
    <w:rsid w:val="00ED5FE7"/>
    <w:rsid w:val="00ED6133"/>
    <w:rsid w:val="00ED63F0"/>
    <w:rsid w:val="00ED6566"/>
    <w:rsid w:val="00ED65A7"/>
    <w:rsid w:val="00ED65CD"/>
    <w:rsid w:val="00ED679F"/>
    <w:rsid w:val="00ED67A2"/>
    <w:rsid w:val="00ED68FB"/>
    <w:rsid w:val="00ED6909"/>
    <w:rsid w:val="00ED6941"/>
    <w:rsid w:val="00ED695D"/>
    <w:rsid w:val="00ED6A03"/>
    <w:rsid w:val="00ED6AE7"/>
    <w:rsid w:val="00ED6BC9"/>
    <w:rsid w:val="00ED6BF6"/>
    <w:rsid w:val="00ED6C1F"/>
    <w:rsid w:val="00ED6E22"/>
    <w:rsid w:val="00ED6EBA"/>
    <w:rsid w:val="00ED6ED3"/>
    <w:rsid w:val="00ED7183"/>
    <w:rsid w:val="00ED735E"/>
    <w:rsid w:val="00ED749B"/>
    <w:rsid w:val="00ED750B"/>
    <w:rsid w:val="00ED7839"/>
    <w:rsid w:val="00ED7BA5"/>
    <w:rsid w:val="00ED7CF8"/>
    <w:rsid w:val="00ED7D93"/>
    <w:rsid w:val="00EE022B"/>
    <w:rsid w:val="00EE03D0"/>
    <w:rsid w:val="00EE041A"/>
    <w:rsid w:val="00EE04C0"/>
    <w:rsid w:val="00EE04D7"/>
    <w:rsid w:val="00EE060B"/>
    <w:rsid w:val="00EE0749"/>
    <w:rsid w:val="00EE0803"/>
    <w:rsid w:val="00EE096B"/>
    <w:rsid w:val="00EE09A0"/>
    <w:rsid w:val="00EE0A00"/>
    <w:rsid w:val="00EE0C00"/>
    <w:rsid w:val="00EE0C2D"/>
    <w:rsid w:val="00EE0EFE"/>
    <w:rsid w:val="00EE10AA"/>
    <w:rsid w:val="00EE10BD"/>
    <w:rsid w:val="00EE10E8"/>
    <w:rsid w:val="00EE111E"/>
    <w:rsid w:val="00EE1132"/>
    <w:rsid w:val="00EE1174"/>
    <w:rsid w:val="00EE13BC"/>
    <w:rsid w:val="00EE1526"/>
    <w:rsid w:val="00EE1618"/>
    <w:rsid w:val="00EE162D"/>
    <w:rsid w:val="00EE17CD"/>
    <w:rsid w:val="00EE1BF9"/>
    <w:rsid w:val="00EE1CE5"/>
    <w:rsid w:val="00EE1D49"/>
    <w:rsid w:val="00EE1F3F"/>
    <w:rsid w:val="00EE2212"/>
    <w:rsid w:val="00EE229D"/>
    <w:rsid w:val="00EE24EC"/>
    <w:rsid w:val="00EE2501"/>
    <w:rsid w:val="00EE2581"/>
    <w:rsid w:val="00EE264D"/>
    <w:rsid w:val="00EE27FF"/>
    <w:rsid w:val="00EE2812"/>
    <w:rsid w:val="00EE287D"/>
    <w:rsid w:val="00EE2A59"/>
    <w:rsid w:val="00EE2A80"/>
    <w:rsid w:val="00EE2B36"/>
    <w:rsid w:val="00EE2B46"/>
    <w:rsid w:val="00EE2B60"/>
    <w:rsid w:val="00EE2B69"/>
    <w:rsid w:val="00EE2D83"/>
    <w:rsid w:val="00EE2DFD"/>
    <w:rsid w:val="00EE30CA"/>
    <w:rsid w:val="00EE3293"/>
    <w:rsid w:val="00EE32C4"/>
    <w:rsid w:val="00EE3412"/>
    <w:rsid w:val="00EE3445"/>
    <w:rsid w:val="00EE3673"/>
    <w:rsid w:val="00EE3914"/>
    <w:rsid w:val="00EE3A6C"/>
    <w:rsid w:val="00EE3E4A"/>
    <w:rsid w:val="00EE3F0B"/>
    <w:rsid w:val="00EE3F1D"/>
    <w:rsid w:val="00EE3F24"/>
    <w:rsid w:val="00EE3F87"/>
    <w:rsid w:val="00EE3F9F"/>
    <w:rsid w:val="00EE4023"/>
    <w:rsid w:val="00EE4270"/>
    <w:rsid w:val="00EE42D9"/>
    <w:rsid w:val="00EE434F"/>
    <w:rsid w:val="00EE4615"/>
    <w:rsid w:val="00EE4C1A"/>
    <w:rsid w:val="00EE4D2D"/>
    <w:rsid w:val="00EE4E7A"/>
    <w:rsid w:val="00EE4E96"/>
    <w:rsid w:val="00EE4F63"/>
    <w:rsid w:val="00EE500A"/>
    <w:rsid w:val="00EE50B7"/>
    <w:rsid w:val="00EE50EC"/>
    <w:rsid w:val="00EE510E"/>
    <w:rsid w:val="00EE51FF"/>
    <w:rsid w:val="00EE5200"/>
    <w:rsid w:val="00EE5299"/>
    <w:rsid w:val="00EE52C2"/>
    <w:rsid w:val="00EE5474"/>
    <w:rsid w:val="00EE55D6"/>
    <w:rsid w:val="00EE589E"/>
    <w:rsid w:val="00EE59B9"/>
    <w:rsid w:val="00EE5C4D"/>
    <w:rsid w:val="00EE5DA2"/>
    <w:rsid w:val="00EE5E79"/>
    <w:rsid w:val="00EE5F23"/>
    <w:rsid w:val="00EE6196"/>
    <w:rsid w:val="00EE67BF"/>
    <w:rsid w:val="00EE67DA"/>
    <w:rsid w:val="00EE67EA"/>
    <w:rsid w:val="00EE6847"/>
    <w:rsid w:val="00EE6AC2"/>
    <w:rsid w:val="00EE6AE9"/>
    <w:rsid w:val="00EE6B4C"/>
    <w:rsid w:val="00EE6C41"/>
    <w:rsid w:val="00EE6C58"/>
    <w:rsid w:val="00EE7257"/>
    <w:rsid w:val="00EE72CA"/>
    <w:rsid w:val="00EE73B1"/>
    <w:rsid w:val="00EE75C6"/>
    <w:rsid w:val="00EE771C"/>
    <w:rsid w:val="00EE773D"/>
    <w:rsid w:val="00EE7854"/>
    <w:rsid w:val="00EE7950"/>
    <w:rsid w:val="00EE7977"/>
    <w:rsid w:val="00EE7A34"/>
    <w:rsid w:val="00EE7A83"/>
    <w:rsid w:val="00EE7B09"/>
    <w:rsid w:val="00EE7C62"/>
    <w:rsid w:val="00EE7D06"/>
    <w:rsid w:val="00EE7DE4"/>
    <w:rsid w:val="00EE7E6B"/>
    <w:rsid w:val="00EF0003"/>
    <w:rsid w:val="00EF0046"/>
    <w:rsid w:val="00EF0117"/>
    <w:rsid w:val="00EF0344"/>
    <w:rsid w:val="00EF03B6"/>
    <w:rsid w:val="00EF03DC"/>
    <w:rsid w:val="00EF0528"/>
    <w:rsid w:val="00EF05AA"/>
    <w:rsid w:val="00EF072E"/>
    <w:rsid w:val="00EF073D"/>
    <w:rsid w:val="00EF0766"/>
    <w:rsid w:val="00EF0804"/>
    <w:rsid w:val="00EF0A5B"/>
    <w:rsid w:val="00EF0BD3"/>
    <w:rsid w:val="00EF0DB2"/>
    <w:rsid w:val="00EF0F72"/>
    <w:rsid w:val="00EF1001"/>
    <w:rsid w:val="00EF1056"/>
    <w:rsid w:val="00EF1186"/>
    <w:rsid w:val="00EF1352"/>
    <w:rsid w:val="00EF146B"/>
    <w:rsid w:val="00EF148D"/>
    <w:rsid w:val="00EF1490"/>
    <w:rsid w:val="00EF15CA"/>
    <w:rsid w:val="00EF165B"/>
    <w:rsid w:val="00EF16A6"/>
    <w:rsid w:val="00EF1840"/>
    <w:rsid w:val="00EF19B3"/>
    <w:rsid w:val="00EF1B09"/>
    <w:rsid w:val="00EF1BD9"/>
    <w:rsid w:val="00EF1C27"/>
    <w:rsid w:val="00EF1C7B"/>
    <w:rsid w:val="00EF226C"/>
    <w:rsid w:val="00EF229F"/>
    <w:rsid w:val="00EF2331"/>
    <w:rsid w:val="00EF2748"/>
    <w:rsid w:val="00EF2A0C"/>
    <w:rsid w:val="00EF2E39"/>
    <w:rsid w:val="00EF2E56"/>
    <w:rsid w:val="00EF31A9"/>
    <w:rsid w:val="00EF3638"/>
    <w:rsid w:val="00EF36A5"/>
    <w:rsid w:val="00EF374D"/>
    <w:rsid w:val="00EF3873"/>
    <w:rsid w:val="00EF3964"/>
    <w:rsid w:val="00EF39AA"/>
    <w:rsid w:val="00EF3BB9"/>
    <w:rsid w:val="00EF3CC9"/>
    <w:rsid w:val="00EF3D5A"/>
    <w:rsid w:val="00EF3D71"/>
    <w:rsid w:val="00EF3D99"/>
    <w:rsid w:val="00EF3F75"/>
    <w:rsid w:val="00EF4092"/>
    <w:rsid w:val="00EF40B7"/>
    <w:rsid w:val="00EF4165"/>
    <w:rsid w:val="00EF4270"/>
    <w:rsid w:val="00EF446D"/>
    <w:rsid w:val="00EF44B5"/>
    <w:rsid w:val="00EF45A0"/>
    <w:rsid w:val="00EF4948"/>
    <w:rsid w:val="00EF4970"/>
    <w:rsid w:val="00EF4A12"/>
    <w:rsid w:val="00EF4ADE"/>
    <w:rsid w:val="00EF4B35"/>
    <w:rsid w:val="00EF4B38"/>
    <w:rsid w:val="00EF4B86"/>
    <w:rsid w:val="00EF4D22"/>
    <w:rsid w:val="00EF516E"/>
    <w:rsid w:val="00EF5222"/>
    <w:rsid w:val="00EF52DD"/>
    <w:rsid w:val="00EF531D"/>
    <w:rsid w:val="00EF577D"/>
    <w:rsid w:val="00EF58B2"/>
    <w:rsid w:val="00EF5955"/>
    <w:rsid w:val="00EF5C37"/>
    <w:rsid w:val="00EF5DF3"/>
    <w:rsid w:val="00EF5F57"/>
    <w:rsid w:val="00EF5F78"/>
    <w:rsid w:val="00EF5FC8"/>
    <w:rsid w:val="00EF600F"/>
    <w:rsid w:val="00EF601B"/>
    <w:rsid w:val="00EF6124"/>
    <w:rsid w:val="00EF6310"/>
    <w:rsid w:val="00EF653B"/>
    <w:rsid w:val="00EF6577"/>
    <w:rsid w:val="00EF6587"/>
    <w:rsid w:val="00EF65EE"/>
    <w:rsid w:val="00EF6902"/>
    <w:rsid w:val="00EF6B73"/>
    <w:rsid w:val="00EF6B76"/>
    <w:rsid w:val="00EF6B8B"/>
    <w:rsid w:val="00EF6F91"/>
    <w:rsid w:val="00EF722A"/>
    <w:rsid w:val="00EF749C"/>
    <w:rsid w:val="00EF74A7"/>
    <w:rsid w:val="00EF757B"/>
    <w:rsid w:val="00EF77E8"/>
    <w:rsid w:val="00EF7821"/>
    <w:rsid w:val="00EF7859"/>
    <w:rsid w:val="00EF7AA7"/>
    <w:rsid w:val="00EF7B6E"/>
    <w:rsid w:val="00EF7CC2"/>
    <w:rsid w:val="00EF7CE1"/>
    <w:rsid w:val="00EF7E19"/>
    <w:rsid w:val="00EF7E7A"/>
    <w:rsid w:val="00EF7F17"/>
    <w:rsid w:val="00EF7F63"/>
    <w:rsid w:val="00EF7FC0"/>
    <w:rsid w:val="00EF7FF3"/>
    <w:rsid w:val="00F0010C"/>
    <w:rsid w:val="00F0019D"/>
    <w:rsid w:val="00F00249"/>
    <w:rsid w:val="00F00332"/>
    <w:rsid w:val="00F00511"/>
    <w:rsid w:val="00F0091E"/>
    <w:rsid w:val="00F00D4B"/>
    <w:rsid w:val="00F01038"/>
    <w:rsid w:val="00F0104C"/>
    <w:rsid w:val="00F010B6"/>
    <w:rsid w:val="00F010EB"/>
    <w:rsid w:val="00F01164"/>
    <w:rsid w:val="00F0123B"/>
    <w:rsid w:val="00F01243"/>
    <w:rsid w:val="00F01318"/>
    <w:rsid w:val="00F0135D"/>
    <w:rsid w:val="00F013FA"/>
    <w:rsid w:val="00F013FB"/>
    <w:rsid w:val="00F015CC"/>
    <w:rsid w:val="00F0180E"/>
    <w:rsid w:val="00F01849"/>
    <w:rsid w:val="00F018FD"/>
    <w:rsid w:val="00F01916"/>
    <w:rsid w:val="00F01ACD"/>
    <w:rsid w:val="00F01C58"/>
    <w:rsid w:val="00F01D09"/>
    <w:rsid w:val="00F01D8A"/>
    <w:rsid w:val="00F01DC6"/>
    <w:rsid w:val="00F01E41"/>
    <w:rsid w:val="00F020C9"/>
    <w:rsid w:val="00F02156"/>
    <w:rsid w:val="00F0226B"/>
    <w:rsid w:val="00F02341"/>
    <w:rsid w:val="00F024BF"/>
    <w:rsid w:val="00F02605"/>
    <w:rsid w:val="00F026EA"/>
    <w:rsid w:val="00F026EE"/>
    <w:rsid w:val="00F027B5"/>
    <w:rsid w:val="00F028DE"/>
    <w:rsid w:val="00F02912"/>
    <w:rsid w:val="00F0293E"/>
    <w:rsid w:val="00F029B5"/>
    <w:rsid w:val="00F02C2E"/>
    <w:rsid w:val="00F02C49"/>
    <w:rsid w:val="00F02C5C"/>
    <w:rsid w:val="00F02DBA"/>
    <w:rsid w:val="00F02DC9"/>
    <w:rsid w:val="00F02E53"/>
    <w:rsid w:val="00F03089"/>
    <w:rsid w:val="00F031EA"/>
    <w:rsid w:val="00F03281"/>
    <w:rsid w:val="00F0328A"/>
    <w:rsid w:val="00F0328B"/>
    <w:rsid w:val="00F0345E"/>
    <w:rsid w:val="00F0358C"/>
    <w:rsid w:val="00F035F4"/>
    <w:rsid w:val="00F03693"/>
    <w:rsid w:val="00F0379F"/>
    <w:rsid w:val="00F038EE"/>
    <w:rsid w:val="00F03A33"/>
    <w:rsid w:val="00F03C84"/>
    <w:rsid w:val="00F03C8A"/>
    <w:rsid w:val="00F03CCC"/>
    <w:rsid w:val="00F03D62"/>
    <w:rsid w:val="00F03DD9"/>
    <w:rsid w:val="00F03F80"/>
    <w:rsid w:val="00F04074"/>
    <w:rsid w:val="00F0407D"/>
    <w:rsid w:val="00F040C9"/>
    <w:rsid w:val="00F04231"/>
    <w:rsid w:val="00F04325"/>
    <w:rsid w:val="00F04409"/>
    <w:rsid w:val="00F0445B"/>
    <w:rsid w:val="00F04472"/>
    <w:rsid w:val="00F044AC"/>
    <w:rsid w:val="00F046A9"/>
    <w:rsid w:val="00F046F5"/>
    <w:rsid w:val="00F0489E"/>
    <w:rsid w:val="00F04906"/>
    <w:rsid w:val="00F04AB5"/>
    <w:rsid w:val="00F04C79"/>
    <w:rsid w:val="00F04CEE"/>
    <w:rsid w:val="00F04DDD"/>
    <w:rsid w:val="00F04DF0"/>
    <w:rsid w:val="00F04F86"/>
    <w:rsid w:val="00F051A2"/>
    <w:rsid w:val="00F05254"/>
    <w:rsid w:val="00F05255"/>
    <w:rsid w:val="00F053E6"/>
    <w:rsid w:val="00F0545A"/>
    <w:rsid w:val="00F05466"/>
    <w:rsid w:val="00F054C4"/>
    <w:rsid w:val="00F057E4"/>
    <w:rsid w:val="00F059BE"/>
    <w:rsid w:val="00F059E0"/>
    <w:rsid w:val="00F05A42"/>
    <w:rsid w:val="00F05A5B"/>
    <w:rsid w:val="00F05A7D"/>
    <w:rsid w:val="00F05B09"/>
    <w:rsid w:val="00F05CC3"/>
    <w:rsid w:val="00F05CF4"/>
    <w:rsid w:val="00F05EF4"/>
    <w:rsid w:val="00F0600D"/>
    <w:rsid w:val="00F060B6"/>
    <w:rsid w:val="00F0624D"/>
    <w:rsid w:val="00F06270"/>
    <w:rsid w:val="00F06316"/>
    <w:rsid w:val="00F065F3"/>
    <w:rsid w:val="00F066A6"/>
    <w:rsid w:val="00F06816"/>
    <w:rsid w:val="00F06A7E"/>
    <w:rsid w:val="00F06B13"/>
    <w:rsid w:val="00F06C19"/>
    <w:rsid w:val="00F06D08"/>
    <w:rsid w:val="00F06D2B"/>
    <w:rsid w:val="00F06E44"/>
    <w:rsid w:val="00F06E4F"/>
    <w:rsid w:val="00F06E92"/>
    <w:rsid w:val="00F06F47"/>
    <w:rsid w:val="00F070B6"/>
    <w:rsid w:val="00F07298"/>
    <w:rsid w:val="00F07333"/>
    <w:rsid w:val="00F073A2"/>
    <w:rsid w:val="00F073DD"/>
    <w:rsid w:val="00F07433"/>
    <w:rsid w:val="00F0748B"/>
    <w:rsid w:val="00F07623"/>
    <w:rsid w:val="00F0776D"/>
    <w:rsid w:val="00F07887"/>
    <w:rsid w:val="00F07CB9"/>
    <w:rsid w:val="00F07CD1"/>
    <w:rsid w:val="00F07DB7"/>
    <w:rsid w:val="00F07EA9"/>
    <w:rsid w:val="00F07EBE"/>
    <w:rsid w:val="00F07F2C"/>
    <w:rsid w:val="00F100A5"/>
    <w:rsid w:val="00F1012E"/>
    <w:rsid w:val="00F1015E"/>
    <w:rsid w:val="00F1019C"/>
    <w:rsid w:val="00F101BA"/>
    <w:rsid w:val="00F10244"/>
    <w:rsid w:val="00F10386"/>
    <w:rsid w:val="00F1038E"/>
    <w:rsid w:val="00F103EE"/>
    <w:rsid w:val="00F104FE"/>
    <w:rsid w:val="00F10557"/>
    <w:rsid w:val="00F10578"/>
    <w:rsid w:val="00F105D8"/>
    <w:rsid w:val="00F106CD"/>
    <w:rsid w:val="00F1074E"/>
    <w:rsid w:val="00F10783"/>
    <w:rsid w:val="00F107B5"/>
    <w:rsid w:val="00F10802"/>
    <w:rsid w:val="00F10870"/>
    <w:rsid w:val="00F109E3"/>
    <w:rsid w:val="00F10A6A"/>
    <w:rsid w:val="00F10BC1"/>
    <w:rsid w:val="00F10EDE"/>
    <w:rsid w:val="00F10F50"/>
    <w:rsid w:val="00F1104F"/>
    <w:rsid w:val="00F1112C"/>
    <w:rsid w:val="00F112B0"/>
    <w:rsid w:val="00F112E8"/>
    <w:rsid w:val="00F1135C"/>
    <w:rsid w:val="00F11495"/>
    <w:rsid w:val="00F11654"/>
    <w:rsid w:val="00F1167D"/>
    <w:rsid w:val="00F1168E"/>
    <w:rsid w:val="00F11AF8"/>
    <w:rsid w:val="00F11B46"/>
    <w:rsid w:val="00F11C58"/>
    <w:rsid w:val="00F11D08"/>
    <w:rsid w:val="00F11E34"/>
    <w:rsid w:val="00F11E3C"/>
    <w:rsid w:val="00F11ED8"/>
    <w:rsid w:val="00F120EC"/>
    <w:rsid w:val="00F1224D"/>
    <w:rsid w:val="00F1234B"/>
    <w:rsid w:val="00F12450"/>
    <w:rsid w:val="00F12473"/>
    <w:rsid w:val="00F124F8"/>
    <w:rsid w:val="00F12587"/>
    <w:rsid w:val="00F125ED"/>
    <w:rsid w:val="00F12A45"/>
    <w:rsid w:val="00F12BB5"/>
    <w:rsid w:val="00F12CD2"/>
    <w:rsid w:val="00F12F50"/>
    <w:rsid w:val="00F13007"/>
    <w:rsid w:val="00F130A2"/>
    <w:rsid w:val="00F130B1"/>
    <w:rsid w:val="00F13169"/>
    <w:rsid w:val="00F13273"/>
    <w:rsid w:val="00F132AA"/>
    <w:rsid w:val="00F133AA"/>
    <w:rsid w:val="00F13696"/>
    <w:rsid w:val="00F138B0"/>
    <w:rsid w:val="00F139E5"/>
    <w:rsid w:val="00F13BC2"/>
    <w:rsid w:val="00F13BCC"/>
    <w:rsid w:val="00F13BF9"/>
    <w:rsid w:val="00F13C89"/>
    <w:rsid w:val="00F140B4"/>
    <w:rsid w:val="00F1415A"/>
    <w:rsid w:val="00F1419F"/>
    <w:rsid w:val="00F14340"/>
    <w:rsid w:val="00F1461B"/>
    <w:rsid w:val="00F14647"/>
    <w:rsid w:val="00F1478A"/>
    <w:rsid w:val="00F147D6"/>
    <w:rsid w:val="00F1481B"/>
    <w:rsid w:val="00F14947"/>
    <w:rsid w:val="00F1495D"/>
    <w:rsid w:val="00F14B61"/>
    <w:rsid w:val="00F14D3C"/>
    <w:rsid w:val="00F14DB5"/>
    <w:rsid w:val="00F14EB6"/>
    <w:rsid w:val="00F14F7A"/>
    <w:rsid w:val="00F150DB"/>
    <w:rsid w:val="00F151AE"/>
    <w:rsid w:val="00F15236"/>
    <w:rsid w:val="00F153B6"/>
    <w:rsid w:val="00F15461"/>
    <w:rsid w:val="00F155AE"/>
    <w:rsid w:val="00F15906"/>
    <w:rsid w:val="00F1590F"/>
    <w:rsid w:val="00F15A1E"/>
    <w:rsid w:val="00F15B90"/>
    <w:rsid w:val="00F15BE5"/>
    <w:rsid w:val="00F15D69"/>
    <w:rsid w:val="00F15F1F"/>
    <w:rsid w:val="00F15F38"/>
    <w:rsid w:val="00F16039"/>
    <w:rsid w:val="00F16084"/>
    <w:rsid w:val="00F160C9"/>
    <w:rsid w:val="00F1613A"/>
    <w:rsid w:val="00F16172"/>
    <w:rsid w:val="00F163D5"/>
    <w:rsid w:val="00F16677"/>
    <w:rsid w:val="00F16840"/>
    <w:rsid w:val="00F16B6F"/>
    <w:rsid w:val="00F16BD8"/>
    <w:rsid w:val="00F16C5D"/>
    <w:rsid w:val="00F16CD6"/>
    <w:rsid w:val="00F16DFE"/>
    <w:rsid w:val="00F16E87"/>
    <w:rsid w:val="00F16F70"/>
    <w:rsid w:val="00F16FA7"/>
    <w:rsid w:val="00F1705D"/>
    <w:rsid w:val="00F170A6"/>
    <w:rsid w:val="00F171F4"/>
    <w:rsid w:val="00F172A9"/>
    <w:rsid w:val="00F172DB"/>
    <w:rsid w:val="00F17634"/>
    <w:rsid w:val="00F177F0"/>
    <w:rsid w:val="00F17861"/>
    <w:rsid w:val="00F17AC1"/>
    <w:rsid w:val="00F17B76"/>
    <w:rsid w:val="00F17C25"/>
    <w:rsid w:val="00F17DC9"/>
    <w:rsid w:val="00F20015"/>
    <w:rsid w:val="00F200C8"/>
    <w:rsid w:val="00F201C6"/>
    <w:rsid w:val="00F202BE"/>
    <w:rsid w:val="00F202D9"/>
    <w:rsid w:val="00F20596"/>
    <w:rsid w:val="00F207DB"/>
    <w:rsid w:val="00F20B0B"/>
    <w:rsid w:val="00F20B39"/>
    <w:rsid w:val="00F20D92"/>
    <w:rsid w:val="00F20E23"/>
    <w:rsid w:val="00F20E76"/>
    <w:rsid w:val="00F20F23"/>
    <w:rsid w:val="00F20FCF"/>
    <w:rsid w:val="00F21069"/>
    <w:rsid w:val="00F210B4"/>
    <w:rsid w:val="00F2111A"/>
    <w:rsid w:val="00F21210"/>
    <w:rsid w:val="00F21243"/>
    <w:rsid w:val="00F21474"/>
    <w:rsid w:val="00F214E9"/>
    <w:rsid w:val="00F2154C"/>
    <w:rsid w:val="00F215A4"/>
    <w:rsid w:val="00F21846"/>
    <w:rsid w:val="00F218DB"/>
    <w:rsid w:val="00F21A58"/>
    <w:rsid w:val="00F21D12"/>
    <w:rsid w:val="00F21E74"/>
    <w:rsid w:val="00F22414"/>
    <w:rsid w:val="00F22457"/>
    <w:rsid w:val="00F22489"/>
    <w:rsid w:val="00F2249B"/>
    <w:rsid w:val="00F2251F"/>
    <w:rsid w:val="00F22536"/>
    <w:rsid w:val="00F225A6"/>
    <w:rsid w:val="00F22785"/>
    <w:rsid w:val="00F22864"/>
    <w:rsid w:val="00F22BB3"/>
    <w:rsid w:val="00F22C4B"/>
    <w:rsid w:val="00F22C54"/>
    <w:rsid w:val="00F22CD5"/>
    <w:rsid w:val="00F22DD2"/>
    <w:rsid w:val="00F22E31"/>
    <w:rsid w:val="00F22FE9"/>
    <w:rsid w:val="00F23045"/>
    <w:rsid w:val="00F230B7"/>
    <w:rsid w:val="00F2319E"/>
    <w:rsid w:val="00F232E8"/>
    <w:rsid w:val="00F232FC"/>
    <w:rsid w:val="00F233B4"/>
    <w:rsid w:val="00F234BD"/>
    <w:rsid w:val="00F23558"/>
    <w:rsid w:val="00F23718"/>
    <w:rsid w:val="00F23855"/>
    <w:rsid w:val="00F2389C"/>
    <w:rsid w:val="00F23976"/>
    <w:rsid w:val="00F23A03"/>
    <w:rsid w:val="00F23A37"/>
    <w:rsid w:val="00F23B0A"/>
    <w:rsid w:val="00F23BD9"/>
    <w:rsid w:val="00F23C5E"/>
    <w:rsid w:val="00F23F39"/>
    <w:rsid w:val="00F23FAF"/>
    <w:rsid w:val="00F24030"/>
    <w:rsid w:val="00F240EF"/>
    <w:rsid w:val="00F24167"/>
    <w:rsid w:val="00F243AA"/>
    <w:rsid w:val="00F2454E"/>
    <w:rsid w:val="00F245DE"/>
    <w:rsid w:val="00F246F8"/>
    <w:rsid w:val="00F247F3"/>
    <w:rsid w:val="00F24967"/>
    <w:rsid w:val="00F24986"/>
    <w:rsid w:val="00F24C2D"/>
    <w:rsid w:val="00F24D4F"/>
    <w:rsid w:val="00F24DE3"/>
    <w:rsid w:val="00F24F63"/>
    <w:rsid w:val="00F24F98"/>
    <w:rsid w:val="00F25085"/>
    <w:rsid w:val="00F2518D"/>
    <w:rsid w:val="00F251D1"/>
    <w:rsid w:val="00F251DE"/>
    <w:rsid w:val="00F251DF"/>
    <w:rsid w:val="00F25230"/>
    <w:rsid w:val="00F2523F"/>
    <w:rsid w:val="00F255D4"/>
    <w:rsid w:val="00F25870"/>
    <w:rsid w:val="00F2599A"/>
    <w:rsid w:val="00F25B1E"/>
    <w:rsid w:val="00F25BA1"/>
    <w:rsid w:val="00F25BFF"/>
    <w:rsid w:val="00F25F39"/>
    <w:rsid w:val="00F25F7C"/>
    <w:rsid w:val="00F2612F"/>
    <w:rsid w:val="00F2618A"/>
    <w:rsid w:val="00F26203"/>
    <w:rsid w:val="00F263C6"/>
    <w:rsid w:val="00F266E6"/>
    <w:rsid w:val="00F267B4"/>
    <w:rsid w:val="00F267DA"/>
    <w:rsid w:val="00F26854"/>
    <w:rsid w:val="00F26A8C"/>
    <w:rsid w:val="00F26BDC"/>
    <w:rsid w:val="00F27354"/>
    <w:rsid w:val="00F27378"/>
    <w:rsid w:val="00F2750D"/>
    <w:rsid w:val="00F27916"/>
    <w:rsid w:val="00F27947"/>
    <w:rsid w:val="00F27962"/>
    <w:rsid w:val="00F27A1A"/>
    <w:rsid w:val="00F27A83"/>
    <w:rsid w:val="00F27BC9"/>
    <w:rsid w:val="00F27C05"/>
    <w:rsid w:val="00F27C41"/>
    <w:rsid w:val="00F27D06"/>
    <w:rsid w:val="00F27FC2"/>
    <w:rsid w:val="00F30077"/>
    <w:rsid w:val="00F30300"/>
    <w:rsid w:val="00F30479"/>
    <w:rsid w:val="00F304A1"/>
    <w:rsid w:val="00F30526"/>
    <w:rsid w:val="00F3067E"/>
    <w:rsid w:val="00F30724"/>
    <w:rsid w:val="00F30746"/>
    <w:rsid w:val="00F30784"/>
    <w:rsid w:val="00F3084A"/>
    <w:rsid w:val="00F30994"/>
    <w:rsid w:val="00F30B4F"/>
    <w:rsid w:val="00F30B68"/>
    <w:rsid w:val="00F30CD0"/>
    <w:rsid w:val="00F30D25"/>
    <w:rsid w:val="00F30E9A"/>
    <w:rsid w:val="00F30FB3"/>
    <w:rsid w:val="00F30FCA"/>
    <w:rsid w:val="00F31044"/>
    <w:rsid w:val="00F310BC"/>
    <w:rsid w:val="00F310F9"/>
    <w:rsid w:val="00F31243"/>
    <w:rsid w:val="00F31253"/>
    <w:rsid w:val="00F312C7"/>
    <w:rsid w:val="00F31445"/>
    <w:rsid w:val="00F314A9"/>
    <w:rsid w:val="00F31687"/>
    <w:rsid w:val="00F316AB"/>
    <w:rsid w:val="00F3171C"/>
    <w:rsid w:val="00F317C9"/>
    <w:rsid w:val="00F318DC"/>
    <w:rsid w:val="00F31AB2"/>
    <w:rsid w:val="00F31B4D"/>
    <w:rsid w:val="00F31C85"/>
    <w:rsid w:val="00F31E10"/>
    <w:rsid w:val="00F31F98"/>
    <w:rsid w:val="00F3217B"/>
    <w:rsid w:val="00F322CD"/>
    <w:rsid w:val="00F322F9"/>
    <w:rsid w:val="00F32657"/>
    <w:rsid w:val="00F32B5B"/>
    <w:rsid w:val="00F32E13"/>
    <w:rsid w:val="00F32F15"/>
    <w:rsid w:val="00F32FAF"/>
    <w:rsid w:val="00F3318E"/>
    <w:rsid w:val="00F331A5"/>
    <w:rsid w:val="00F331F3"/>
    <w:rsid w:val="00F333AC"/>
    <w:rsid w:val="00F3341F"/>
    <w:rsid w:val="00F33575"/>
    <w:rsid w:val="00F3365F"/>
    <w:rsid w:val="00F33ACA"/>
    <w:rsid w:val="00F33C5B"/>
    <w:rsid w:val="00F33CF2"/>
    <w:rsid w:val="00F33DA7"/>
    <w:rsid w:val="00F33E71"/>
    <w:rsid w:val="00F33FCC"/>
    <w:rsid w:val="00F340C1"/>
    <w:rsid w:val="00F34176"/>
    <w:rsid w:val="00F341D4"/>
    <w:rsid w:val="00F34252"/>
    <w:rsid w:val="00F34255"/>
    <w:rsid w:val="00F342C9"/>
    <w:rsid w:val="00F34337"/>
    <w:rsid w:val="00F3434C"/>
    <w:rsid w:val="00F343A0"/>
    <w:rsid w:val="00F3447F"/>
    <w:rsid w:val="00F3453E"/>
    <w:rsid w:val="00F348EF"/>
    <w:rsid w:val="00F34FD0"/>
    <w:rsid w:val="00F34FD1"/>
    <w:rsid w:val="00F35020"/>
    <w:rsid w:val="00F3519C"/>
    <w:rsid w:val="00F35251"/>
    <w:rsid w:val="00F353CF"/>
    <w:rsid w:val="00F3540D"/>
    <w:rsid w:val="00F354C4"/>
    <w:rsid w:val="00F3555D"/>
    <w:rsid w:val="00F3557B"/>
    <w:rsid w:val="00F356C0"/>
    <w:rsid w:val="00F356DA"/>
    <w:rsid w:val="00F3573A"/>
    <w:rsid w:val="00F357E0"/>
    <w:rsid w:val="00F35896"/>
    <w:rsid w:val="00F3596A"/>
    <w:rsid w:val="00F35A6A"/>
    <w:rsid w:val="00F35B81"/>
    <w:rsid w:val="00F35C58"/>
    <w:rsid w:val="00F35C6A"/>
    <w:rsid w:val="00F35D0F"/>
    <w:rsid w:val="00F35D37"/>
    <w:rsid w:val="00F35D57"/>
    <w:rsid w:val="00F35DA7"/>
    <w:rsid w:val="00F35FCF"/>
    <w:rsid w:val="00F3646E"/>
    <w:rsid w:val="00F365F4"/>
    <w:rsid w:val="00F366E8"/>
    <w:rsid w:val="00F367EA"/>
    <w:rsid w:val="00F36A5E"/>
    <w:rsid w:val="00F36BA2"/>
    <w:rsid w:val="00F36BD9"/>
    <w:rsid w:val="00F36EC9"/>
    <w:rsid w:val="00F36F64"/>
    <w:rsid w:val="00F37030"/>
    <w:rsid w:val="00F37038"/>
    <w:rsid w:val="00F3706E"/>
    <w:rsid w:val="00F371C0"/>
    <w:rsid w:val="00F372BC"/>
    <w:rsid w:val="00F374BC"/>
    <w:rsid w:val="00F374F1"/>
    <w:rsid w:val="00F3753A"/>
    <w:rsid w:val="00F37565"/>
    <w:rsid w:val="00F375FE"/>
    <w:rsid w:val="00F376E9"/>
    <w:rsid w:val="00F377EC"/>
    <w:rsid w:val="00F37823"/>
    <w:rsid w:val="00F37849"/>
    <w:rsid w:val="00F37A09"/>
    <w:rsid w:val="00F37B74"/>
    <w:rsid w:val="00F37B82"/>
    <w:rsid w:val="00F37E37"/>
    <w:rsid w:val="00F37F6E"/>
    <w:rsid w:val="00F40289"/>
    <w:rsid w:val="00F4029E"/>
    <w:rsid w:val="00F404F1"/>
    <w:rsid w:val="00F405A5"/>
    <w:rsid w:val="00F406DA"/>
    <w:rsid w:val="00F4074A"/>
    <w:rsid w:val="00F40781"/>
    <w:rsid w:val="00F4099C"/>
    <w:rsid w:val="00F40FBF"/>
    <w:rsid w:val="00F41014"/>
    <w:rsid w:val="00F411C6"/>
    <w:rsid w:val="00F41382"/>
    <w:rsid w:val="00F41463"/>
    <w:rsid w:val="00F41516"/>
    <w:rsid w:val="00F4151F"/>
    <w:rsid w:val="00F4167C"/>
    <w:rsid w:val="00F417CF"/>
    <w:rsid w:val="00F41817"/>
    <w:rsid w:val="00F41C5D"/>
    <w:rsid w:val="00F41E96"/>
    <w:rsid w:val="00F41EA1"/>
    <w:rsid w:val="00F41EFD"/>
    <w:rsid w:val="00F41F78"/>
    <w:rsid w:val="00F4226B"/>
    <w:rsid w:val="00F422FB"/>
    <w:rsid w:val="00F42317"/>
    <w:rsid w:val="00F4284F"/>
    <w:rsid w:val="00F4294E"/>
    <w:rsid w:val="00F42966"/>
    <w:rsid w:val="00F42ADB"/>
    <w:rsid w:val="00F42AE4"/>
    <w:rsid w:val="00F42B4D"/>
    <w:rsid w:val="00F42BBC"/>
    <w:rsid w:val="00F42DC5"/>
    <w:rsid w:val="00F42F2E"/>
    <w:rsid w:val="00F42FE8"/>
    <w:rsid w:val="00F430A9"/>
    <w:rsid w:val="00F431AB"/>
    <w:rsid w:val="00F43259"/>
    <w:rsid w:val="00F43304"/>
    <w:rsid w:val="00F43352"/>
    <w:rsid w:val="00F4361C"/>
    <w:rsid w:val="00F436EA"/>
    <w:rsid w:val="00F43837"/>
    <w:rsid w:val="00F4395E"/>
    <w:rsid w:val="00F43963"/>
    <w:rsid w:val="00F43A27"/>
    <w:rsid w:val="00F43A7B"/>
    <w:rsid w:val="00F43CD7"/>
    <w:rsid w:val="00F43DC5"/>
    <w:rsid w:val="00F43DF2"/>
    <w:rsid w:val="00F43E6B"/>
    <w:rsid w:val="00F43F3F"/>
    <w:rsid w:val="00F44024"/>
    <w:rsid w:val="00F44110"/>
    <w:rsid w:val="00F44152"/>
    <w:rsid w:val="00F444E9"/>
    <w:rsid w:val="00F446D7"/>
    <w:rsid w:val="00F44735"/>
    <w:rsid w:val="00F449B7"/>
    <w:rsid w:val="00F44B43"/>
    <w:rsid w:val="00F44C9E"/>
    <w:rsid w:val="00F44E58"/>
    <w:rsid w:val="00F44E6C"/>
    <w:rsid w:val="00F44E8E"/>
    <w:rsid w:val="00F44F5D"/>
    <w:rsid w:val="00F44F98"/>
    <w:rsid w:val="00F45026"/>
    <w:rsid w:val="00F4508C"/>
    <w:rsid w:val="00F45292"/>
    <w:rsid w:val="00F45467"/>
    <w:rsid w:val="00F4546E"/>
    <w:rsid w:val="00F454B7"/>
    <w:rsid w:val="00F457B3"/>
    <w:rsid w:val="00F4586E"/>
    <w:rsid w:val="00F458E3"/>
    <w:rsid w:val="00F45914"/>
    <w:rsid w:val="00F459FA"/>
    <w:rsid w:val="00F45A09"/>
    <w:rsid w:val="00F45A91"/>
    <w:rsid w:val="00F45B9F"/>
    <w:rsid w:val="00F45C67"/>
    <w:rsid w:val="00F45CC7"/>
    <w:rsid w:val="00F45D25"/>
    <w:rsid w:val="00F45D3B"/>
    <w:rsid w:val="00F45D58"/>
    <w:rsid w:val="00F45EC0"/>
    <w:rsid w:val="00F45F1A"/>
    <w:rsid w:val="00F45F8D"/>
    <w:rsid w:val="00F461F3"/>
    <w:rsid w:val="00F4637B"/>
    <w:rsid w:val="00F4641C"/>
    <w:rsid w:val="00F4650F"/>
    <w:rsid w:val="00F465AC"/>
    <w:rsid w:val="00F466C6"/>
    <w:rsid w:val="00F469C1"/>
    <w:rsid w:val="00F46B12"/>
    <w:rsid w:val="00F46D2F"/>
    <w:rsid w:val="00F46EC7"/>
    <w:rsid w:val="00F46F2D"/>
    <w:rsid w:val="00F46F84"/>
    <w:rsid w:val="00F4723B"/>
    <w:rsid w:val="00F4744D"/>
    <w:rsid w:val="00F47501"/>
    <w:rsid w:val="00F47521"/>
    <w:rsid w:val="00F4755C"/>
    <w:rsid w:val="00F4765C"/>
    <w:rsid w:val="00F476DC"/>
    <w:rsid w:val="00F476E4"/>
    <w:rsid w:val="00F47707"/>
    <w:rsid w:val="00F477C2"/>
    <w:rsid w:val="00F478F6"/>
    <w:rsid w:val="00F4790D"/>
    <w:rsid w:val="00F47C49"/>
    <w:rsid w:val="00F47D5A"/>
    <w:rsid w:val="00F47F7C"/>
    <w:rsid w:val="00F50323"/>
    <w:rsid w:val="00F5046C"/>
    <w:rsid w:val="00F5048B"/>
    <w:rsid w:val="00F506DD"/>
    <w:rsid w:val="00F50719"/>
    <w:rsid w:val="00F50748"/>
    <w:rsid w:val="00F5074D"/>
    <w:rsid w:val="00F507E8"/>
    <w:rsid w:val="00F50849"/>
    <w:rsid w:val="00F50912"/>
    <w:rsid w:val="00F5095B"/>
    <w:rsid w:val="00F50A9B"/>
    <w:rsid w:val="00F50BEF"/>
    <w:rsid w:val="00F50D12"/>
    <w:rsid w:val="00F50D4F"/>
    <w:rsid w:val="00F50DEF"/>
    <w:rsid w:val="00F51091"/>
    <w:rsid w:val="00F510C9"/>
    <w:rsid w:val="00F5122A"/>
    <w:rsid w:val="00F513DD"/>
    <w:rsid w:val="00F5148D"/>
    <w:rsid w:val="00F51797"/>
    <w:rsid w:val="00F518F8"/>
    <w:rsid w:val="00F51A3B"/>
    <w:rsid w:val="00F51A40"/>
    <w:rsid w:val="00F51AD5"/>
    <w:rsid w:val="00F51AE3"/>
    <w:rsid w:val="00F51B1D"/>
    <w:rsid w:val="00F51B35"/>
    <w:rsid w:val="00F51BD6"/>
    <w:rsid w:val="00F51C32"/>
    <w:rsid w:val="00F51CA3"/>
    <w:rsid w:val="00F51D26"/>
    <w:rsid w:val="00F51ED1"/>
    <w:rsid w:val="00F51EF1"/>
    <w:rsid w:val="00F52156"/>
    <w:rsid w:val="00F5217F"/>
    <w:rsid w:val="00F52487"/>
    <w:rsid w:val="00F52557"/>
    <w:rsid w:val="00F525C2"/>
    <w:rsid w:val="00F527B4"/>
    <w:rsid w:val="00F52859"/>
    <w:rsid w:val="00F52A3D"/>
    <w:rsid w:val="00F52AF8"/>
    <w:rsid w:val="00F52B6B"/>
    <w:rsid w:val="00F52D1F"/>
    <w:rsid w:val="00F52D85"/>
    <w:rsid w:val="00F53082"/>
    <w:rsid w:val="00F533A1"/>
    <w:rsid w:val="00F53453"/>
    <w:rsid w:val="00F53462"/>
    <w:rsid w:val="00F5350F"/>
    <w:rsid w:val="00F536F6"/>
    <w:rsid w:val="00F53977"/>
    <w:rsid w:val="00F539D5"/>
    <w:rsid w:val="00F53B0F"/>
    <w:rsid w:val="00F53BF0"/>
    <w:rsid w:val="00F53C1B"/>
    <w:rsid w:val="00F53C41"/>
    <w:rsid w:val="00F53D0E"/>
    <w:rsid w:val="00F53DA5"/>
    <w:rsid w:val="00F53FE2"/>
    <w:rsid w:val="00F5405A"/>
    <w:rsid w:val="00F543EE"/>
    <w:rsid w:val="00F5457C"/>
    <w:rsid w:val="00F546E2"/>
    <w:rsid w:val="00F546F8"/>
    <w:rsid w:val="00F5474D"/>
    <w:rsid w:val="00F5475F"/>
    <w:rsid w:val="00F54770"/>
    <w:rsid w:val="00F54775"/>
    <w:rsid w:val="00F548D5"/>
    <w:rsid w:val="00F548EC"/>
    <w:rsid w:val="00F54A1E"/>
    <w:rsid w:val="00F54A43"/>
    <w:rsid w:val="00F54AF6"/>
    <w:rsid w:val="00F54B1D"/>
    <w:rsid w:val="00F54B2C"/>
    <w:rsid w:val="00F54B8D"/>
    <w:rsid w:val="00F54C28"/>
    <w:rsid w:val="00F54C46"/>
    <w:rsid w:val="00F54D52"/>
    <w:rsid w:val="00F54D60"/>
    <w:rsid w:val="00F54FC3"/>
    <w:rsid w:val="00F5515A"/>
    <w:rsid w:val="00F5534C"/>
    <w:rsid w:val="00F55460"/>
    <w:rsid w:val="00F554C5"/>
    <w:rsid w:val="00F5563A"/>
    <w:rsid w:val="00F5565D"/>
    <w:rsid w:val="00F55692"/>
    <w:rsid w:val="00F557AC"/>
    <w:rsid w:val="00F55950"/>
    <w:rsid w:val="00F5596D"/>
    <w:rsid w:val="00F55989"/>
    <w:rsid w:val="00F55C9A"/>
    <w:rsid w:val="00F55D48"/>
    <w:rsid w:val="00F55D50"/>
    <w:rsid w:val="00F55E00"/>
    <w:rsid w:val="00F55FFF"/>
    <w:rsid w:val="00F5603B"/>
    <w:rsid w:val="00F560E0"/>
    <w:rsid w:val="00F561BB"/>
    <w:rsid w:val="00F56220"/>
    <w:rsid w:val="00F5624E"/>
    <w:rsid w:val="00F5631F"/>
    <w:rsid w:val="00F56526"/>
    <w:rsid w:val="00F56528"/>
    <w:rsid w:val="00F565E3"/>
    <w:rsid w:val="00F5669B"/>
    <w:rsid w:val="00F566C4"/>
    <w:rsid w:val="00F56A9D"/>
    <w:rsid w:val="00F56D4A"/>
    <w:rsid w:val="00F56E4C"/>
    <w:rsid w:val="00F56F2D"/>
    <w:rsid w:val="00F5704B"/>
    <w:rsid w:val="00F570A5"/>
    <w:rsid w:val="00F57118"/>
    <w:rsid w:val="00F5724E"/>
    <w:rsid w:val="00F57277"/>
    <w:rsid w:val="00F572CB"/>
    <w:rsid w:val="00F57471"/>
    <w:rsid w:val="00F5750A"/>
    <w:rsid w:val="00F5753B"/>
    <w:rsid w:val="00F57641"/>
    <w:rsid w:val="00F57699"/>
    <w:rsid w:val="00F576F9"/>
    <w:rsid w:val="00F57730"/>
    <w:rsid w:val="00F57C7D"/>
    <w:rsid w:val="00F57E3F"/>
    <w:rsid w:val="00F57E91"/>
    <w:rsid w:val="00F60178"/>
    <w:rsid w:val="00F601BC"/>
    <w:rsid w:val="00F605DD"/>
    <w:rsid w:val="00F606E1"/>
    <w:rsid w:val="00F60732"/>
    <w:rsid w:val="00F6078C"/>
    <w:rsid w:val="00F60BBB"/>
    <w:rsid w:val="00F60CA5"/>
    <w:rsid w:val="00F60CB7"/>
    <w:rsid w:val="00F60D19"/>
    <w:rsid w:val="00F60D9C"/>
    <w:rsid w:val="00F60E38"/>
    <w:rsid w:val="00F60E3F"/>
    <w:rsid w:val="00F60F06"/>
    <w:rsid w:val="00F60FC9"/>
    <w:rsid w:val="00F61039"/>
    <w:rsid w:val="00F61087"/>
    <w:rsid w:val="00F61144"/>
    <w:rsid w:val="00F611D4"/>
    <w:rsid w:val="00F611EF"/>
    <w:rsid w:val="00F61283"/>
    <w:rsid w:val="00F61326"/>
    <w:rsid w:val="00F6136B"/>
    <w:rsid w:val="00F6144A"/>
    <w:rsid w:val="00F615D4"/>
    <w:rsid w:val="00F6171A"/>
    <w:rsid w:val="00F61765"/>
    <w:rsid w:val="00F6178C"/>
    <w:rsid w:val="00F617DE"/>
    <w:rsid w:val="00F61931"/>
    <w:rsid w:val="00F619AA"/>
    <w:rsid w:val="00F61A9C"/>
    <w:rsid w:val="00F61ABB"/>
    <w:rsid w:val="00F61B37"/>
    <w:rsid w:val="00F61BC8"/>
    <w:rsid w:val="00F61C2E"/>
    <w:rsid w:val="00F61D54"/>
    <w:rsid w:val="00F61F1C"/>
    <w:rsid w:val="00F61F8C"/>
    <w:rsid w:val="00F620C5"/>
    <w:rsid w:val="00F62140"/>
    <w:rsid w:val="00F6215D"/>
    <w:rsid w:val="00F62352"/>
    <w:rsid w:val="00F62476"/>
    <w:rsid w:val="00F624C0"/>
    <w:rsid w:val="00F624D8"/>
    <w:rsid w:val="00F62666"/>
    <w:rsid w:val="00F62869"/>
    <w:rsid w:val="00F628DC"/>
    <w:rsid w:val="00F628ED"/>
    <w:rsid w:val="00F629E9"/>
    <w:rsid w:val="00F62A57"/>
    <w:rsid w:val="00F62B2D"/>
    <w:rsid w:val="00F62CCF"/>
    <w:rsid w:val="00F62DD4"/>
    <w:rsid w:val="00F62E4B"/>
    <w:rsid w:val="00F62E53"/>
    <w:rsid w:val="00F62F5B"/>
    <w:rsid w:val="00F62FBE"/>
    <w:rsid w:val="00F630E5"/>
    <w:rsid w:val="00F6312B"/>
    <w:rsid w:val="00F632E9"/>
    <w:rsid w:val="00F63309"/>
    <w:rsid w:val="00F6345D"/>
    <w:rsid w:val="00F6346C"/>
    <w:rsid w:val="00F6346F"/>
    <w:rsid w:val="00F634C5"/>
    <w:rsid w:val="00F634FB"/>
    <w:rsid w:val="00F637FB"/>
    <w:rsid w:val="00F63879"/>
    <w:rsid w:val="00F63A6B"/>
    <w:rsid w:val="00F63AB9"/>
    <w:rsid w:val="00F63D71"/>
    <w:rsid w:val="00F63DAA"/>
    <w:rsid w:val="00F63E0C"/>
    <w:rsid w:val="00F63F9B"/>
    <w:rsid w:val="00F63FFC"/>
    <w:rsid w:val="00F64026"/>
    <w:rsid w:val="00F6408A"/>
    <w:rsid w:val="00F64109"/>
    <w:rsid w:val="00F64124"/>
    <w:rsid w:val="00F641DA"/>
    <w:rsid w:val="00F642D4"/>
    <w:rsid w:val="00F64527"/>
    <w:rsid w:val="00F6467A"/>
    <w:rsid w:val="00F6469D"/>
    <w:rsid w:val="00F64702"/>
    <w:rsid w:val="00F64704"/>
    <w:rsid w:val="00F6488F"/>
    <w:rsid w:val="00F6498B"/>
    <w:rsid w:val="00F64AB3"/>
    <w:rsid w:val="00F64C50"/>
    <w:rsid w:val="00F64D41"/>
    <w:rsid w:val="00F64E3D"/>
    <w:rsid w:val="00F64E4F"/>
    <w:rsid w:val="00F64ECE"/>
    <w:rsid w:val="00F65195"/>
    <w:rsid w:val="00F65273"/>
    <w:rsid w:val="00F6539C"/>
    <w:rsid w:val="00F65431"/>
    <w:rsid w:val="00F65457"/>
    <w:rsid w:val="00F65660"/>
    <w:rsid w:val="00F65722"/>
    <w:rsid w:val="00F65771"/>
    <w:rsid w:val="00F65803"/>
    <w:rsid w:val="00F65A40"/>
    <w:rsid w:val="00F65B63"/>
    <w:rsid w:val="00F65C55"/>
    <w:rsid w:val="00F65C58"/>
    <w:rsid w:val="00F65EB4"/>
    <w:rsid w:val="00F66032"/>
    <w:rsid w:val="00F66146"/>
    <w:rsid w:val="00F661F1"/>
    <w:rsid w:val="00F6637D"/>
    <w:rsid w:val="00F663A1"/>
    <w:rsid w:val="00F6655B"/>
    <w:rsid w:val="00F66564"/>
    <w:rsid w:val="00F668B4"/>
    <w:rsid w:val="00F66940"/>
    <w:rsid w:val="00F6699B"/>
    <w:rsid w:val="00F66B49"/>
    <w:rsid w:val="00F66E76"/>
    <w:rsid w:val="00F670B9"/>
    <w:rsid w:val="00F67303"/>
    <w:rsid w:val="00F67488"/>
    <w:rsid w:val="00F67565"/>
    <w:rsid w:val="00F675AF"/>
    <w:rsid w:val="00F67631"/>
    <w:rsid w:val="00F67687"/>
    <w:rsid w:val="00F6781D"/>
    <w:rsid w:val="00F678C9"/>
    <w:rsid w:val="00F6797B"/>
    <w:rsid w:val="00F679A9"/>
    <w:rsid w:val="00F67A31"/>
    <w:rsid w:val="00F67AC0"/>
    <w:rsid w:val="00F67BDE"/>
    <w:rsid w:val="00F67C35"/>
    <w:rsid w:val="00F67D4E"/>
    <w:rsid w:val="00F67DAA"/>
    <w:rsid w:val="00F67F0A"/>
    <w:rsid w:val="00F7003A"/>
    <w:rsid w:val="00F700E3"/>
    <w:rsid w:val="00F700F5"/>
    <w:rsid w:val="00F70189"/>
    <w:rsid w:val="00F70296"/>
    <w:rsid w:val="00F704CE"/>
    <w:rsid w:val="00F7090F"/>
    <w:rsid w:val="00F70A3C"/>
    <w:rsid w:val="00F70B12"/>
    <w:rsid w:val="00F70B44"/>
    <w:rsid w:val="00F70CDC"/>
    <w:rsid w:val="00F70E54"/>
    <w:rsid w:val="00F70E5D"/>
    <w:rsid w:val="00F7107A"/>
    <w:rsid w:val="00F710DF"/>
    <w:rsid w:val="00F7128B"/>
    <w:rsid w:val="00F712A3"/>
    <w:rsid w:val="00F713E0"/>
    <w:rsid w:val="00F715C7"/>
    <w:rsid w:val="00F7161C"/>
    <w:rsid w:val="00F71847"/>
    <w:rsid w:val="00F71B3C"/>
    <w:rsid w:val="00F71B7A"/>
    <w:rsid w:val="00F71BD5"/>
    <w:rsid w:val="00F71D0C"/>
    <w:rsid w:val="00F71E1F"/>
    <w:rsid w:val="00F71EE5"/>
    <w:rsid w:val="00F71FBB"/>
    <w:rsid w:val="00F720AF"/>
    <w:rsid w:val="00F7216B"/>
    <w:rsid w:val="00F7235D"/>
    <w:rsid w:val="00F723E0"/>
    <w:rsid w:val="00F723F8"/>
    <w:rsid w:val="00F72458"/>
    <w:rsid w:val="00F7245E"/>
    <w:rsid w:val="00F72512"/>
    <w:rsid w:val="00F7265A"/>
    <w:rsid w:val="00F7277D"/>
    <w:rsid w:val="00F727E2"/>
    <w:rsid w:val="00F72802"/>
    <w:rsid w:val="00F72A28"/>
    <w:rsid w:val="00F72AA5"/>
    <w:rsid w:val="00F72B61"/>
    <w:rsid w:val="00F72BAF"/>
    <w:rsid w:val="00F72D2F"/>
    <w:rsid w:val="00F72EA1"/>
    <w:rsid w:val="00F72F27"/>
    <w:rsid w:val="00F72FBE"/>
    <w:rsid w:val="00F72FCC"/>
    <w:rsid w:val="00F73107"/>
    <w:rsid w:val="00F7336F"/>
    <w:rsid w:val="00F7353E"/>
    <w:rsid w:val="00F73556"/>
    <w:rsid w:val="00F73571"/>
    <w:rsid w:val="00F735C4"/>
    <w:rsid w:val="00F735DA"/>
    <w:rsid w:val="00F737AB"/>
    <w:rsid w:val="00F737CC"/>
    <w:rsid w:val="00F7394A"/>
    <w:rsid w:val="00F73A0D"/>
    <w:rsid w:val="00F73A3D"/>
    <w:rsid w:val="00F73B6C"/>
    <w:rsid w:val="00F73CBB"/>
    <w:rsid w:val="00F73DC5"/>
    <w:rsid w:val="00F73E8A"/>
    <w:rsid w:val="00F73EBA"/>
    <w:rsid w:val="00F73F54"/>
    <w:rsid w:val="00F74171"/>
    <w:rsid w:val="00F741C5"/>
    <w:rsid w:val="00F742B6"/>
    <w:rsid w:val="00F743C3"/>
    <w:rsid w:val="00F74423"/>
    <w:rsid w:val="00F7442E"/>
    <w:rsid w:val="00F7456B"/>
    <w:rsid w:val="00F74597"/>
    <w:rsid w:val="00F746DA"/>
    <w:rsid w:val="00F746E7"/>
    <w:rsid w:val="00F74B50"/>
    <w:rsid w:val="00F74D35"/>
    <w:rsid w:val="00F74DD9"/>
    <w:rsid w:val="00F74DE3"/>
    <w:rsid w:val="00F74FC1"/>
    <w:rsid w:val="00F75033"/>
    <w:rsid w:val="00F7508B"/>
    <w:rsid w:val="00F754A7"/>
    <w:rsid w:val="00F75632"/>
    <w:rsid w:val="00F75678"/>
    <w:rsid w:val="00F75783"/>
    <w:rsid w:val="00F757D8"/>
    <w:rsid w:val="00F75963"/>
    <w:rsid w:val="00F75ADC"/>
    <w:rsid w:val="00F75B7E"/>
    <w:rsid w:val="00F75BCB"/>
    <w:rsid w:val="00F75D08"/>
    <w:rsid w:val="00F75F2E"/>
    <w:rsid w:val="00F760E3"/>
    <w:rsid w:val="00F760F3"/>
    <w:rsid w:val="00F76182"/>
    <w:rsid w:val="00F76287"/>
    <w:rsid w:val="00F762B7"/>
    <w:rsid w:val="00F76326"/>
    <w:rsid w:val="00F76591"/>
    <w:rsid w:val="00F7659B"/>
    <w:rsid w:val="00F76765"/>
    <w:rsid w:val="00F76831"/>
    <w:rsid w:val="00F76BE1"/>
    <w:rsid w:val="00F76C0B"/>
    <w:rsid w:val="00F76F08"/>
    <w:rsid w:val="00F77018"/>
    <w:rsid w:val="00F771E0"/>
    <w:rsid w:val="00F77293"/>
    <w:rsid w:val="00F772B4"/>
    <w:rsid w:val="00F7747B"/>
    <w:rsid w:val="00F776A6"/>
    <w:rsid w:val="00F7799D"/>
    <w:rsid w:val="00F779EA"/>
    <w:rsid w:val="00F77AA5"/>
    <w:rsid w:val="00F77CAA"/>
    <w:rsid w:val="00F77CEA"/>
    <w:rsid w:val="00F77D77"/>
    <w:rsid w:val="00F77EBD"/>
    <w:rsid w:val="00F77EF8"/>
    <w:rsid w:val="00F80173"/>
    <w:rsid w:val="00F80353"/>
    <w:rsid w:val="00F803B4"/>
    <w:rsid w:val="00F80709"/>
    <w:rsid w:val="00F8072A"/>
    <w:rsid w:val="00F80852"/>
    <w:rsid w:val="00F8093A"/>
    <w:rsid w:val="00F810A6"/>
    <w:rsid w:val="00F811F5"/>
    <w:rsid w:val="00F81470"/>
    <w:rsid w:val="00F815C1"/>
    <w:rsid w:val="00F8186D"/>
    <w:rsid w:val="00F818DE"/>
    <w:rsid w:val="00F818E7"/>
    <w:rsid w:val="00F818FB"/>
    <w:rsid w:val="00F81A6E"/>
    <w:rsid w:val="00F81D1C"/>
    <w:rsid w:val="00F81DA2"/>
    <w:rsid w:val="00F81E46"/>
    <w:rsid w:val="00F8211F"/>
    <w:rsid w:val="00F82230"/>
    <w:rsid w:val="00F824F2"/>
    <w:rsid w:val="00F82553"/>
    <w:rsid w:val="00F825A9"/>
    <w:rsid w:val="00F825C9"/>
    <w:rsid w:val="00F827AE"/>
    <w:rsid w:val="00F82897"/>
    <w:rsid w:val="00F82A45"/>
    <w:rsid w:val="00F82ACE"/>
    <w:rsid w:val="00F82CBE"/>
    <w:rsid w:val="00F82D7D"/>
    <w:rsid w:val="00F82D95"/>
    <w:rsid w:val="00F82F2B"/>
    <w:rsid w:val="00F8305B"/>
    <w:rsid w:val="00F830E9"/>
    <w:rsid w:val="00F8326F"/>
    <w:rsid w:val="00F834D5"/>
    <w:rsid w:val="00F8370F"/>
    <w:rsid w:val="00F83A03"/>
    <w:rsid w:val="00F83B94"/>
    <w:rsid w:val="00F83BF7"/>
    <w:rsid w:val="00F83D1B"/>
    <w:rsid w:val="00F83E4E"/>
    <w:rsid w:val="00F83FD9"/>
    <w:rsid w:val="00F84021"/>
    <w:rsid w:val="00F8408A"/>
    <w:rsid w:val="00F840DF"/>
    <w:rsid w:val="00F84202"/>
    <w:rsid w:val="00F842A6"/>
    <w:rsid w:val="00F84492"/>
    <w:rsid w:val="00F844EB"/>
    <w:rsid w:val="00F845DB"/>
    <w:rsid w:val="00F845E4"/>
    <w:rsid w:val="00F84654"/>
    <w:rsid w:val="00F84681"/>
    <w:rsid w:val="00F847D5"/>
    <w:rsid w:val="00F84C4F"/>
    <w:rsid w:val="00F84C66"/>
    <w:rsid w:val="00F84D59"/>
    <w:rsid w:val="00F84DA7"/>
    <w:rsid w:val="00F84F29"/>
    <w:rsid w:val="00F850BF"/>
    <w:rsid w:val="00F850FE"/>
    <w:rsid w:val="00F851CA"/>
    <w:rsid w:val="00F8524E"/>
    <w:rsid w:val="00F8527F"/>
    <w:rsid w:val="00F85366"/>
    <w:rsid w:val="00F8558C"/>
    <w:rsid w:val="00F857E5"/>
    <w:rsid w:val="00F858DA"/>
    <w:rsid w:val="00F858EA"/>
    <w:rsid w:val="00F85B21"/>
    <w:rsid w:val="00F85BD5"/>
    <w:rsid w:val="00F85C29"/>
    <w:rsid w:val="00F85CF1"/>
    <w:rsid w:val="00F85D9F"/>
    <w:rsid w:val="00F85EEA"/>
    <w:rsid w:val="00F85FD9"/>
    <w:rsid w:val="00F85FE5"/>
    <w:rsid w:val="00F8600E"/>
    <w:rsid w:val="00F860B9"/>
    <w:rsid w:val="00F862D7"/>
    <w:rsid w:val="00F8638D"/>
    <w:rsid w:val="00F86409"/>
    <w:rsid w:val="00F8641B"/>
    <w:rsid w:val="00F864B1"/>
    <w:rsid w:val="00F864F4"/>
    <w:rsid w:val="00F86611"/>
    <w:rsid w:val="00F866CD"/>
    <w:rsid w:val="00F86707"/>
    <w:rsid w:val="00F869A4"/>
    <w:rsid w:val="00F86A1D"/>
    <w:rsid w:val="00F86ABE"/>
    <w:rsid w:val="00F86B8A"/>
    <w:rsid w:val="00F86CB2"/>
    <w:rsid w:val="00F86E42"/>
    <w:rsid w:val="00F86E56"/>
    <w:rsid w:val="00F86E93"/>
    <w:rsid w:val="00F86EE9"/>
    <w:rsid w:val="00F86F7F"/>
    <w:rsid w:val="00F8706B"/>
    <w:rsid w:val="00F87198"/>
    <w:rsid w:val="00F871CB"/>
    <w:rsid w:val="00F87239"/>
    <w:rsid w:val="00F873D8"/>
    <w:rsid w:val="00F8754D"/>
    <w:rsid w:val="00F8757C"/>
    <w:rsid w:val="00F876D0"/>
    <w:rsid w:val="00F87821"/>
    <w:rsid w:val="00F87B25"/>
    <w:rsid w:val="00F87BC2"/>
    <w:rsid w:val="00F87D7C"/>
    <w:rsid w:val="00F87DE2"/>
    <w:rsid w:val="00F90105"/>
    <w:rsid w:val="00F902E5"/>
    <w:rsid w:val="00F90436"/>
    <w:rsid w:val="00F9050A"/>
    <w:rsid w:val="00F9051A"/>
    <w:rsid w:val="00F905D3"/>
    <w:rsid w:val="00F9061F"/>
    <w:rsid w:val="00F90689"/>
    <w:rsid w:val="00F9074A"/>
    <w:rsid w:val="00F908D6"/>
    <w:rsid w:val="00F908D9"/>
    <w:rsid w:val="00F909CB"/>
    <w:rsid w:val="00F90AE0"/>
    <w:rsid w:val="00F90B1F"/>
    <w:rsid w:val="00F90D77"/>
    <w:rsid w:val="00F90E84"/>
    <w:rsid w:val="00F91107"/>
    <w:rsid w:val="00F91152"/>
    <w:rsid w:val="00F91162"/>
    <w:rsid w:val="00F91184"/>
    <w:rsid w:val="00F911C8"/>
    <w:rsid w:val="00F9126E"/>
    <w:rsid w:val="00F913B9"/>
    <w:rsid w:val="00F916AC"/>
    <w:rsid w:val="00F91831"/>
    <w:rsid w:val="00F9196B"/>
    <w:rsid w:val="00F91B70"/>
    <w:rsid w:val="00F91ECF"/>
    <w:rsid w:val="00F91F3F"/>
    <w:rsid w:val="00F92131"/>
    <w:rsid w:val="00F924C3"/>
    <w:rsid w:val="00F925A4"/>
    <w:rsid w:val="00F92624"/>
    <w:rsid w:val="00F92651"/>
    <w:rsid w:val="00F928C0"/>
    <w:rsid w:val="00F929CE"/>
    <w:rsid w:val="00F92B3F"/>
    <w:rsid w:val="00F92CB8"/>
    <w:rsid w:val="00F9325F"/>
    <w:rsid w:val="00F9345D"/>
    <w:rsid w:val="00F934D4"/>
    <w:rsid w:val="00F93500"/>
    <w:rsid w:val="00F936B6"/>
    <w:rsid w:val="00F9387A"/>
    <w:rsid w:val="00F939DC"/>
    <w:rsid w:val="00F939F4"/>
    <w:rsid w:val="00F93AAF"/>
    <w:rsid w:val="00F93B5C"/>
    <w:rsid w:val="00F93C0F"/>
    <w:rsid w:val="00F93CA3"/>
    <w:rsid w:val="00F93CC6"/>
    <w:rsid w:val="00F93CE5"/>
    <w:rsid w:val="00F94021"/>
    <w:rsid w:val="00F94115"/>
    <w:rsid w:val="00F943ED"/>
    <w:rsid w:val="00F943F7"/>
    <w:rsid w:val="00F94494"/>
    <w:rsid w:val="00F94657"/>
    <w:rsid w:val="00F94801"/>
    <w:rsid w:val="00F94A8B"/>
    <w:rsid w:val="00F94C1C"/>
    <w:rsid w:val="00F94C57"/>
    <w:rsid w:val="00F94C5F"/>
    <w:rsid w:val="00F94C78"/>
    <w:rsid w:val="00F94CE2"/>
    <w:rsid w:val="00F94E3B"/>
    <w:rsid w:val="00F94EBC"/>
    <w:rsid w:val="00F94EF9"/>
    <w:rsid w:val="00F94F4A"/>
    <w:rsid w:val="00F952B9"/>
    <w:rsid w:val="00F9534D"/>
    <w:rsid w:val="00F9536F"/>
    <w:rsid w:val="00F95401"/>
    <w:rsid w:val="00F9541F"/>
    <w:rsid w:val="00F955DF"/>
    <w:rsid w:val="00F955E4"/>
    <w:rsid w:val="00F956CF"/>
    <w:rsid w:val="00F95970"/>
    <w:rsid w:val="00F959E9"/>
    <w:rsid w:val="00F95AEF"/>
    <w:rsid w:val="00F95B45"/>
    <w:rsid w:val="00F95BCE"/>
    <w:rsid w:val="00F95CAF"/>
    <w:rsid w:val="00F95EF6"/>
    <w:rsid w:val="00F95F06"/>
    <w:rsid w:val="00F95F68"/>
    <w:rsid w:val="00F960EF"/>
    <w:rsid w:val="00F9612D"/>
    <w:rsid w:val="00F96218"/>
    <w:rsid w:val="00F964E5"/>
    <w:rsid w:val="00F964F2"/>
    <w:rsid w:val="00F966A8"/>
    <w:rsid w:val="00F968AA"/>
    <w:rsid w:val="00F968B5"/>
    <w:rsid w:val="00F969C5"/>
    <w:rsid w:val="00F96C87"/>
    <w:rsid w:val="00F96E15"/>
    <w:rsid w:val="00F96F53"/>
    <w:rsid w:val="00F97112"/>
    <w:rsid w:val="00F97252"/>
    <w:rsid w:val="00F97255"/>
    <w:rsid w:val="00F97375"/>
    <w:rsid w:val="00F97554"/>
    <w:rsid w:val="00F97583"/>
    <w:rsid w:val="00F97585"/>
    <w:rsid w:val="00F97639"/>
    <w:rsid w:val="00F97785"/>
    <w:rsid w:val="00F977DA"/>
    <w:rsid w:val="00F97895"/>
    <w:rsid w:val="00F979C4"/>
    <w:rsid w:val="00F97AEC"/>
    <w:rsid w:val="00F97E4A"/>
    <w:rsid w:val="00FA0135"/>
    <w:rsid w:val="00FA0340"/>
    <w:rsid w:val="00FA03F7"/>
    <w:rsid w:val="00FA0501"/>
    <w:rsid w:val="00FA07E0"/>
    <w:rsid w:val="00FA08D0"/>
    <w:rsid w:val="00FA08D4"/>
    <w:rsid w:val="00FA0A76"/>
    <w:rsid w:val="00FA0CD7"/>
    <w:rsid w:val="00FA0CDF"/>
    <w:rsid w:val="00FA0E59"/>
    <w:rsid w:val="00FA1084"/>
    <w:rsid w:val="00FA1149"/>
    <w:rsid w:val="00FA1281"/>
    <w:rsid w:val="00FA12DD"/>
    <w:rsid w:val="00FA1483"/>
    <w:rsid w:val="00FA148F"/>
    <w:rsid w:val="00FA14D6"/>
    <w:rsid w:val="00FA1B8B"/>
    <w:rsid w:val="00FA1D84"/>
    <w:rsid w:val="00FA1E62"/>
    <w:rsid w:val="00FA1EBA"/>
    <w:rsid w:val="00FA22B2"/>
    <w:rsid w:val="00FA2366"/>
    <w:rsid w:val="00FA2458"/>
    <w:rsid w:val="00FA25B1"/>
    <w:rsid w:val="00FA2BCE"/>
    <w:rsid w:val="00FA2C90"/>
    <w:rsid w:val="00FA2E69"/>
    <w:rsid w:val="00FA2F99"/>
    <w:rsid w:val="00FA2FCB"/>
    <w:rsid w:val="00FA309A"/>
    <w:rsid w:val="00FA312E"/>
    <w:rsid w:val="00FA3178"/>
    <w:rsid w:val="00FA3225"/>
    <w:rsid w:val="00FA3493"/>
    <w:rsid w:val="00FA3685"/>
    <w:rsid w:val="00FA3AC0"/>
    <w:rsid w:val="00FA3B6D"/>
    <w:rsid w:val="00FA3BAD"/>
    <w:rsid w:val="00FA3C2C"/>
    <w:rsid w:val="00FA3C6F"/>
    <w:rsid w:val="00FA3D97"/>
    <w:rsid w:val="00FA3EAF"/>
    <w:rsid w:val="00FA3F52"/>
    <w:rsid w:val="00FA4114"/>
    <w:rsid w:val="00FA43BB"/>
    <w:rsid w:val="00FA4420"/>
    <w:rsid w:val="00FA4806"/>
    <w:rsid w:val="00FA4942"/>
    <w:rsid w:val="00FA49FA"/>
    <w:rsid w:val="00FA4B05"/>
    <w:rsid w:val="00FA4BB9"/>
    <w:rsid w:val="00FA4C49"/>
    <w:rsid w:val="00FA4CA6"/>
    <w:rsid w:val="00FA4CD6"/>
    <w:rsid w:val="00FA4D6C"/>
    <w:rsid w:val="00FA5356"/>
    <w:rsid w:val="00FA5584"/>
    <w:rsid w:val="00FA56AA"/>
    <w:rsid w:val="00FA56EC"/>
    <w:rsid w:val="00FA575D"/>
    <w:rsid w:val="00FA57E5"/>
    <w:rsid w:val="00FA592E"/>
    <w:rsid w:val="00FA5BD2"/>
    <w:rsid w:val="00FA5E2B"/>
    <w:rsid w:val="00FA5E5D"/>
    <w:rsid w:val="00FA5EA3"/>
    <w:rsid w:val="00FA5ECF"/>
    <w:rsid w:val="00FA605E"/>
    <w:rsid w:val="00FA6288"/>
    <w:rsid w:val="00FA62B4"/>
    <w:rsid w:val="00FA63BA"/>
    <w:rsid w:val="00FA63D3"/>
    <w:rsid w:val="00FA63E6"/>
    <w:rsid w:val="00FA63FF"/>
    <w:rsid w:val="00FA640D"/>
    <w:rsid w:val="00FA647A"/>
    <w:rsid w:val="00FA67F1"/>
    <w:rsid w:val="00FA6848"/>
    <w:rsid w:val="00FA6886"/>
    <w:rsid w:val="00FA68FC"/>
    <w:rsid w:val="00FA6A1B"/>
    <w:rsid w:val="00FA6AA4"/>
    <w:rsid w:val="00FA6D79"/>
    <w:rsid w:val="00FA6E2E"/>
    <w:rsid w:val="00FA6F3E"/>
    <w:rsid w:val="00FA70AC"/>
    <w:rsid w:val="00FA7160"/>
    <w:rsid w:val="00FA725B"/>
    <w:rsid w:val="00FA72B2"/>
    <w:rsid w:val="00FA732E"/>
    <w:rsid w:val="00FA7348"/>
    <w:rsid w:val="00FA7396"/>
    <w:rsid w:val="00FA75AF"/>
    <w:rsid w:val="00FA7658"/>
    <w:rsid w:val="00FA7672"/>
    <w:rsid w:val="00FA76B3"/>
    <w:rsid w:val="00FA783A"/>
    <w:rsid w:val="00FA7990"/>
    <w:rsid w:val="00FA7B06"/>
    <w:rsid w:val="00FA7C58"/>
    <w:rsid w:val="00FA7CE3"/>
    <w:rsid w:val="00FA7D3B"/>
    <w:rsid w:val="00FA7DF1"/>
    <w:rsid w:val="00FB004D"/>
    <w:rsid w:val="00FB005D"/>
    <w:rsid w:val="00FB009B"/>
    <w:rsid w:val="00FB027C"/>
    <w:rsid w:val="00FB03EA"/>
    <w:rsid w:val="00FB0584"/>
    <w:rsid w:val="00FB061D"/>
    <w:rsid w:val="00FB0623"/>
    <w:rsid w:val="00FB08F9"/>
    <w:rsid w:val="00FB0979"/>
    <w:rsid w:val="00FB09EC"/>
    <w:rsid w:val="00FB0AA6"/>
    <w:rsid w:val="00FB0DAB"/>
    <w:rsid w:val="00FB0F66"/>
    <w:rsid w:val="00FB0FA6"/>
    <w:rsid w:val="00FB0FEF"/>
    <w:rsid w:val="00FB1007"/>
    <w:rsid w:val="00FB115A"/>
    <w:rsid w:val="00FB142C"/>
    <w:rsid w:val="00FB147F"/>
    <w:rsid w:val="00FB17F3"/>
    <w:rsid w:val="00FB1839"/>
    <w:rsid w:val="00FB18BD"/>
    <w:rsid w:val="00FB1A09"/>
    <w:rsid w:val="00FB1AC5"/>
    <w:rsid w:val="00FB1B4A"/>
    <w:rsid w:val="00FB1C24"/>
    <w:rsid w:val="00FB1D7D"/>
    <w:rsid w:val="00FB1DC3"/>
    <w:rsid w:val="00FB1F3F"/>
    <w:rsid w:val="00FB255C"/>
    <w:rsid w:val="00FB2698"/>
    <w:rsid w:val="00FB281F"/>
    <w:rsid w:val="00FB2A08"/>
    <w:rsid w:val="00FB2AEE"/>
    <w:rsid w:val="00FB2BB5"/>
    <w:rsid w:val="00FB2CAB"/>
    <w:rsid w:val="00FB2D13"/>
    <w:rsid w:val="00FB2DD8"/>
    <w:rsid w:val="00FB2EAC"/>
    <w:rsid w:val="00FB2F3B"/>
    <w:rsid w:val="00FB2F95"/>
    <w:rsid w:val="00FB2FE0"/>
    <w:rsid w:val="00FB3067"/>
    <w:rsid w:val="00FB30DB"/>
    <w:rsid w:val="00FB31A6"/>
    <w:rsid w:val="00FB352F"/>
    <w:rsid w:val="00FB3563"/>
    <w:rsid w:val="00FB35ED"/>
    <w:rsid w:val="00FB3771"/>
    <w:rsid w:val="00FB379D"/>
    <w:rsid w:val="00FB3877"/>
    <w:rsid w:val="00FB3A4A"/>
    <w:rsid w:val="00FB3AA0"/>
    <w:rsid w:val="00FB3B0C"/>
    <w:rsid w:val="00FB3B42"/>
    <w:rsid w:val="00FB3CAF"/>
    <w:rsid w:val="00FB3D3C"/>
    <w:rsid w:val="00FB409F"/>
    <w:rsid w:val="00FB40A2"/>
    <w:rsid w:val="00FB41BC"/>
    <w:rsid w:val="00FB41C5"/>
    <w:rsid w:val="00FB420B"/>
    <w:rsid w:val="00FB4260"/>
    <w:rsid w:val="00FB42C7"/>
    <w:rsid w:val="00FB45E9"/>
    <w:rsid w:val="00FB46A9"/>
    <w:rsid w:val="00FB4719"/>
    <w:rsid w:val="00FB4A67"/>
    <w:rsid w:val="00FB4B20"/>
    <w:rsid w:val="00FB4BFE"/>
    <w:rsid w:val="00FB4C65"/>
    <w:rsid w:val="00FB4D5F"/>
    <w:rsid w:val="00FB4F19"/>
    <w:rsid w:val="00FB51C2"/>
    <w:rsid w:val="00FB527D"/>
    <w:rsid w:val="00FB5413"/>
    <w:rsid w:val="00FB5639"/>
    <w:rsid w:val="00FB563A"/>
    <w:rsid w:val="00FB566A"/>
    <w:rsid w:val="00FB59F4"/>
    <w:rsid w:val="00FB5AB7"/>
    <w:rsid w:val="00FB5FDE"/>
    <w:rsid w:val="00FB60EB"/>
    <w:rsid w:val="00FB6212"/>
    <w:rsid w:val="00FB62F6"/>
    <w:rsid w:val="00FB635E"/>
    <w:rsid w:val="00FB6375"/>
    <w:rsid w:val="00FB638C"/>
    <w:rsid w:val="00FB646C"/>
    <w:rsid w:val="00FB64C0"/>
    <w:rsid w:val="00FB650E"/>
    <w:rsid w:val="00FB66B5"/>
    <w:rsid w:val="00FB66D9"/>
    <w:rsid w:val="00FB689D"/>
    <w:rsid w:val="00FB68A4"/>
    <w:rsid w:val="00FB68C7"/>
    <w:rsid w:val="00FB68E3"/>
    <w:rsid w:val="00FB699B"/>
    <w:rsid w:val="00FB69FF"/>
    <w:rsid w:val="00FB6A89"/>
    <w:rsid w:val="00FB6CB5"/>
    <w:rsid w:val="00FB6E7B"/>
    <w:rsid w:val="00FB6F22"/>
    <w:rsid w:val="00FB6F5E"/>
    <w:rsid w:val="00FB7066"/>
    <w:rsid w:val="00FB710F"/>
    <w:rsid w:val="00FB7179"/>
    <w:rsid w:val="00FB732A"/>
    <w:rsid w:val="00FB7582"/>
    <w:rsid w:val="00FB75C9"/>
    <w:rsid w:val="00FB75E1"/>
    <w:rsid w:val="00FB77AE"/>
    <w:rsid w:val="00FB7814"/>
    <w:rsid w:val="00FB783E"/>
    <w:rsid w:val="00FB784C"/>
    <w:rsid w:val="00FB7933"/>
    <w:rsid w:val="00FB7A4D"/>
    <w:rsid w:val="00FB7A67"/>
    <w:rsid w:val="00FB7A7F"/>
    <w:rsid w:val="00FB7AC7"/>
    <w:rsid w:val="00FB7F01"/>
    <w:rsid w:val="00FB7F04"/>
    <w:rsid w:val="00FC003D"/>
    <w:rsid w:val="00FC01CF"/>
    <w:rsid w:val="00FC0242"/>
    <w:rsid w:val="00FC04CB"/>
    <w:rsid w:val="00FC0502"/>
    <w:rsid w:val="00FC066C"/>
    <w:rsid w:val="00FC0713"/>
    <w:rsid w:val="00FC0BE4"/>
    <w:rsid w:val="00FC0C16"/>
    <w:rsid w:val="00FC0D2D"/>
    <w:rsid w:val="00FC0F6F"/>
    <w:rsid w:val="00FC10AB"/>
    <w:rsid w:val="00FC113F"/>
    <w:rsid w:val="00FC11BB"/>
    <w:rsid w:val="00FC1374"/>
    <w:rsid w:val="00FC13B8"/>
    <w:rsid w:val="00FC13E1"/>
    <w:rsid w:val="00FC148D"/>
    <w:rsid w:val="00FC156C"/>
    <w:rsid w:val="00FC15B7"/>
    <w:rsid w:val="00FC15E5"/>
    <w:rsid w:val="00FC1775"/>
    <w:rsid w:val="00FC17CF"/>
    <w:rsid w:val="00FC1A08"/>
    <w:rsid w:val="00FC1ACC"/>
    <w:rsid w:val="00FC1C47"/>
    <w:rsid w:val="00FC205E"/>
    <w:rsid w:val="00FC219D"/>
    <w:rsid w:val="00FC22C2"/>
    <w:rsid w:val="00FC22D2"/>
    <w:rsid w:val="00FC23AE"/>
    <w:rsid w:val="00FC24FD"/>
    <w:rsid w:val="00FC26C5"/>
    <w:rsid w:val="00FC2A15"/>
    <w:rsid w:val="00FC2B5B"/>
    <w:rsid w:val="00FC2BF5"/>
    <w:rsid w:val="00FC2C50"/>
    <w:rsid w:val="00FC2C8A"/>
    <w:rsid w:val="00FC2D6C"/>
    <w:rsid w:val="00FC2ED0"/>
    <w:rsid w:val="00FC30AC"/>
    <w:rsid w:val="00FC312A"/>
    <w:rsid w:val="00FC3194"/>
    <w:rsid w:val="00FC32D6"/>
    <w:rsid w:val="00FC33C7"/>
    <w:rsid w:val="00FC35B8"/>
    <w:rsid w:val="00FC3649"/>
    <w:rsid w:val="00FC388F"/>
    <w:rsid w:val="00FC3B78"/>
    <w:rsid w:val="00FC3C99"/>
    <w:rsid w:val="00FC3D84"/>
    <w:rsid w:val="00FC3EF9"/>
    <w:rsid w:val="00FC40FA"/>
    <w:rsid w:val="00FC4255"/>
    <w:rsid w:val="00FC425C"/>
    <w:rsid w:val="00FC44C5"/>
    <w:rsid w:val="00FC4516"/>
    <w:rsid w:val="00FC4615"/>
    <w:rsid w:val="00FC4708"/>
    <w:rsid w:val="00FC4770"/>
    <w:rsid w:val="00FC4846"/>
    <w:rsid w:val="00FC48C0"/>
    <w:rsid w:val="00FC49A3"/>
    <w:rsid w:val="00FC4A3E"/>
    <w:rsid w:val="00FC4B6B"/>
    <w:rsid w:val="00FC4BB3"/>
    <w:rsid w:val="00FC4C2A"/>
    <w:rsid w:val="00FC4C3E"/>
    <w:rsid w:val="00FC4D69"/>
    <w:rsid w:val="00FC5158"/>
    <w:rsid w:val="00FC539D"/>
    <w:rsid w:val="00FC53CA"/>
    <w:rsid w:val="00FC59B2"/>
    <w:rsid w:val="00FC5AEB"/>
    <w:rsid w:val="00FC5B66"/>
    <w:rsid w:val="00FC5E10"/>
    <w:rsid w:val="00FC5E3B"/>
    <w:rsid w:val="00FC5E55"/>
    <w:rsid w:val="00FC5E58"/>
    <w:rsid w:val="00FC5E72"/>
    <w:rsid w:val="00FC60D7"/>
    <w:rsid w:val="00FC61D5"/>
    <w:rsid w:val="00FC63A7"/>
    <w:rsid w:val="00FC6533"/>
    <w:rsid w:val="00FC6551"/>
    <w:rsid w:val="00FC6658"/>
    <w:rsid w:val="00FC67E2"/>
    <w:rsid w:val="00FC68CC"/>
    <w:rsid w:val="00FC6908"/>
    <w:rsid w:val="00FC6AC7"/>
    <w:rsid w:val="00FC6B8A"/>
    <w:rsid w:val="00FC6C57"/>
    <w:rsid w:val="00FC70BF"/>
    <w:rsid w:val="00FC70F2"/>
    <w:rsid w:val="00FC7189"/>
    <w:rsid w:val="00FC7192"/>
    <w:rsid w:val="00FC76EA"/>
    <w:rsid w:val="00FC7704"/>
    <w:rsid w:val="00FC77BB"/>
    <w:rsid w:val="00FC7F9C"/>
    <w:rsid w:val="00FD004B"/>
    <w:rsid w:val="00FD02B1"/>
    <w:rsid w:val="00FD044B"/>
    <w:rsid w:val="00FD0514"/>
    <w:rsid w:val="00FD07C9"/>
    <w:rsid w:val="00FD083E"/>
    <w:rsid w:val="00FD0C2C"/>
    <w:rsid w:val="00FD0D66"/>
    <w:rsid w:val="00FD0E39"/>
    <w:rsid w:val="00FD0E3D"/>
    <w:rsid w:val="00FD0E55"/>
    <w:rsid w:val="00FD0F30"/>
    <w:rsid w:val="00FD10A8"/>
    <w:rsid w:val="00FD10E3"/>
    <w:rsid w:val="00FD1136"/>
    <w:rsid w:val="00FD1475"/>
    <w:rsid w:val="00FD1557"/>
    <w:rsid w:val="00FD1692"/>
    <w:rsid w:val="00FD16B3"/>
    <w:rsid w:val="00FD172F"/>
    <w:rsid w:val="00FD17FE"/>
    <w:rsid w:val="00FD199F"/>
    <w:rsid w:val="00FD19CD"/>
    <w:rsid w:val="00FD19F4"/>
    <w:rsid w:val="00FD1A43"/>
    <w:rsid w:val="00FD1A85"/>
    <w:rsid w:val="00FD1ADE"/>
    <w:rsid w:val="00FD1B04"/>
    <w:rsid w:val="00FD1E2C"/>
    <w:rsid w:val="00FD1FF0"/>
    <w:rsid w:val="00FD2186"/>
    <w:rsid w:val="00FD220D"/>
    <w:rsid w:val="00FD22DA"/>
    <w:rsid w:val="00FD2508"/>
    <w:rsid w:val="00FD265A"/>
    <w:rsid w:val="00FD28D2"/>
    <w:rsid w:val="00FD2B2B"/>
    <w:rsid w:val="00FD2C0B"/>
    <w:rsid w:val="00FD2D2D"/>
    <w:rsid w:val="00FD2E28"/>
    <w:rsid w:val="00FD2F6B"/>
    <w:rsid w:val="00FD332A"/>
    <w:rsid w:val="00FD35DC"/>
    <w:rsid w:val="00FD3624"/>
    <w:rsid w:val="00FD3743"/>
    <w:rsid w:val="00FD3993"/>
    <w:rsid w:val="00FD3A93"/>
    <w:rsid w:val="00FD3AD7"/>
    <w:rsid w:val="00FD3B05"/>
    <w:rsid w:val="00FD3B18"/>
    <w:rsid w:val="00FD3B6A"/>
    <w:rsid w:val="00FD3BF0"/>
    <w:rsid w:val="00FD3C9B"/>
    <w:rsid w:val="00FD3D48"/>
    <w:rsid w:val="00FD3DCD"/>
    <w:rsid w:val="00FD3E78"/>
    <w:rsid w:val="00FD4189"/>
    <w:rsid w:val="00FD41E0"/>
    <w:rsid w:val="00FD434F"/>
    <w:rsid w:val="00FD4449"/>
    <w:rsid w:val="00FD452C"/>
    <w:rsid w:val="00FD458F"/>
    <w:rsid w:val="00FD45B3"/>
    <w:rsid w:val="00FD4A2C"/>
    <w:rsid w:val="00FD4A5A"/>
    <w:rsid w:val="00FD4A7C"/>
    <w:rsid w:val="00FD4A8A"/>
    <w:rsid w:val="00FD4BCC"/>
    <w:rsid w:val="00FD4CA7"/>
    <w:rsid w:val="00FD5115"/>
    <w:rsid w:val="00FD5354"/>
    <w:rsid w:val="00FD538F"/>
    <w:rsid w:val="00FD5410"/>
    <w:rsid w:val="00FD5484"/>
    <w:rsid w:val="00FD5525"/>
    <w:rsid w:val="00FD55D0"/>
    <w:rsid w:val="00FD5630"/>
    <w:rsid w:val="00FD57AB"/>
    <w:rsid w:val="00FD596C"/>
    <w:rsid w:val="00FD59EC"/>
    <w:rsid w:val="00FD5A3F"/>
    <w:rsid w:val="00FD5A40"/>
    <w:rsid w:val="00FD5B27"/>
    <w:rsid w:val="00FD5BA0"/>
    <w:rsid w:val="00FD5BA8"/>
    <w:rsid w:val="00FD5C2A"/>
    <w:rsid w:val="00FD5C46"/>
    <w:rsid w:val="00FD5DBF"/>
    <w:rsid w:val="00FD5FC1"/>
    <w:rsid w:val="00FD62D0"/>
    <w:rsid w:val="00FD636A"/>
    <w:rsid w:val="00FD642D"/>
    <w:rsid w:val="00FD64AF"/>
    <w:rsid w:val="00FD64B6"/>
    <w:rsid w:val="00FD6561"/>
    <w:rsid w:val="00FD6668"/>
    <w:rsid w:val="00FD667A"/>
    <w:rsid w:val="00FD67EA"/>
    <w:rsid w:val="00FD6CD2"/>
    <w:rsid w:val="00FD6CF4"/>
    <w:rsid w:val="00FD6D77"/>
    <w:rsid w:val="00FD720E"/>
    <w:rsid w:val="00FD737C"/>
    <w:rsid w:val="00FD73B7"/>
    <w:rsid w:val="00FD73F4"/>
    <w:rsid w:val="00FD7481"/>
    <w:rsid w:val="00FD75AA"/>
    <w:rsid w:val="00FD75FA"/>
    <w:rsid w:val="00FD7611"/>
    <w:rsid w:val="00FD76DB"/>
    <w:rsid w:val="00FD7711"/>
    <w:rsid w:val="00FD783D"/>
    <w:rsid w:val="00FD79AF"/>
    <w:rsid w:val="00FD79F0"/>
    <w:rsid w:val="00FD7A1A"/>
    <w:rsid w:val="00FD7ADA"/>
    <w:rsid w:val="00FD7E05"/>
    <w:rsid w:val="00FD7FAC"/>
    <w:rsid w:val="00FE0129"/>
    <w:rsid w:val="00FE0257"/>
    <w:rsid w:val="00FE0286"/>
    <w:rsid w:val="00FE0313"/>
    <w:rsid w:val="00FE0314"/>
    <w:rsid w:val="00FE031F"/>
    <w:rsid w:val="00FE0457"/>
    <w:rsid w:val="00FE0490"/>
    <w:rsid w:val="00FE04DB"/>
    <w:rsid w:val="00FE0810"/>
    <w:rsid w:val="00FE0817"/>
    <w:rsid w:val="00FE092C"/>
    <w:rsid w:val="00FE0985"/>
    <w:rsid w:val="00FE0B56"/>
    <w:rsid w:val="00FE0F88"/>
    <w:rsid w:val="00FE1032"/>
    <w:rsid w:val="00FE107A"/>
    <w:rsid w:val="00FE108B"/>
    <w:rsid w:val="00FE11C7"/>
    <w:rsid w:val="00FE11EF"/>
    <w:rsid w:val="00FE12D3"/>
    <w:rsid w:val="00FE130F"/>
    <w:rsid w:val="00FE1546"/>
    <w:rsid w:val="00FE1549"/>
    <w:rsid w:val="00FE162F"/>
    <w:rsid w:val="00FE16A4"/>
    <w:rsid w:val="00FE16B9"/>
    <w:rsid w:val="00FE16F2"/>
    <w:rsid w:val="00FE1710"/>
    <w:rsid w:val="00FE17EA"/>
    <w:rsid w:val="00FE1817"/>
    <w:rsid w:val="00FE185B"/>
    <w:rsid w:val="00FE19C0"/>
    <w:rsid w:val="00FE1A99"/>
    <w:rsid w:val="00FE1C42"/>
    <w:rsid w:val="00FE1D3E"/>
    <w:rsid w:val="00FE1EA6"/>
    <w:rsid w:val="00FE1FBB"/>
    <w:rsid w:val="00FE237F"/>
    <w:rsid w:val="00FE2493"/>
    <w:rsid w:val="00FE24E2"/>
    <w:rsid w:val="00FE2564"/>
    <w:rsid w:val="00FE258C"/>
    <w:rsid w:val="00FE29AB"/>
    <w:rsid w:val="00FE2A3C"/>
    <w:rsid w:val="00FE2A78"/>
    <w:rsid w:val="00FE2ACD"/>
    <w:rsid w:val="00FE2C83"/>
    <w:rsid w:val="00FE2C85"/>
    <w:rsid w:val="00FE2E2C"/>
    <w:rsid w:val="00FE2E70"/>
    <w:rsid w:val="00FE2ED1"/>
    <w:rsid w:val="00FE2F69"/>
    <w:rsid w:val="00FE2F8B"/>
    <w:rsid w:val="00FE2FA0"/>
    <w:rsid w:val="00FE307D"/>
    <w:rsid w:val="00FE3135"/>
    <w:rsid w:val="00FE316E"/>
    <w:rsid w:val="00FE31D8"/>
    <w:rsid w:val="00FE33F8"/>
    <w:rsid w:val="00FE3548"/>
    <w:rsid w:val="00FE355A"/>
    <w:rsid w:val="00FE3618"/>
    <w:rsid w:val="00FE36EC"/>
    <w:rsid w:val="00FE379D"/>
    <w:rsid w:val="00FE39E1"/>
    <w:rsid w:val="00FE3B8C"/>
    <w:rsid w:val="00FE3BC3"/>
    <w:rsid w:val="00FE3C10"/>
    <w:rsid w:val="00FE3CE3"/>
    <w:rsid w:val="00FE3D39"/>
    <w:rsid w:val="00FE3E68"/>
    <w:rsid w:val="00FE3EE0"/>
    <w:rsid w:val="00FE3F04"/>
    <w:rsid w:val="00FE3F9B"/>
    <w:rsid w:val="00FE3FC9"/>
    <w:rsid w:val="00FE4047"/>
    <w:rsid w:val="00FE4077"/>
    <w:rsid w:val="00FE42D7"/>
    <w:rsid w:val="00FE42DA"/>
    <w:rsid w:val="00FE43B8"/>
    <w:rsid w:val="00FE44DE"/>
    <w:rsid w:val="00FE4528"/>
    <w:rsid w:val="00FE455B"/>
    <w:rsid w:val="00FE4611"/>
    <w:rsid w:val="00FE483C"/>
    <w:rsid w:val="00FE488C"/>
    <w:rsid w:val="00FE4ACE"/>
    <w:rsid w:val="00FE4C03"/>
    <w:rsid w:val="00FE4D23"/>
    <w:rsid w:val="00FE4EA0"/>
    <w:rsid w:val="00FE4EE4"/>
    <w:rsid w:val="00FE5002"/>
    <w:rsid w:val="00FE5282"/>
    <w:rsid w:val="00FE52B5"/>
    <w:rsid w:val="00FE5328"/>
    <w:rsid w:val="00FE54B8"/>
    <w:rsid w:val="00FE55D1"/>
    <w:rsid w:val="00FE56C9"/>
    <w:rsid w:val="00FE5732"/>
    <w:rsid w:val="00FE573D"/>
    <w:rsid w:val="00FE57E0"/>
    <w:rsid w:val="00FE59AA"/>
    <w:rsid w:val="00FE5AF9"/>
    <w:rsid w:val="00FE5B0C"/>
    <w:rsid w:val="00FE5B28"/>
    <w:rsid w:val="00FE5C0E"/>
    <w:rsid w:val="00FE5CCB"/>
    <w:rsid w:val="00FE5CEB"/>
    <w:rsid w:val="00FE5D02"/>
    <w:rsid w:val="00FE5D9F"/>
    <w:rsid w:val="00FE5F2A"/>
    <w:rsid w:val="00FE6037"/>
    <w:rsid w:val="00FE6068"/>
    <w:rsid w:val="00FE607B"/>
    <w:rsid w:val="00FE60F8"/>
    <w:rsid w:val="00FE6207"/>
    <w:rsid w:val="00FE62A2"/>
    <w:rsid w:val="00FE6350"/>
    <w:rsid w:val="00FE6792"/>
    <w:rsid w:val="00FE67B5"/>
    <w:rsid w:val="00FE67E1"/>
    <w:rsid w:val="00FE696C"/>
    <w:rsid w:val="00FE6A87"/>
    <w:rsid w:val="00FE6BB3"/>
    <w:rsid w:val="00FE6CE8"/>
    <w:rsid w:val="00FE6D77"/>
    <w:rsid w:val="00FE6EBE"/>
    <w:rsid w:val="00FE6F60"/>
    <w:rsid w:val="00FE6FDB"/>
    <w:rsid w:val="00FE73E6"/>
    <w:rsid w:val="00FE753B"/>
    <w:rsid w:val="00FE756F"/>
    <w:rsid w:val="00FE76A9"/>
    <w:rsid w:val="00FE77AD"/>
    <w:rsid w:val="00FE77BB"/>
    <w:rsid w:val="00FE78A8"/>
    <w:rsid w:val="00FE79E3"/>
    <w:rsid w:val="00FE7AB3"/>
    <w:rsid w:val="00FE7C17"/>
    <w:rsid w:val="00FE7C26"/>
    <w:rsid w:val="00FE7C98"/>
    <w:rsid w:val="00FE7CE6"/>
    <w:rsid w:val="00FE7D31"/>
    <w:rsid w:val="00FE7D63"/>
    <w:rsid w:val="00FE7DD2"/>
    <w:rsid w:val="00FE7E0D"/>
    <w:rsid w:val="00FF00EF"/>
    <w:rsid w:val="00FF01C9"/>
    <w:rsid w:val="00FF0522"/>
    <w:rsid w:val="00FF0579"/>
    <w:rsid w:val="00FF05C3"/>
    <w:rsid w:val="00FF0749"/>
    <w:rsid w:val="00FF08D9"/>
    <w:rsid w:val="00FF0B36"/>
    <w:rsid w:val="00FF0EB6"/>
    <w:rsid w:val="00FF0F20"/>
    <w:rsid w:val="00FF1136"/>
    <w:rsid w:val="00FF118B"/>
    <w:rsid w:val="00FF1192"/>
    <w:rsid w:val="00FF1249"/>
    <w:rsid w:val="00FF1342"/>
    <w:rsid w:val="00FF1392"/>
    <w:rsid w:val="00FF148D"/>
    <w:rsid w:val="00FF14F3"/>
    <w:rsid w:val="00FF172D"/>
    <w:rsid w:val="00FF1886"/>
    <w:rsid w:val="00FF18B5"/>
    <w:rsid w:val="00FF1948"/>
    <w:rsid w:val="00FF1B02"/>
    <w:rsid w:val="00FF1BF4"/>
    <w:rsid w:val="00FF1CB9"/>
    <w:rsid w:val="00FF1F61"/>
    <w:rsid w:val="00FF206C"/>
    <w:rsid w:val="00FF20DF"/>
    <w:rsid w:val="00FF21EB"/>
    <w:rsid w:val="00FF2243"/>
    <w:rsid w:val="00FF2397"/>
    <w:rsid w:val="00FF23FD"/>
    <w:rsid w:val="00FF2527"/>
    <w:rsid w:val="00FF25F8"/>
    <w:rsid w:val="00FF2645"/>
    <w:rsid w:val="00FF2735"/>
    <w:rsid w:val="00FF2916"/>
    <w:rsid w:val="00FF2A01"/>
    <w:rsid w:val="00FF2C13"/>
    <w:rsid w:val="00FF2D8A"/>
    <w:rsid w:val="00FF2E53"/>
    <w:rsid w:val="00FF2EBE"/>
    <w:rsid w:val="00FF2FD8"/>
    <w:rsid w:val="00FF3136"/>
    <w:rsid w:val="00FF3175"/>
    <w:rsid w:val="00FF31F5"/>
    <w:rsid w:val="00FF3254"/>
    <w:rsid w:val="00FF3344"/>
    <w:rsid w:val="00FF3355"/>
    <w:rsid w:val="00FF337D"/>
    <w:rsid w:val="00FF359C"/>
    <w:rsid w:val="00FF36D5"/>
    <w:rsid w:val="00FF373D"/>
    <w:rsid w:val="00FF39F2"/>
    <w:rsid w:val="00FF3A4B"/>
    <w:rsid w:val="00FF3B36"/>
    <w:rsid w:val="00FF3D55"/>
    <w:rsid w:val="00FF40AB"/>
    <w:rsid w:val="00FF426C"/>
    <w:rsid w:val="00FF436A"/>
    <w:rsid w:val="00FF4398"/>
    <w:rsid w:val="00FF45E7"/>
    <w:rsid w:val="00FF46DC"/>
    <w:rsid w:val="00FF48BE"/>
    <w:rsid w:val="00FF4A16"/>
    <w:rsid w:val="00FF4E04"/>
    <w:rsid w:val="00FF4E1E"/>
    <w:rsid w:val="00FF4EAA"/>
    <w:rsid w:val="00FF4F60"/>
    <w:rsid w:val="00FF4F97"/>
    <w:rsid w:val="00FF5035"/>
    <w:rsid w:val="00FF5334"/>
    <w:rsid w:val="00FF559B"/>
    <w:rsid w:val="00FF5734"/>
    <w:rsid w:val="00FF580D"/>
    <w:rsid w:val="00FF5859"/>
    <w:rsid w:val="00FF586E"/>
    <w:rsid w:val="00FF5929"/>
    <w:rsid w:val="00FF5977"/>
    <w:rsid w:val="00FF59D2"/>
    <w:rsid w:val="00FF59EE"/>
    <w:rsid w:val="00FF5AFA"/>
    <w:rsid w:val="00FF5C21"/>
    <w:rsid w:val="00FF5C9A"/>
    <w:rsid w:val="00FF5D3F"/>
    <w:rsid w:val="00FF5DF2"/>
    <w:rsid w:val="00FF5E6A"/>
    <w:rsid w:val="00FF5EFB"/>
    <w:rsid w:val="00FF5F29"/>
    <w:rsid w:val="00FF5FDC"/>
    <w:rsid w:val="00FF6020"/>
    <w:rsid w:val="00FF63E2"/>
    <w:rsid w:val="00FF63E7"/>
    <w:rsid w:val="00FF63FC"/>
    <w:rsid w:val="00FF64BE"/>
    <w:rsid w:val="00FF6660"/>
    <w:rsid w:val="00FF667E"/>
    <w:rsid w:val="00FF6764"/>
    <w:rsid w:val="00FF6901"/>
    <w:rsid w:val="00FF6972"/>
    <w:rsid w:val="00FF6B73"/>
    <w:rsid w:val="00FF6B83"/>
    <w:rsid w:val="00FF6BA3"/>
    <w:rsid w:val="00FF6CEE"/>
    <w:rsid w:val="00FF6F75"/>
    <w:rsid w:val="00FF707D"/>
    <w:rsid w:val="00FF7125"/>
    <w:rsid w:val="00FF7271"/>
    <w:rsid w:val="00FF73FC"/>
    <w:rsid w:val="00FF7469"/>
    <w:rsid w:val="00FF75D4"/>
    <w:rsid w:val="00FF7722"/>
    <w:rsid w:val="00FF782E"/>
    <w:rsid w:val="00FF7972"/>
    <w:rsid w:val="00FF7A9F"/>
    <w:rsid w:val="00FF7B59"/>
    <w:rsid w:val="00FF7BBB"/>
    <w:rsid w:val="00FF7CBE"/>
    <w:rsid w:val="00FF7D51"/>
    <w:rsid w:val="00FF7DF5"/>
    <w:rsid w:val="00FF7F56"/>
    <w:rsid w:val="00FF7FE0"/>
    <w:rsid w:val="00FF7FE6"/>
    <w:rsid w:val="4176416D"/>
    <w:rsid w:val="76273E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semiHidden="0" w:name="index 1"/>
    <w:lsdException w:qFormat="1" w:unhideWhenUsed="0" w:uiPriority="0" w:name="index 2"/>
    <w:lsdException w:unhideWhenUsed="0" w:uiPriority="0" w:semiHidden="0" w:name="index 3"/>
    <w:lsdException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unhideWhenUsed="0"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unhideWhenUsed="0" w:uiPriority="0" w:name="envelope return"/>
    <w:lsdException w:qFormat="1" w:unhideWhenUsed="0" w:uiPriority="0" w:semiHidden="0" w:name="footnote reference"/>
    <w:lsdException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semiHidden="0" w:name="List Number 4"/>
    <w:lsdException w:qFormat="1" w:unhideWhenUsed="0" w:uiPriority="0" w:name="List Number 5"/>
    <w:lsdException w:qFormat="1" w:unhideWhenUsed="0" w:uiPriority="0" w:semiHidden="0" w:name="Title"/>
    <w:lsdException w:qFormat="1" w:unhideWhenUsed="0" w:uiPriority="0" w:semiHidden="0" w:name="Closing"/>
    <w:lsdException w:qFormat="1" w:unhideWhenUsed="0"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name="List Continue"/>
    <w:lsdException w:qFormat="1" w:unhideWhenUsed="0" w:uiPriority="0" w:semiHidden="0" w:name="List Continue 2"/>
    <w:lsdException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name="E-mail Signature"/>
    <w:lsdException w:qFormat="1" w:unhideWhenUsed="0" w:uiPriority="99" w:semiHidden="0" w:name="Normal (Web)"/>
    <w:lsdException w:unhideWhenUsed="0" w:uiPriority="0" w:name="HTML Acronym"/>
    <w:lsdException w:qFormat="1" w:unhideWhenUsed="0" w:uiPriority="0" w:name="HTML Address"/>
    <w:lsdException w:unhideWhenUsed="0" w:uiPriority="0" w:name="HTML Cite"/>
    <w:lsdException w:qFormat="1" w:unhideWhenUsed="0" w:uiPriority="0" w:semiHidden="0" w:name="HTML Code"/>
    <w:lsdException w:unhideWhenUsed="0" w:uiPriority="0" w:name="HTML Definition"/>
    <w:lsdException w:unhideWhenUsed="0" w:uiPriority="0" w:name="HTML Keyboard"/>
    <w:lsdException w:qFormat="1" w:unhideWhenUsed="0" w:uiPriority="0" w:semiHidden="0" w:name="HTML Preformatted"/>
    <w:lsdException w:unhideWhenUsed="0" w:uiPriority="0" w:name="HTML Sample"/>
    <w:lsdException w:unhideWhenUsed="0" w:uiPriority="0" w:name="HTML Typewriter"/>
    <w:lsdException w:unhideWhenUsed="0" w:uiPriority="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unhideWhenUsed="0" w:uiPriority="0" w:name="Table Classic 4"/>
    <w:lsdException w:unhideWhenUsed="0" w:uiPriority="0" w:name="Table Colorful 1"/>
    <w:lsdException w:unhideWhenUsed="0" w:uiPriority="0" w:name="Table Colorful 2"/>
    <w:lsdException w:unhideWhenUsed="0" w:uiPriority="0" w:name="Table Colorful 3"/>
    <w:lsdException w:unhideWhenUsed="0" w:uiPriority="0" w:name="Table Columns 1"/>
    <w:lsdException w:unhideWhenUsed="0" w:uiPriority="0" w:name="Table Columns 2"/>
    <w:lsdException w:unhideWhenUsed="0" w:uiPriority="0" w:name="Table Columns 3"/>
    <w:lsdException w:unhideWhenUsed="0" w:uiPriority="0" w:name="Table Columns 4"/>
    <w:lsdException w:unhideWhenUsed="0" w:uiPriority="0" w:name="Table Columns 5"/>
    <w:lsdException w:unhideWhenUsed="0" w:uiPriority="0" w:semiHidden="0" w:name="Table Grid 1"/>
    <w:lsdException w:unhideWhenUsed="0" w:uiPriority="0" w:name="Table Grid 2"/>
    <w:lsdException w:unhideWhenUsed="0" w:uiPriority="0" w:name="Table Grid 3"/>
    <w:lsdException w:unhideWhenUsed="0" w:uiPriority="0" w:name="Table Grid 4"/>
    <w:lsdException w:unhideWhenUsed="0" w:uiPriority="0" w:semiHidden="0" w:name="Table Grid 5"/>
    <w:lsdException w:unhideWhenUsed="0" w:uiPriority="0" w:name="Table Grid 6"/>
    <w:lsdException w:unhideWhenUsed="0" w:uiPriority="0" w:name="Table Grid 7"/>
    <w:lsdException w:unhideWhenUsed="0" w:uiPriority="0" w:name="Table Grid 8"/>
    <w:lsdException w:qFormat="1" w:unhideWhenUsed="0" w:uiPriority="0" w:name="Table List 1"/>
    <w:lsdException w:unhideWhenUsed="0" w:uiPriority="0" w:name="Table List 2"/>
    <w:lsdException w:qFormat="1" w:unhideWhenUsed="0" w:uiPriority="0" w:semiHidden="0" w:name="Table List 3"/>
    <w:lsdException w:unhideWhenUsed="0" w:uiPriority="0" w:name="Table List 4"/>
    <w:lsdException w:unhideWhenUsed="0" w:uiPriority="0" w:name="Table List 5"/>
    <w:lsdException w:unhideWhenUsed="0" w:uiPriority="0" w:name="Table List 6"/>
    <w:lsdException w:unhideWhenUsed="0" w:uiPriority="0" w:name="Table List 7"/>
    <w:lsdException w:unhideWhenUsed="0" w:uiPriority="0" w:name="Table List 8"/>
    <w:lsdException w:qFormat="1" w:unhideWhenUsed="0" w:uiPriority="99" w:name="Table 3D effects 1"/>
    <w:lsdException w:qFormat="1" w:unhideWhenUsed="0" w:uiPriority="99" w:name="Table 3D effects 2"/>
    <w:lsdException w:qFormat="1" w:unhideWhenUsed="0" w:uiPriority="99" w:name="Table 3D effects 3"/>
    <w:lsdException w:unhideWhenUsed="0" w:uiPriority="0" w:name="Table Contemporary"/>
    <w:lsdException w:qFormat="1" w:unhideWhenUsed="0" w:uiPriority="0" w:name="Table Elegant"/>
    <w:lsdException w:unhideWhenUsed="0" w:uiPriority="0" w:name="Table Professional"/>
    <w:lsdException w:qFormat="1" w:unhideWhenUsed="0" w:uiPriority="0" w:name="Table Subtle 1"/>
    <w:lsdException w:qFormat="1" w:unhideWhenUsed="0" w:uiPriority="0" w:name="Table Subtle 2"/>
    <w:lsdException w:unhideWhenUsed="0" w:uiPriority="0" w:name="Table Web 1"/>
    <w:lsdException w:unhideWhenUsed="0" w:uiPriority="0" w:name="Table Web 2"/>
    <w:lsdException w:unhideWhenUsed="0" w:uiPriority="0" w:name="Table Web 3"/>
    <w:lsdException w:qFormat="1" w:unhideWhenUsed="0" w:uiPriority="0" w:semiHidden="0" w:name="Balloon Text"/>
    <w:lsdException w:qFormat="1" w:unhideWhenUsed="0" w:uiPriority="39" w:semiHidden="0" w:name="Table Grid"/>
    <w:lsdException w:unhideWhenUsed="0" w:uiPriority="0" w:name="Table Theme"/>
    <w:lsdException w:unhideWhenUsed="0" w:uiPriority="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50"/>
    <w:qFormat/>
    <w:uiPriority w:val="0"/>
    <w:pPr>
      <w:keepNext/>
      <w:keepLines/>
      <w:spacing w:beforeLines="100" w:afterLines="50" w:line="360" w:lineRule="auto"/>
      <w:outlineLvl w:val="0"/>
    </w:pPr>
    <w:rPr>
      <w:b/>
      <w:bCs/>
      <w:kern w:val="44"/>
      <w:sz w:val="44"/>
      <w:szCs w:val="44"/>
    </w:rPr>
  </w:style>
  <w:style w:type="paragraph" w:styleId="3">
    <w:name w:val="heading 2"/>
    <w:basedOn w:val="1"/>
    <w:next w:val="1"/>
    <w:link w:val="151"/>
    <w:qFormat/>
    <w:uiPriority w:val="0"/>
    <w:pPr>
      <w:keepNext/>
      <w:keepLines/>
      <w:spacing w:beforeLines="50" w:afterLines="50" w:line="360" w:lineRule="auto"/>
      <w:outlineLvl w:val="1"/>
    </w:pPr>
    <w:rPr>
      <w:b/>
      <w:bCs/>
      <w:sz w:val="32"/>
      <w:szCs w:val="32"/>
    </w:rPr>
  </w:style>
  <w:style w:type="paragraph" w:styleId="4">
    <w:name w:val="heading 3"/>
    <w:basedOn w:val="1"/>
    <w:next w:val="1"/>
    <w:link w:val="152"/>
    <w:qFormat/>
    <w:uiPriority w:val="0"/>
    <w:pPr>
      <w:keepNext/>
      <w:keepLines/>
      <w:spacing w:beforeLines="50" w:afterLines="50" w:line="360" w:lineRule="auto"/>
      <w:outlineLvl w:val="2"/>
    </w:pPr>
    <w:rPr>
      <w:b/>
      <w:bCs/>
      <w:sz w:val="32"/>
      <w:szCs w:val="32"/>
    </w:rPr>
  </w:style>
  <w:style w:type="paragraph" w:styleId="5">
    <w:name w:val="heading 4"/>
    <w:basedOn w:val="1"/>
    <w:next w:val="6"/>
    <w:link w:val="154"/>
    <w:qFormat/>
    <w:uiPriority w:val="9"/>
    <w:pPr>
      <w:keepNext/>
      <w:overflowPunct w:val="0"/>
      <w:autoSpaceDE w:val="0"/>
      <w:autoSpaceDN w:val="0"/>
      <w:adjustRightInd w:val="0"/>
      <w:spacing w:beforeLines="50" w:afterLines="50" w:line="360" w:lineRule="auto"/>
      <w:textAlignment w:val="baseline"/>
      <w:outlineLvl w:val="3"/>
    </w:pPr>
    <w:rPr>
      <w:b/>
      <w:i/>
      <w:kern w:val="28"/>
    </w:rPr>
  </w:style>
  <w:style w:type="paragraph" w:styleId="7">
    <w:name w:val="heading 5"/>
    <w:basedOn w:val="1"/>
    <w:next w:val="8"/>
    <w:link w:val="156"/>
    <w:qFormat/>
    <w:uiPriority w:val="0"/>
    <w:pPr>
      <w:keepNext/>
      <w:tabs>
        <w:tab w:val="right" w:pos="5040"/>
      </w:tabs>
      <w:ind w:firstLine="1200"/>
      <w:outlineLvl w:val="4"/>
    </w:pPr>
    <w:rPr>
      <w:sz w:val="28"/>
    </w:rPr>
  </w:style>
  <w:style w:type="paragraph" w:styleId="9">
    <w:name w:val="heading 6"/>
    <w:basedOn w:val="1"/>
    <w:next w:val="6"/>
    <w:link w:val="157"/>
    <w:qFormat/>
    <w:uiPriority w:val="9"/>
    <w:pPr>
      <w:keepNext/>
      <w:overflowPunct w:val="0"/>
      <w:autoSpaceDE w:val="0"/>
      <w:autoSpaceDN w:val="0"/>
      <w:adjustRightInd w:val="0"/>
      <w:snapToGrid w:val="0"/>
      <w:spacing w:before="120" w:after="80"/>
      <w:textAlignment w:val="baseline"/>
      <w:outlineLvl w:val="5"/>
    </w:pPr>
    <w:rPr>
      <w:rFonts w:ascii="Arial" w:hAnsi="Arial"/>
      <w:b/>
      <w:i/>
      <w:kern w:val="28"/>
      <w:sz w:val="18"/>
    </w:rPr>
  </w:style>
  <w:style w:type="paragraph" w:styleId="10">
    <w:name w:val="heading 7"/>
    <w:basedOn w:val="1"/>
    <w:next w:val="6"/>
    <w:link w:val="158"/>
    <w:qFormat/>
    <w:uiPriority w:val="0"/>
    <w:pPr>
      <w:keepNext/>
      <w:overflowPunct w:val="0"/>
      <w:autoSpaceDE w:val="0"/>
      <w:autoSpaceDN w:val="0"/>
      <w:adjustRightInd w:val="0"/>
      <w:snapToGrid w:val="0"/>
      <w:spacing w:before="80" w:after="60"/>
      <w:textAlignment w:val="baseline"/>
      <w:outlineLvl w:val="6"/>
    </w:pPr>
    <w:rPr>
      <w:b/>
      <w:kern w:val="28"/>
      <w:sz w:val="18"/>
    </w:rPr>
  </w:style>
  <w:style w:type="paragraph" w:styleId="11">
    <w:name w:val="heading 8"/>
    <w:basedOn w:val="1"/>
    <w:next w:val="6"/>
    <w:link w:val="159"/>
    <w:qFormat/>
    <w:uiPriority w:val="9"/>
    <w:pPr>
      <w:keepNext/>
      <w:overflowPunct w:val="0"/>
      <w:autoSpaceDE w:val="0"/>
      <w:autoSpaceDN w:val="0"/>
      <w:adjustRightInd w:val="0"/>
      <w:snapToGrid w:val="0"/>
      <w:spacing w:before="80" w:after="60"/>
      <w:textAlignment w:val="baseline"/>
      <w:outlineLvl w:val="7"/>
    </w:pPr>
    <w:rPr>
      <w:b/>
      <w:i/>
      <w:kern w:val="28"/>
      <w:sz w:val="18"/>
    </w:rPr>
  </w:style>
  <w:style w:type="paragraph" w:styleId="12">
    <w:name w:val="heading 9"/>
    <w:basedOn w:val="1"/>
    <w:next w:val="6"/>
    <w:link w:val="160"/>
    <w:qFormat/>
    <w:uiPriority w:val="0"/>
    <w:pPr>
      <w:keepNext/>
      <w:overflowPunct w:val="0"/>
      <w:autoSpaceDE w:val="0"/>
      <w:autoSpaceDN w:val="0"/>
      <w:adjustRightInd w:val="0"/>
      <w:snapToGrid w:val="0"/>
      <w:spacing w:before="80" w:after="60"/>
      <w:textAlignment w:val="baseline"/>
      <w:outlineLvl w:val="8"/>
    </w:pPr>
    <w:rPr>
      <w:b/>
      <w:i/>
      <w:kern w:val="28"/>
      <w:sz w:val="18"/>
    </w:rPr>
  </w:style>
  <w:style w:type="character" w:default="1" w:styleId="132">
    <w:name w:val="Default Paragraph Font"/>
    <w:semiHidden/>
    <w:unhideWhenUsed/>
    <w:qFormat/>
    <w:uiPriority w:val="1"/>
  </w:style>
  <w:style w:type="table" w:default="1" w:styleId="87">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153"/>
    <w:qFormat/>
    <w:uiPriority w:val="1"/>
    <w:pPr>
      <w:spacing w:after="120"/>
    </w:pPr>
  </w:style>
  <w:style w:type="paragraph" w:styleId="8">
    <w:name w:val="Normal Indent"/>
    <w:basedOn w:val="1"/>
    <w:link w:val="155"/>
    <w:qFormat/>
    <w:uiPriority w:val="0"/>
    <w:pPr>
      <w:ind w:firstLine="420" w:firstLineChars="200"/>
    </w:pPr>
    <w:rPr>
      <w:szCs w:val="20"/>
    </w:rPr>
  </w:style>
  <w:style w:type="paragraph" w:styleId="13">
    <w:name w:val="List 3"/>
    <w:basedOn w:val="1"/>
    <w:qFormat/>
    <w:uiPriority w:val="0"/>
    <w:pPr>
      <w:ind w:left="100" w:leftChars="400" w:hanging="200" w:hangingChars="200"/>
    </w:pPr>
  </w:style>
  <w:style w:type="paragraph" w:styleId="14">
    <w:name w:val="toc 7"/>
    <w:basedOn w:val="1"/>
    <w:next w:val="1"/>
    <w:qFormat/>
    <w:uiPriority w:val="0"/>
    <w:pPr>
      <w:ind w:left="1440"/>
    </w:pPr>
    <w:rPr>
      <w:rFonts w:asciiTheme="minorHAnsi" w:hAnsiTheme="minorHAnsi" w:cstheme="minorHAnsi"/>
      <w:sz w:val="18"/>
      <w:szCs w:val="18"/>
    </w:rPr>
  </w:style>
  <w:style w:type="paragraph" w:styleId="15">
    <w:name w:val="List Number 2"/>
    <w:basedOn w:val="1"/>
    <w:semiHidden/>
    <w:qFormat/>
    <w:uiPriority w:val="0"/>
    <w:pPr>
      <w:numPr>
        <w:ilvl w:val="0"/>
        <w:numId w:val="1"/>
      </w:numPr>
    </w:pPr>
  </w:style>
  <w:style w:type="paragraph" w:styleId="16">
    <w:name w:val="table of authorities"/>
    <w:basedOn w:val="1"/>
    <w:next w:val="1"/>
    <w:semiHidden/>
    <w:uiPriority w:val="0"/>
    <w:pPr>
      <w:ind w:left="420" w:leftChars="200"/>
    </w:pPr>
  </w:style>
  <w:style w:type="paragraph" w:styleId="17">
    <w:name w:val="Note Heading"/>
    <w:basedOn w:val="1"/>
    <w:next w:val="1"/>
    <w:link w:val="716"/>
    <w:qFormat/>
    <w:uiPriority w:val="0"/>
    <w:pPr>
      <w:jc w:val="center"/>
    </w:pPr>
    <w:rPr>
      <w:szCs w:val="20"/>
    </w:rPr>
  </w:style>
  <w:style w:type="paragraph" w:styleId="18">
    <w:name w:val="List Bullet 4"/>
    <w:basedOn w:val="1"/>
    <w:semiHidden/>
    <w:qFormat/>
    <w:uiPriority w:val="0"/>
    <w:pPr>
      <w:numPr>
        <w:ilvl w:val="0"/>
        <w:numId w:val="2"/>
      </w:numPr>
    </w:pPr>
  </w:style>
  <w:style w:type="paragraph" w:styleId="19">
    <w:name w:val="index 8"/>
    <w:basedOn w:val="1"/>
    <w:next w:val="1"/>
    <w:autoRedefine/>
    <w:semiHidden/>
    <w:qFormat/>
    <w:uiPriority w:val="0"/>
    <w:pPr>
      <w:ind w:left="1400" w:leftChars="1400"/>
    </w:pPr>
  </w:style>
  <w:style w:type="paragraph" w:styleId="20">
    <w:name w:val="E-mail Signature"/>
    <w:basedOn w:val="1"/>
    <w:link w:val="1477"/>
    <w:semiHidden/>
    <w:uiPriority w:val="0"/>
  </w:style>
  <w:style w:type="paragraph" w:styleId="21">
    <w:name w:val="List Number"/>
    <w:basedOn w:val="1"/>
    <w:semiHidden/>
    <w:uiPriority w:val="0"/>
    <w:pPr>
      <w:numPr>
        <w:ilvl w:val="0"/>
        <w:numId w:val="3"/>
      </w:numPr>
    </w:pPr>
  </w:style>
  <w:style w:type="paragraph" w:styleId="22">
    <w:name w:val="caption"/>
    <w:basedOn w:val="1"/>
    <w:next w:val="1"/>
    <w:link w:val="1489"/>
    <w:qFormat/>
    <w:uiPriority w:val="0"/>
    <w:rPr>
      <w:rFonts w:ascii="Arial" w:hAnsi="Arial" w:eastAsia="黑体"/>
      <w:sz w:val="20"/>
      <w:szCs w:val="20"/>
    </w:rPr>
  </w:style>
  <w:style w:type="paragraph" w:styleId="23">
    <w:name w:val="index 5"/>
    <w:basedOn w:val="1"/>
    <w:next w:val="1"/>
    <w:autoRedefine/>
    <w:semiHidden/>
    <w:qFormat/>
    <w:uiPriority w:val="0"/>
    <w:pPr>
      <w:ind w:left="800" w:leftChars="800"/>
    </w:pPr>
  </w:style>
  <w:style w:type="paragraph" w:styleId="24">
    <w:name w:val="List Bullet"/>
    <w:basedOn w:val="1"/>
    <w:qFormat/>
    <w:uiPriority w:val="0"/>
    <w:pPr>
      <w:tabs>
        <w:tab w:val="left" w:pos="2040"/>
      </w:tabs>
      <w:ind w:left="2040" w:leftChars="800" w:hanging="360" w:hangingChars="200"/>
    </w:pPr>
  </w:style>
  <w:style w:type="paragraph" w:styleId="25">
    <w:name w:val="envelope address"/>
    <w:basedOn w:val="1"/>
    <w:qFormat/>
    <w:uiPriority w:val="0"/>
    <w:pPr>
      <w:framePr w:w="7920" w:h="1980" w:hRule="exact" w:hSpace="180" w:wrap="auto" w:vAnchor="margin" w:hAnchor="page" w:xAlign="center" w:yAlign="bottom"/>
      <w:overflowPunct w:val="0"/>
      <w:autoSpaceDE w:val="0"/>
      <w:autoSpaceDN w:val="0"/>
      <w:adjustRightInd w:val="0"/>
      <w:spacing w:line="264" w:lineRule="auto"/>
      <w:ind w:left="2880"/>
      <w:textAlignment w:val="baseline"/>
    </w:pPr>
    <w:rPr>
      <w:rFonts w:ascii="Arial" w:hAnsi="Arial"/>
      <w:sz w:val="22"/>
      <w:szCs w:val="20"/>
      <w:lang w:val="en-GB"/>
    </w:rPr>
  </w:style>
  <w:style w:type="paragraph" w:styleId="26">
    <w:name w:val="Document Map"/>
    <w:basedOn w:val="1"/>
    <w:link w:val="700"/>
    <w:qFormat/>
    <w:uiPriority w:val="0"/>
    <w:pPr>
      <w:shd w:val="clear" w:color="auto" w:fill="000080"/>
    </w:pPr>
  </w:style>
  <w:style w:type="paragraph" w:styleId="27">
    <w:name w:val="toa heading"/>
    <w:basedOn w:val="1"/>
    <w:next w:val="1"/>
    <w:qFormat/>
    <w:uiPriority w:val="0"/>
    <w:pPr>
      <w:spacing w:before="120"/>
    </w:pPr>
    <w:rPr>
      <w:rFonts w:ascii="Arial" w:hAnsi="Arial" w:cs="Arial"/>
    </w:rPr>
  </w:style>
  <w:style w:type="paragraph" w:styleId="28">
    <w:name w:val="annotation text"/>
    <w:basedOn w:val="1"/>
    <w:link w:val="187"/>
    <w:qFormat/>
    <w:uiPriority w:val="99"/>
  </w:style>
  <w:style w:type="paragraph" w:styleId="29">
    <w:name w:val="index 6"/>
    <w:basedOn w:val="1"/>
    <w:next w:val="1"/>
    <w:autoRedefine/>
    <w:semiHidden/>
    <w:qFormat/>
    <w:uiPriority w:val="0"/>
    <w:pPr>
      <w:ind w:left="1000" w:leftChars="1000"/>
    </w:pPr>
  </w:style>
  <w:style w:type="paragraph" w:styleId="30">
    <w:name w:val="Salutation"/>
    <w:basedOn w:val="31"/>
    <w:next w:val="1"/>
    <w:link w:val="717"/>
    <w:qFormat/>
    <w:uiPriority w:val="0"/>
    <w:pPr>
      <w:spacing w:line="400" w:lineRule="exact"/>
      <w:ind w:firstLine="480" w:firstLineChars="200"/>
    </w:pPr>
    <w:rPr>
      <w:rFonts w:cs="Times New Roman"/>
    </w:rPr>
  </w:style>
  <w:style w:type="paragraph" w:styleId="31">
    <w:name w:val="Plain Text"/>
    <w:basedOn w:val="1"/>
    <w:link w:val="186"/>
    <w:qFormat/>
    <w:uiPriority w:val="0"/>
    <w:rPr>
      <w:rFonts w:hAnsi="Courier New" w:cs="Courier New"/>
      <w:szCs w:val="21"/>
    </w:rPr>
  </w:style>
  <w:style w:type="paragraph" w:styleId="32">
    <w:name w:val="Body Text 3"/>
    <w:basedOn w:val="1"/>
    <w:link w:val="711"/>
    <w:qFormat/>
    <w:uiPriority w:val="0"/>
    <w:pPr>
      <w:adjustRightInd w:val="0"/>
      <w:snapToGrid w:val="0"/>
      <w:spacing w:line="360" w:lineRule="auto"/>
      <w:ind w:right="6"/>
    </w:pPr>
  </w:style>
  <w:style w:type="paragraph" w:styleId="33">
    <w:name w:val="Closing"/>
    <w:basedOn w:val="1"/>
    <w:link w:val="754"/>
    <w:qFormat/>
    <w:uiPriority w:val="0"/>
    <w:pPr>
      <w:ind w:left="100" w:leftChars="2100"/>
    </w:pPr>
    <w:rPr>
      <w:rFonts w:ascii="仿宋_GB2312" w:eastAsia="仿宋_GB2312"/>
      <w:sz w:val="32"/>
      <w:szCs w:val="32"/>
    </w:rPr>
  </w:style>
  <w:style w:type="paragraph" w:styleId="34">
    <w:name w:val="List Bullet 3"/>
    <w:basedOn w:val="1"/>
    <w:semiHidden/>
    <w:qFormat/>
    <w:uiPriority w:val="0"/>
    <w:pPr>
      <w:numPr>
        <w:ilvl w:val="0"/>
        <w:numId w:val="4"/>
      </w:numPr>
    </w:pPr>
  </w:style>
  <w:style w:type="paragraph" w:styleId="35">
    <w:name w:val="Body Text Indent"/>
    <w:basedOn w:val="1"/>
    <w:link w:val="182"/>
    <w:qFormat/>
    <w:uiPriority w:val="0"/>
    <w:pPr>
      <w:spacing w:after="120"/>
      <w:ind w:left="420" w:leftChars="200"/>
    </w:pPr>
  </w:style>
  <w:style w:type="paragraph" w:styleId="36">
    <w:name w:val="List Number 3"/>
    <w:basedOn w:val="1"/>
    <w:semiHidden/>
    <w:qFormat/>
    <w:uiPriority w:val="0"/>
    <w:pPr>
      <w:numPr>
        <w:ilvl w:val="0"/>
        <w:numId w:val="5"/>
      </w:numPr>
    </w:pPr>
  </w:style>
  <w:style w:type="paragraph" w:styleId="37">
    <w:name w:val="List 2"/>
    <w:basedOn w:val="1"/>
    <w:qFormat/>
    <w:uiPriority w:val="0"/>
    <w:pPr>
      <w:ind w:left="100" w:leftChars="200" w:hanging="200" w:hangingChars="200"/>
    </w:pPr>
  </w:style>
  <w:style w:type="paragraph" w:styleId="38">
    <w:name w:val="List Continue"/>
    <w:basedOn w:val="1"/>
    <w:semiHidden/>
    <w:uiPriority w:val="0"/>
    <w:pPr>
      <w:spacing w:after="120"/>
      <w:ind w:left="420" w:leftChars="200"/>
    </w:pPr>
  </w:style>
  <w:style w:type="paragraph" w:styleId="39">
    <w:name w:val="Block Text"/>
    <w:basedOn w:val="1"/>
    <w:link w:val="1487"/>
    <w:qFormat/>
    <w:uiPriority w:val="0"/>
    <w:pPr>
      <w:tabs>
        <w:tab w:val="left" w:pos="9660"/>
        <w:tab w:val="left" w:pos="9765"/>
      </w:tabs>
      <w:spacing w:line="480" w:lineRule="auto"/>
      <w:ind w:left="420" w:right="773" w:firstLine="630"/>
    </w:pPr>
    <w:rPr>
      <w:spacing w:val="26"/>
      <w:sz w:val="28"/>
      <w:szCs w:val="20"/>
    </w:rPr>
  </w:style>
  <w:style w:type="paragraph" w:styleId="40">
    <w:name w:val="List Bullet 2"/>
    <w:basedOn w:val="1"/>
    <w:qFormat/>
    <w:uiPriority w:val="0"/>
    <w:pPr>
      <w:overflowPunct w:val="0"/>
      <w:autoSpaceDE w:val="0"/>
      <w:autoSpaceDN w:val="0"/>
      <w:adjustRightInd w:val="0"/>
      <w:spacing w:line="264" w:lineRule="auto"/>
      <w:ind w:left="720" w:hanging="360"/>
      <w:textAlignment w:val="baseline"/>
    </w:pPr>
    <w:rPr>
      <w:rFonts w:ascii="Book Antiqua" w:hAnsi="Book Antiqua"/>
      <w:sz w:val="22"/>
      <w:szCs w:val="20"/>
      <w:lang w:val="en-GB"/>
    </w:rPr>
  </w:style>
  <w:style w:type="paragraph" w:styleId="41">
    <w:name w:val="HTML Address"/>
    <w:basedOn w:val="1"/>
    <w:link w:val="1476"/>
    <w:semiHidden/>
    <w:qFormat/>
    <w:uiPriority w:val="0"/>
    <w:rPr>
      <w:i/>
      <w:iCs/>
    </w:rPr>
  </w:style>
  <w:style w:type="paragraph" w:styleId="42">
    <w:name w:val="index 4"/>
    <w:basedOn w:val="1"/>
    <w:next w:val="1"/>
    <w:autoRedefine/>
    <w:semiHidden/>
    <w:uiPriority w:val="0"/>
    <w:pPr>
      <w:ind w:left="600" w:leftChars="600"/>
    </w:pPr>
  </w:style>
  <w:style w:type="paragraph" w:styleId="43">
    <w:name w:val="toc 5"/>
    <w:basedOn w:val="1"/>
    <w:next w:val="1"/>
    <w:qFormat/>
    <w:uiPriority w:val="0"/>
    <w:pPr>
      <w:ind w:left="960"/>
    </w:pPr>
    <w:rPr>
      <w:rFonts w:asciiTheme="minorHAnsi" w:hAnsiTheme="minorHAnsi" w:cstheme="minorHAnsi"/>
      <w:sz w:val="18"/>
      <w:szCs w:val="18"/>
    </w:rPr>
  </w:style>
  <w:style w:type="paragraph" w:styleId="44">
    <w:name w:val="toc 3"/>
    <w:basedOn w:val="1"/>
    <w:next w:val="1"/>
    <w:qFormat/>
    <w:uiPriority w:val="0"/>
    <w:pPr>
      <w:ind w:left="480"/>
    </w:pPr>
    <w:rPr>
      <w:rFonts w:asciiTheme="minorHAnsi" w:hAnsiTheme="minorHAnsi" w:cstheme="minorHAnsi"/>
      <w:i/>
      <w:iCs/>
      <w:sz w:val="20"/>
      <w:szCs w:val="20"/>
    </w:rPr>
  </w:style>
  <w:style w:type="paragraph" w:styleId="45">
    <w:name w:val="List Bullet 5"/>
    <w:basedOn w:val="1"/>
    <w:semiHidden/>
    <w:qFormat/>
    <w:uiPriority w:val="0"/>
    <w:pPr>
      <w:numPr>
        <w:ilvl w:val="0"/>
        <w:numId w:val="6"/>
      </w:numPr>
    </w:pPr>
  </w:style>
  <w:style w:type="paragraph" w:styleId="46">
    <w:name w:val="List Number 4"/>
    <w:basedOn w:val="1"/>
    <w:qFormat/>
    <w:uiPriority w:val="0"/>
    <w:pPr>
      <w:tabs>
        <w:tab w:val="left" w:pos="1620"/>
      </w:tabs>
      <w:adjustRightInd w:val="0"/>
      <w:snapToGrid w:val="0"/>
      <w:spacing w:line="360" w:lineRule="auto"/>
      <w:ind w:left="1620" w:leftChars="600" w:hanging="360" w:hangingChars="200"/>
    </w:pPr>
  </w:style>
  <w:style w:type="paragraph" w:styleId="47">
    <w:name w:val="toc 8"/>
    <w:basedOn w:val="1"/>
    <w:next w:val="1"/>
    <w:qFormat/>
    <w:uiPriority w:val="0"/>
    <w:pPr>
      <w:ind w:left="1680"/>
    </w:pPr>
    <w:rPr>
      <w:rFonts w:asciiTheme="minorHAnsi" w:hAnsiTheme="minorHAnsi" w:cstheme="minorHAnsi"/>
      <w:sz w:val="18"/>
      <w:szCs w:val="18"/>
    </w:rPr>
  </w:style>
  <w:style w:type="paragraph" w:styleId="48">
    <w:name w:val="index 3"/>
    <w:basedOn w:val="1"/>
    <w:next w:val="1"/>
    <w:autoRedefine/>
    <w:uiPriority w:val="0"/>
    <w:pPr>
      <w:ind w:left="400" w:leftChars="400"/>
    </w:pPr>
  </w:style>
  <w:style w:type="paragraph" w:styleId="49">
    <w:name w:val="Date"/>
    <w:basedOn w:val="1"/>
    <w:next w:val="1"/>
    <w:link w:val="183"/>
    <w:qFormat/>
    <w:uiPriority w:val="0"/>
    <w:pPr>
      <w:adjustRightInd w:val="0"/>
      <w:snapToGrid w:val="0"/>
      <w:spacing w:line="360" w:lineRule="auto"/>
      <w:ind w:left="100" w:leftChars="2500"/>
    </w:pPr>
    <w:rPr>
      <w:rFonts w:eastAsia="仿宋_GB2312"/>
      <w:b/>
      <w:sz w:val="32"/>
    </w:rPr>
  </w:style>
  <w:style w:type="paragraph" w:styleId="50">
    <w:name w:val="Body Text Indent 2"/>
    <w:basedOn w:val="1"/>
    <w:link w:val="189"/>
    <w:qFormat/>
    <w:uiPriority w:val="0"/>
    <w:pPr>
      <w:adjustRightInd w:val="0"/>
      <w:snapToGrid w:val="0"/>
      <w:spacing w:after="120" w:line="480" w:lineRule="auto"/>
      <w:ind w:left="420" w:leftChars="200"/>
    </w:pPr>
  </w:style>
  <w:style w:type="paragraph" w:styleId="51">
    <w:name w:val="endnote text"/>
    <w:basedOn w:val="1"/>
    <w:link w:val="1327"/>
    <w:qFormat/>
    <w:uiPriority w:val="0"/>
    <w:pPr>
      <w:snapToGrid w:val="0"/>
    </w:pPr>
    <w:rPr>
      <w:szCs w:val="20"/>
    </w:rPr>
  </w:style>
  <w:style w:type="paragraph" w:styleId="52">
    <w:name w:val="List Continue 5"/>
    <w:basedOn w:val="1"/>
    <w:semiHidden/>
    <w:qFormat/>
    <w:uiPriority w:val="0"/>
    <w:pPr>
      <w:spacing w:after="120"/>
      <w:ind w:left="2100" w:leftChars="1000"/>
    </w:pPr>
  </w:style>
  <w:style w:type="paragraph" w:styleId="53">
    <w:name w:val="Balloon Text"/>
    <w:basedOn w:val="1"/>
    <w:link w:val="2358"/>
    <w:qFormat/>
    <w:uiPriority w:val="0"/>
    <w:rPr>
      <w:sz w:val="18"/>
      <w:szCs w:val="18"/>
    </w:rPr>
  </w:style>
  <w:style w:type="paragraph" w:styleId="54">
    <w:name w:val="footer"/>
    <w:basedOn w:val="1"/>
    <w:link w:val="218"/>
    <w:qFormat/>
    <w:uiPriority w:val="99"/>
    <w:pPr>
      <w:tabs>
        <w:tab w:val="center" w:pos="4153"/>
        <w:tab w:val="right" w:pos="8306"/>
      </w:tabs>
      <w:snapToGrid w:val="0"/>
    </w:pPr>
    <w:rPr>
      <w:sz w:val="18"/>
      <w:szCs w:val="18"/>
    </w:rPr>
  </w:style>
  <w:style w:type="paragraph" w:styleId="55">
    <w:name w:val="envelope return"/>
    <w:basedOn w:val="1"/>
    <w:semiHidden/>
    <w:uiPriority w:val="0"/>
    <w:pPr>
      <w:snapToGrid w:val="0"/>
    </w:pPr>
    <w:rPr>
      <w:rFonts w:ascii="Arial" w:hAnsi="Arial" w:cs="Arial"/>
    </w:rPr>
  </w:style>
  <w:style w:type="paragraph" w:styleId="56">
    <w:name w:val="header"/>
    <w:basedOn w:val="1"/>
    <w:link w:val="421"/>
    <w:qFormat/>
    <w:uiPriority w:val="99"/>
    <w:pPr>
      <w:pBdr>
        <w:bottom w:val="single" w:color="auto" w:sz="6" w:space="1"/>
      </w:pBdr>
      <w:tabs>
        <w:tab w:val="center" w:pos="4153"/>
        <w:tab w:val="right" w:pos="8306"/>
      </w:tabs>
      <w:snapToGrid w:val="0"/>
      <w:jc w:val="center"/>
    </w:pPr>
    <w:rPr>
      <w:sz w:val="18"/>
      <w:szCs w:val="18"/>
    </w:rPr>
  </w:style>
  <w:style w:type="paragraph" w:styleId="57">
    <w:name w:val="Signature"/>
    <w:basedOn w:val="1"/>
    <w:link w:val="1478"/>
    <w:semiHidden/>
    <w:qFormat/>
    <w:uiPriority w:val="0"/>
    <w:pPr>
      <w:ind w:left="100" w:leftChars="2100"/>
    </w:pPr>
  </w:style>
  <w:style w:type="paragraph" w:styleId="58">
    <w:name w:val="toc 1"/>
    <w:basedOn w:val="1"/>
    <w:next w:val="1"/>
    <w:link w:val="2072"/>
    <w:qFormat/>
    <w:uiPriority w:val="39"/>
    <w:pPr>
      <w:spacing w:before="120" w:after="120"/>
    </w:pPr>
    <w:rPr>
      <w:rFonts w:asciiTheme="minorHAnsi" w:hAnsiTheme="minorHAnsi" w:cstheme="minorHAnsi"/>
      <w:b/>
      <w:bCs/>
      <w:caps/>
      <w:sz w:val="20"/>
      <w:szCs w:val="20"/>
    </w:rPr>
  </w:style>
  <w:style w:type="paragraph" w:styleId="59">
    <w:name w:val="List Continue 4"/>
    <w:basedOn w:val="1"/>
    <w:semiHidden/>
    <w:qFormat/>
    <w:uiPriority w:val="0"/>
    <w:pPr>
      <w:spacing w:after="120"/>
      <w:ind w:left="1680" w:leftChars="800"/>
    </w:pPr>
  </w:style>
  <w:style w:type="paragraph" w:styleId="60">
    <w:name w:val="toc 4"/>
    <w:basedOn w:val="1"/>
    <w:next w:val="1"/>
    <w:qFormat/>
    <w:uiPriority w:val="0"/>
    <w:pPr>
      <w:ind w:left="720"/>
    </w:pPr>
    <w:rPr>
      <w:rFonts w:asciiTheme="minorHAnsi" w:hAnsiTheme="minorHAnsi" w:cstheme="minorHAnsi"/>
      <w:sz w:val="18"/>
      <w:szCs w:val="18"/>
    </w:rPr>
  </w:style>
  <w:style w:type="paragraph" w:styleId="61">
    <w:name w:val="index heading"/>
    <w:basedOn w:val="1"/>
    <w:next w:val="62"/>
    <w:semiHidden/>
    <w:uiPriority w:val="0"/>
  </w:style>
  <w:style w:type="paragraph" w:styleId="62">
    <w:name w:val="index 1"/>
    <w:basedOn w:val="1"/>
    <w:next w:val="1"/>
    <w:qFormat/>
    <w:uiPriority w:val="0"/>
    <w:pPr>
      <w:jc w:val="center"/>
    </w:pPr>
  </w:style>
  <w:style w:type="paragraph" w:styleId="63">
    <w:name w:val="Subtitle"/>
    <w:basedOn w:val="1"/>
    <w:next w:val="1"/>
    <w:link w:val="179"/>
    <w:qFormat/>
    <w:uiPriority w:val="0"/>
    <w:pPr>
      <w:adjustRightInd w:val="0"/>
      <w:snapToGrid w:val="0"/>
      <w:spacing w:before="240" w:after="60" w:line="312" w:lineRule="auto"/>
      <w:jc w:val="center"/>
      <w:outlineLvl w:val="1"/>
    </w:pPr>
    <w:rPr>
      <w:rFonts w:ascii="Cambria" w:hAnsi="Cambria"/>
      <w:b/>
      <w:bCs/>
      <w:kern w:val="28"/>
      <w:sz w:val="32"/>
      <w:szCs w:val="32"/>
    </w:rPr>
  </w:style>
  <w:style w:type="paragraph" w:styleId="64">
    <w:name w:val="List Number 5"/>
    <w:basedOn w:val="1"/>
    <w:semiHidden/>
    <w:qFormat/>
    <w:uiPriority w:val="0"/>
    <w:pPr>
      <w:numPr>
        <w:ilvl w:val="0"/>
        <w:numId w:val="7"/>
      </w:numPr>
    </w:pPr>
  </w:style>
  <w:style w:type="paragraph" w:styleId="65">
    <w:name w:val="List"/>
    <w:basedOn w:val="1"/>
    <w:qFormat/>
    <w:uiPriority w:val="0"/>
    <w:pPr>
      <w:spacing w:line="360" w:lineRule="auto"/>
    </w:pPr>
    <w:rPr>
      <w:szCs w:val="20"/>
    </w:rPr>
  </w:style>
  <w:style w:type="paragraph" w:styleId="66">
    <w:name w:val="footnote text"/>
    <w:basedOn w:val="1"/>
    <w:link w:val="924"/>
    <w:uiPriority w:val="0"/>
    <w:pPr>
      <w:snapToGrid w:val="0"/>
    </w:pPr>
    <w:rPr>
      <w:szCs w:val="18"/>
    </w:rPr>
  </w:style>
  <w:style w:type="paragraph" w:styleId="67">
    <w:name w:val="toc 6"/>
    <w:basedOn w:val="1"/>
    <w:next w:val="1"/>
    <w:qFormat/>
    <w:uiPriority w:val="0"/>
    <w:pPr>
      <w:ind w:left="1200"/>
    </w:pPr>
    <w:rPr>
      <w:rFonts w:asciiTheme="minorHAnsi" w:hAnsiTheme="minorHAnsi" w:cstheme="minorHAnsi"/>
      <w:sz w:val="18"/>
      <w:szCs w:val="18"/>
    </w:rPr>
  </w:style>
  <w:style w:type="paragraph" w:styleId="68">
    <w:name w:val="List 5"/>
    <w:basedOn w:val="1"/>
    <w:qFormat/>
    <w:uiPriority w:val="0"/>
    <w:pPr>
      <w:ind w:left="100" w:leftChars="800" w:hanging="200" w:hangingChars="200"/>
    </w:pPr>
  </w:style>
  <w:style w:type="paragraph" w:styleId="69">
    <w:name w:val="Body Text Indent 3"/>
    <w:basedOn w:val="1"/>
    <w:link w:val="701"/>
    <w:qFormat/>
    <w:uiPriority w:val="0"/>
    <w:pPr>
      <w:ind w:firstLine="280" w:firstLineChars="100"/>
    </w:pPr>
    <w:rPr>
      <w:sz w:val="28"/>
    </w:rPr>
  </w:style>
  <w:style w:type="paragraph" w:styleId="70">
    <w:name w:val="index 7"/>
    <w:basedOn w:val="1"/>
    <w:next w:val="1"/>
    <w:autoRedefine/>
    <w:semiHidden/>
    <w:qFormat/>
    <w:uiPriority w:val="0"/>
    <w:pPr>
      <w:ind w:left="1200" w:leftChars="1200"/>
    </w:pPr>
  </w:style>
  <w:style w:type="paragraph" w:styleId="71">
    <w:name w:val="index 9"/>
    <w:basedOn w:val="1"/>
    <w:next w:val="1"/>
    <w:autoRedefine/>
    <w:semiHidden/>
    <w:uiPriority w:val="0"/>
    <w:pPr>
      <w:ind w:left="1600" w:leftChars="1600"/>
    </w:pPr>
  </w:style>
  <w:style w:type="paragraph" w:styleId="72">
    <w:name w:val="table of figures"/>
    <w:basedOn w:val="1"/>
    <w:next w:val="1"/>
    <w:qFormat/>
    <w:uiPriority w:val="0"/>
    <w:pPr>
      <w:ind w:left="600" w:hanging="600"/>
    </w:pPr>
    <w:rPr>
      <w:smallCaps/>
      <w:sz w:val="20"/>
      <w:szCs w:val="20"/>
    </w:rPr>
  </w:style>
  <w:style w:type="paragraph" w:styleId="73">
    <w:name w:val="toc 2"/>
    <w:basedOn w:val="1"/>
    <w:next w:val="1"/>
    <w:qFormat/>
    <w:uiPriority w:val="39"/>
    <w:pPr>
      <w:ind w:left="240"/>
    </w:pPr>
    <w:rPr>
      <w:rFonts w:asciiTheme="minorHAnsi" w:hAnsiTheme="minorHAnsi" w:cstheme="minorHAnsi"/>
      <w:smallCaps/>
      <w:sz w:val="20"/>
      <w:szCs w:val="20"/>
    </w:rPr>
  </w:style>
  <w:style w:type="paragraph" w:styleId="74">
    <w:name w:val="toc 9"/>
    <w:basedOn w:val="1"/>
    <w:next w:val="1"/>
    <w:uiPriority w:val="0"/>
    <w:pPr>
      <w:ind w:left="1920"/>
    </w:pPr>
    <w:rPr>
      <w:rFonts w:asciiTheme="minorHAnsi" w:hAnsiTheme="minorHAnsi" w:cstheme="minorHAnsi"/>
      <w:sz w:val="18"/>
      <w:szCs w:val="18"/>
    </w:rPr>
  </w:style>
  <w:style w:type="paragraph" w:styleId="75">
    <w:name w:val="Body Text 2"/>
    <w:basedOn w:val="1"/>
    <w:link w:val="702"/>
    <w:qFormat/>
    <w:uiPriority w:val="0"/>
    <w:pPr>
      <w:adjustRightInd w:val="0"/>
      <w:snapToGrid w:val="0"/>
      <w:spacing w:after="120" w:line="480" w:lineRule="auto"/>
    </w:pPr>
  </w:style>
  <w:style w:type="paragraph" w:styleId="76">
    <w:name w:val="List 4"/>
    <w:basedOn w:val="1"/>
    <w:qFormat/>
    <w:uiPriority w:val="0"/>
    <w:pPr>
      <w:ind w:left="100" w:leftChars="600" w:hanging="200" w:hangingChars="200"/>
    </w:pPr>
  </w:style>
  <w:style w:type="paragraph" w:styleId="77">
    <w:name w:val="List Continue 2"/>
    <w:basedOn w:val="1"/>
    <w:qFormat/>
    <w:uiPriority w:val="0"/>
    <w:pPr>
      <w:spacing w:after="120"/>
      <w:ind w:left="840"/>
    </w:pPr>
    <w:rPr>
      <w:rFonts w:ascii="新宋体" w:hAnsi="新宋体" w:eastAsia="仿宋_GB2312"/>
      <w:sz w:val="28"/>
      <w:szCs w:val="20"/>
    </w:rPr>
  </w:style>
  <w:style w:type="paragraph" w:styleId="78">
    <w:name w:val="Message Header"/>
    <w:basedOn w:val="1"/>
    <w:link w:val="1479"/>
    <w:semiHidden/>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rPr>
  </w:style>
  <w:style w:type="paragraph" w:styleId="79">
    <w:name w:val="HTML Preformatted"/>
    <w:basedOn w:val="1"/>
    <w:link w:val="231"/>
    <w:qFormat/>
    <w:uiPriority w:val="0"/>
    <w:pPr>
      <w:adjustRightInd w:val="0"/>
      <w:spacing w:line="312" w:lineRule="atLeast"/>
      <w:textAlignment w:val="baseline"/>
    </w:pPr>
    <w:rPr>
      <w:rFonts w:ascii="Courier New" w:hAnsi="Courier New"/>
      <w:sz w:val="20"/>
      <w:szCs w:val="20"/>
    </w:rPr>
  </w:style>
  <w:style w:type="paragraph" w:styleId="80">
    <w:name w:val="Normal (Web)"/>
    <w:basedOn w:val="1"/>
    <w:qFormat/>
    <w:uiPriority w:val="99"/>
    <w:pPr>
      <w:spacing w:before="100" w:beforeAutospacing="1" w:after="100" w:afterAutospacing="1"/>
    </w:pPr>
    <w:rPr>
      <w:color w:val="000000"/>
    </w:rPr>
  </w:style>
  <w:style w:type="paragraph" w:styleId="81">
    <w:name w:val="List Continue 3"/>
    <w:basedOn w:val="1"/>
    <w:semiHidden/>
    <w:uiPriority w:val="0"/>
    <w:pPr>
      <w:spacing w:after="120"/>
      <w:ind w:left="1260" w:leftChars="600"/>
    </w:pPr>
  </w:style>
  <w:style w:type="paragraph" w:styleId="82">
    <w:name w:val="index 2"/>
    <w:basedOn w:val="1"/>
    <w:next w:val="1"/>
    <w:autoRedefine/>
    <w:semiHidden/>
    <w:qFormat/>
    <w:uiPriority w:val="0"/>
    <w:pPr>
      <w:ind w:left="200" w:leftChars="200"/>
    </w:pPr>
  </w:style>
  <w:style w:type="paragraph" w:styleId="83">
    <w:name w:val="Title"/>
    <w:basedOn w:val="1"/>
    <w:next w:val="1"/>
    <w:link w:val="417"/>
    <w:qFormat/>
    <w:uiPriority w:val="0"/>
    <w:pPr>
      <w:adjustRightInd w:val="0"/>
      <w:snapToGrid w:val="0"/>
      <w:spacing w:before="240" w:after="60" w:line="360" w:lineRule="auto"/>
      <w:jc w:val="center"/>
      <w:outlineLvl w:val="0"/>
    </w:pPr>
    <w:rPr>
      <w:rFonts w:ascii="Cambria" w:hAnsi="Cambria"/>
      <w:b/>
      <w:bCs/>
      <w:sz w:val="32"/>
      <w:szCs w:val="32"/>
    </w:rPr>
  </w:style>
  <w:style w:type="paragraph" w:styleId="84">
    <w:name w:val="annotation subject"/>
    <w:basedOn w:val="28"/>
    <w:next w:val="28"/>
    <w:link w:val="221"/>
    <w:qFormat/>
    <w:uiPriority w:val="0"/>
    <w:rPr>
      <w:b/>
      <w:bCs/>
    </w:rPr>
  </w:style>
  <w:style w:type="paragraph" w:styleId="85">
    <w:name w:val="Body Text First Indent"/>
    <w:basedOn w:val="6"/>
    <w:link w:val="2437"/>
    <w:uiPriority w:val="0"/>
    <w:pPr>
      <w:widowControl w:val="0"/>
      <w:wordWrap w:val="0"/>
      <w:overflowPunct w:val="0"/>
      <w:snapToGrid w:val="0"/>
      <w:spacing w:line="360" w:lineRule="auto"/>
      <w:ind w:firstLine="100" w:firstLineChars="100"/>
    </w:pPr>
    <w:rPr>
      <w:kern w:val="2"/>
    </w:rPr>
  </w:style>
  <w:style w:type="paragraph" w:styleId="86">
    <w:name w:val="Body Text First Indent 2"/>
    <w:basedOn w:val="35"/>
    <w:link w:val="256"/>
    <w:uiPriority w:val="0"/>
    <w:pPr>
      <w:ind w:firstLine="420" w:firstLineChars="200"/>
    </w:pPr>
  </w:style>
  <w:style w:type="table" w:styleId="88">
    <w:name w:val="Table Grid"/>
    <w:basedOn w:val="8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9">
    <w:name w:val="Table Theme"/>
    <w:basedOn w:val="87"/>
    <w:semiHidden/>
    <w:uiPriority w:val="0"/>
    <w:pPr>
      <w:widowControl w:val="0"/>
      <w:spacing w:line="48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Colorful 1"/>
    <w:basedOn w:val="87"/>
    <w:semiHidden/>
    <w:uiPriority w:val="0"/>
    <w:pPr>
      <w:widowControl w:val="0"/>
      <w:spacing w:line="480" w:lineRule="exact"/>
      <w:ind w:firstLine="200" w:firstLineChars="20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1">
    <w:name w:val="Table Colorful 2"/>
    <w:basedOn w:val="87"/>
    <w:semiHidden/>
    <w:uiPriority w:val="0"/>
    <w:pPr>
      <w:widowControl w:val="0"/>
      <w:spacing w:line="480" w:lineRule="exact"/>
      <w:ind w:firstLine="200" w:firstLineChars="20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2">
    <w:name w:val="Table Colorful 3"/>
    <w:basedOn w:val="87"/>
    <w:semiHidden/>
    <w:uiPriority w:val="0"/>
    <w:pPr>
      <w:widowControl w:val="0"/>
      <w:spacing w:line="480" w:lineRule="exact"/>
      <w:ind w:firstLine="200" w:firstLineChars="20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3">
    <w:name w:val="Table Elegant"/>
    <w:basedOn w:val="87"/>
    <w:semiHidden/>
    <w:qFormat/>
    <w:uiPriority w:val="0"/>
    <w:pPr>
      <w:widowControl w:val="0"/>
      <w:spacing w:line="480" w:lineRule="exact"/>
      <w:ind w:firstLine="200" w:firstLineChars="20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4">
    <w:name w:val="Table Classic 1"/>
    <w:basedOn w:val="87"/>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5">
    <w:name w:val="Table Classic 2"/>
    <w:basedOn w:val="87"/>
    <w:semiHidden/>
    <w:qFormat/>
    <w:uiPriority w:val="0"/>
    <w:pPr>
      <w:widowControl w:val="0"/>
      <w:spacing w:line="480" w:lineRule="exact"/>
      <w:ind w:firstLine="200" w:firstLineChars="20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6">
    <w:name w:val="Table Classic 3"/>
    <w:basedOn w:val="87"/>
    <w:semiHidden/>
    <w:qFormat/>
    <w:uiPriority w:val="0"/>
    <w:pPr>
      <w:widowControl w:val="0"/>
      <w:spacing w:line="480" w:lineRule="exact"/>
      <w:ind w:firstLine="200" w:firstLineChars="20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7">
    <w:name w:val="Table Classic 4"/>
    <w:basedOn w:val="87"/>
    <w:semiHidden/>
    <w:uiPriority w:val="0"/>
    <w:pPr>
      <w:widowControl w:val="0"/>
      <w:spacing w:line="480" w:lineRule="exact"/>
      <w:ind w:firstLine="200" w:firstLineChars="20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8">
    <w:name w:val="Table Simple 1"/>
    <w:basedOn w:val="87"/>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9">
    <w:name w:val="Table Simple 2"/>
    <w:basedOn w:val="87"/>
    <w:qFormat/>
    <w:uiPriority w:val="0"/>
    <w:pPr>
      <w:widowControl w:val="0"/>
      <w:jc w:val="both"/>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0">
    <w:name w:val="Table Simple 3"/>
    <w:basedOn w:val="87"/>
    <w:semiHidden/>
    <w:qFormat/>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1">
    <w:name w:val="Table Subtle 1"/>
    <w:basedOn w:val="87"/>
    <w:semiHidden/>
    <w:qFormat/>
    <w:uiPriority w:val="0"/>
    <w:pPr>
      <w:widowControl w:val="0"/>
      <w:spacing w:line="480" w:lineRule="exact"/>
      <w:ind w:firstLine="200" w:firstLineChars="200"/>
      <w:jc w:val="both"/>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2">
    <w:name w:val="Table Subtle 2"/>
    <w:basedOn w:val="87"/>
    <w:semiHidden/>
    <w:qFormat/>
    <w:uiPriority w:val="0"/>
    <w:pPr>
      <w:widowControl w:val="0"/>
      <w:spacing w:line="360" w:lineRule="auto"/>
      <w:jc w:val="both"/>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3D effects 1"/>
    <w:basedOn w:val="87"/>
    <w:semiHidden/>
    <w:qFormat/>
    <w:uiPriority w:val="99"/>
    <w:pPr>
      <w:widowControl w:val="0"/>
      <w:spacing w:line="480" w:lineRule="exact"/>
      <w:ind w:firstLine="200" w:firstLineChars="200"/>
      <w:jc w:val="both"/>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4">
    <w:name w:val="Table 3D effects 2"/>
    <w:basedOn w:val="87"/>
    <w:semiHidden/>
    <w:qFormat/>
    <w:uiPriority w:val="99"/>
    <w:pPr>
      <w:widowControl w:val="0"/>
      <w:spacing w:line="480" w:lineRule="exact"/>
      <w:ind w:firstLine="200" w:firstLineChars="20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5">
    <w:name w:val="Table 3D effects 3"/>
    <w:basedOn w:val="87"/>
    <w:semiHidden/>
    <w:qFormat/>
    <w:uiPriority w:val="99"/>
    <w:pPr>
      <w:widowControl w:val="0"/>
      <w:spacing w:line="480" w:lineRule="exact"/>
      <w:ind w:firstLine="200" w:firstLineChars="20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List 1"/>
    <w:basedOn w:val="87"/>
    <w:semiHidden/>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7">
    <w:name w:val="Table List 2"/>
    <w:basedOn w:val="87"/>
    <w:semiHidden/>
    <w:uiPriority w:val="0"/>
    <w:pPr>
      <w:widowControl w:val="0"/>
      <w:spacing w:line="480" w:lineRule="exact"/>
      <w:ind w:firstLine="200" w:firstLineChars="20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3"/>
    <w:basedOn w:val="87"/>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09">
    <w:name w:val="Table List 4"/>
    <w:basedOn w:val="87"/>
    <w:semiHidden/>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0">
    <w:name w:val="Table List 5"/>
    <w:basedOn w:val="87"/>
    <w:semiHidden/>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1">
    <w:name w:val="Table List 6"/>
    <w:basedOn w:val="87"/>
    <w:semiHidden/>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2">
    <w:name w:val="Table List 7"/>
    <w:basedOn w:val="87"/>
    <w:semiHidden/>
    <w:uiPriority w:val="0"/>
    <w:pPr>
      <w:widowControl w:val="0"/>
      <w:spacing w:line="480" w:lineRule="exact"/>
      <w:ind w:firstLine="200" w:firstLineChars="20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3">
    <w:name w:val="Table List 8"/>
    <w:basedOn w:val="87"/>
    <w:semiHidden/>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4">
    <w:name w:val="Table Contemporary"/>
    <w:basedOn w:val="87"/>
    <w:semiHidden/>
    <w:uiPriority w:val="0"/>
    <w:pPr>
      <w:widowControl w:val="0"/>
      <w:spacing w:line="480" w:lineRule="exact"/>
      <w:ind w:firstLine="200" w:firstLineChars="20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5">
    <w:name w:val="Table Columns 1"/>
    <w:basedOn w:val="87"/>
    <w:semiHidden/>
    <w:uiPriority w:val="0"/>
    <w:pPr>
      <w:widowControl w:val="0"/>
      <w:spacing w:line="480" w:lineRule="exact"/>
      <w:ind w:firstLine="200" w:firstLineChars="20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6">
    <w:name w:val="Table Columns 2"/>
    <w:basedOn w:val="87"/>
    <w:semiHidden/>
    <w:uiPriority w:val="0"/>
    <w:pPr>
      <w:widowControl w:val="0"/>
      <w:spacing w:line="480" w:lineRule="exact"/>
      <w:ind w:firstLine="200" w:firstLineChars="20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3"/>
    <w:basedOn w:val="87"/>
    <w:semiHidden/>
    <w:uiPriority w:val="0"/>
    <w:pPr>
      <w:widowControl w:val="0"/>
      <w:spacing w:line="480" w:lineRule="exact"/>
      <w:ind w:firstLine="200" w:firstLineChars="20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8">
    <w:name w:val="Table Columns 4"/>
    <w:basedOn w:val="87"/>
    <w:semiHidden/>
    <w:uiPriority w:val="0"/>
    <w:pPr>
      <w:widowControl w:val="0"/>
      <w:spacing w:line="480" w:lineRule="exact"/>
      <w:ind w:firstLine="200" w:firstLineChars="20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9">
    <w:name w:val="Table Columns 5"/>
    <w:basedOn w:val="87"/>
    <w:semiHidden/>
    <w:uiPriority w:val="0"/>
    <w:pPr>
      <w:widowControl w:val="0"/>
      <w:spacing w:line="480" w:lineRule="exact"/>
      <w:ind w:firstLine="200" w:firstLineChars="20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0">
    <w:name w:val="Table Grid 1"/>
    <w:basedOn w:val="87"/>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1">
    <w:name w:val="Table Grid 2"/>
    <w:basedOn w:val="87"/>
    <w:semiHidden/>
    <w:uiPriority w:val="0"/>
    <w:pPr>
      <w:widowControl w:val="0"/>
      <w:spacing w:line="480" w:lineRule="exact"/>
      <w:ind w:firstLine="200" w:firstLineChars="20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2">
    <w:name w:val="Table Grid 3"/>
    <w:basedOn w:val="87"/>
    <w:semiHidden/>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4"/>
    <w:basedOn w:val="87"/>
    <w:semiHidden/>
    <w:uiPriority w:val="0"/>
    <w:pPr>
      <w:widowControl w:val="0"/>
      <w:spacing w:line="480" w:lineRule="exact"/>
      <w:ind w:firstLine="200" w:firstLineChars="20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4">
    <w:name w:val="Table Grid 5"/>
    <w:basedOn w:val="87"/>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6"/>
    <w:basedOn w:val="87"/>
    <w:semiHidden/>
    <w:uiPriority w:val="0"/>
    <w:pPr>
      <w:widowControl w:val="0"/>
      <w:spacing w:line="480" w:lineRule="exact"/>
      <w:ind w:firstLine="200" w:firstLineChars="20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7"/>
    <w:basedOn w:val="87"/>
    <w:semiHidden/>
    <w:uiPriority w:val="0"/>
    <w:pPr>
      <w:widowControl w:val="0"/>
      <w:spacing w:line="480" w:lineRule="exact"/>
      <w:ind w:firstLine="200" w:firstLineChars="20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8"/>
    <w:basedOn w:val="87"/>
    <w:semiHidden/>
    <w:uiPriority w:val="0"/>
    <w:pPr>
      <w:widowControl w:val="0"/>
      <w:spacing w:line="480" w:lineRule="exact"/>
      <w:ind w:firstLine="200" w:firstLineChars="20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8">
    <w:name w:val="Table Web 1"/>
    <w:basedOn w:val="87"/>
    <w:semiHidden/>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29">
    <w:name w:val="Table Web 2"/>
    <w:basedOn w:val="87"/>
    <w:semiHidden/>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3"/>
    <w:basedOn w:val="87"/>
    <w:semiHidden/>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Professional"/>
    <w:basedOn w:val="87"/>
    <w:semiHidden/>
    <w:uiPriority w:val="0"/>
    <w:pPr>
      <w:widowControl w:val="0"/>
      <w:spacing w:line="4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3">
    <w:name w:val="Strong"/>
    <w:qFormat/>
    <w:uiPriority w:val="0"/>
    <w:rPr>
      <w:b/>
      <w:bCs/>
    </w:rPr>
  </w:style>
  <w:style w:type="character" w:styleId="134">
    <w:name w:val="endnote reference"/>
    <w:uiPriority w:val="0"/>
    <w:rPr>
      <w:rFonts w:eastAsia="宋体"/>
      <w:kern w:val="2"/>
      <w:sz w:val="21"/>
      <w:vertAlign w:val="superscript"/>
      <w:lang w:val="en-US" w:eastAsia="zh-CN"/>
    </w:rPr>
  </w:style>
  <w:style w:type="character" w:styleId="135">
    <w:name w:val="page number"/>
    <w:basedOn w:val="132"/>
    <w:qFormat/>
    <w:uiPriority w:val="0"/>
  </w:style>
  <w:style w:type="character" w:styleId="136">
    <w:name w:val="FollowedHyperlink"/>
    <w:uiPriority w:val="99"/>
    <w:rPr>
      <w:color w:val="800080"/>
      <w:u w:val="single"/>
    </w:rPr>
  </w:style>
  <w:style w:type="character" w:styleId="137">
    <w:name w:val="Emphasis"/>
    <w:qFormat/>
    <w:uiPriority w:val="0"/>
    <w:rPr>
      <w:color w:val="CC0033"/>
    </w:rPr>
  </w:style>
  <w:style w:type="character" w:styleId="138">
    <w:name w:val="line number"/>
    <w:basedOn w:val="132"/>
    <w:qFormat/>
    <w:uiPriority w:val="0"/>
  </w:style>
  <w:style w:type="character" w:styleId="139">
    <w:name w:val="HTML Definition"/>
    <w:semiHidden/>
    <w:uiPriority w:val="0"/>
    <w:rPr>
      <w:i/>
      <w:iCs/>
    </w:rPr>
  </w:style>
  <w:style w:type="character" w:styleId="140">
    <w:name w:val="HTML Typewriter"/>
    <w:semiHidden/>
    <w:uiPriority w:val="0"/>
    <w:rPr>
      <w:rFonts w:ascii="Courier New" w:hAnsi="Courier New" w:cs="Courier New"/>
      <w:sz w:val="20"/>
      <w:szCs w:val="20"/>
    </w:rPr>
  </w:style>
  <w:style w:type="character" w:styleId="141">
    <w:name w:val="HTML Acronym"/>
    <w:basedOn w:val="132"/>
    <w:semiHidden/>
    <w:uiPriority w:val="0"/>
  </w:style>
  <w:style w:type="character" w:styleId="142">
    <w:name w:val="HTML Variable"/>
    <w:semiHidden/>
    <w:uiPriority w:val="0"/>
    <w:rPr>
      <w:i/>
      <w:iCs/>
    </w:rPr>
  </w:style>
  <w:style w:type="character" w:styleId="143">
    <w:name w:val="Hyperlink"/>
    <w:qFormat/>
    <w:uiPriority w:val="99"/>
    <w:rPr>
      <w:color w:val="0000FF"/>
      <w:u w:val="single"/>
    </w:rPr>
  </w:style>
  <w:style w:type="character" w:styleId="144">
    <w:name w:val="HTML Code"/>
    <w:qFormat/>
    <w:uiPriority w:val="0"/>
    <w:rPr>
      <w:rFonts w:ascii="Courier New" w:hAnsi="Courier New" w:cs="Courier New"/>
      <w:sz w:val="20"/>
      <w:szCs w:val="20"/>
    </w:rPr>
  </w:style>
  <w:style w:type="character" w:styleId="145">
    <w:name w:val="annotation reference"/>
    <w:uiPriority w:val="0"/>
    <w:rPr>
      <w:sz w:val="21"/>
      <w:szCs w:val="21"/>
    </w:rPr>
  </w:style>
  <w:style w:type="character" w:styleId="146">
    <w:name w:val="HTML Cite"/>
    <w:semiHidden/>
    <w:uiPriority w:val="0"/>
    <w:rPr>
      <w:i/>
      <w:iCs/>
    </w:rPr>
  </w:style>
  <w:style w:type="character" w:styleId="147">
    <w:name w:val="footnote reference"/>
    <w:qFormat/>
    <w:uiPriority w:val="0"/>
    <w:rPr>
      <w:vertAlign w:val="superscript"/>
    </w:rPr>
  </w:style>
  <w:style w:type="character" w:styleId="148">
    <w:name w:val="HTML Keyboard"/>
    <w:semiHidden/>
    <w:uiPriority w:val="0"/>
    <w:rPr>
      <w:rFonts w:ascii="Courier New" w:hAnsi="Courier New" w:cs="Courier New"/>
      <w:sz w:val="20"/>
      <w:szCs w:val="20"/>
    </w:rPr>
  </w:style>
  <w:style w:type="character" w:styleId="149">
    <w:name w:val="HTML Sample"/>
    <w:semiHidden/>
    <w:uiPriority w:val="0"/>
    <w:rPr>
      <w:rFonts w:ascii="Courier New" w:hAnsi="Courier New" w:cs="Courier New"/>
    </w:rPr>
  </w:style>
  <w:style w:type="character" w:customStyle="1" w:styleId="150">
    <w:name w:val="标题 1 Char"/>
    <w:link w:val="2"/>
    <w:uiPriority w:val="0"/>
    <w:rPr>
      <w:b/>
      <w:bCs/>
      <w:kern w:val="44"/>
      <w:sz w:val="44"/>
      <w:szCs w:val="44"/>
    </w:rPr>
  </w:style>
  <w:style w:type="character" w:customStyle="1" w:styleId="151">
    <w:name w:val="标题 2 Char"/>
    <w:link w:val="3"/>
    <w:qFormat/>
    <w:uiPriority w:val="0"/>
    <w:rPr>
      <w:b/>
      <w:bCs/>
      <w:kern w:val="2"/>
      <w:sz w:val="32"/>
      <w:szCs w:val="32"/>
    </w:rPr>
  </w:style>
  <w:style w:type="character" w:customStyle="1" w:styleId="152">
    <w:name w:val="标题 3 Char1"/>
    <w:link w:val="4"/>
    <w:qFormat/>
    <w:uiPriority w:val="0"/>
    <w:rPr>
      <w:b/>
      <w:bCs/>
      <w:kern w:val="2"/>
      <w:sz w:val="32"/>
      <w:szCs w:val="32"/>
    </w:rPr>
  </w:style>
  <w:style w:type="character" w:customStyle="1" w:styleId="153">
    <w:name w:val="正文文本 Char1"/>
    <w:link w:val="6"/>
    <w:qFormat/>
    <w:uiPriority w:val="1"/>
    <w:rPr>
      <w:rFonts w:eastAsia="宋体"/>
      <w:sz w:val="24"/>
      <w:szCs w:val="24"/>
      <w:lang w:val="en-US" w:eastAsia="zh-CN" w:bidi="ar-SA"/>
    </w:rPr>
  </w:style>
  <w:style w:type="character" w:customStyle="1" w:styleId="154">
    <w:name w:val="标题 4 Char"/>
    <w:link w:val="5"/>
    <w:qFormat/>
    <w:uiPriority w:val="9"/>
    <w:rPr>
      <w:b/>
      <w:i/>
      <w:kern w:val="28"/>
      <w:sz w:val="24"/>
      <w:szCs w:val="24"/>
    </w:rPr>
  </w:style>
  <w:style w:type="character" w:customStyle="1" w:styleId="155">
    <w:name w:val="正文缩进 Char"/>
    <w:link w:val="8"/>
    <w:qFormat/>
    <w:uiPriority w:val="0"/>
    <w:rPr>
      <w:rFonts w:eastAsia="宋体"/>
      <w:kern w:val="2"/>
      <w:sz w:val="21"/>
      <w:lang w:val="en-US" w:eastAsia="zh-CN" w:bidi="ar-SA"/>
    </w:rPr>
  </w:style>
  <w:style w:type="character" w:customStyle="1" w:styleId="156">
    <w:name w:val="标题 5 Char"/>
    <w:link w:val="7"/>
    <w:qFormat/>
    <w:uiPriority w:val="0"/>
    <w:rPr>
      <w:rFonts w:eastAsia="宋体"/>
      <w:sz w:val="28"/>
      <w:szCs w:val="24"/>
      <w:lang w:val="en-US" w:eastAsia="zh-CN" w:bidi="ar-SA"/>
    </w:rPr>
  </w:style>
  <w:style w:type="character" w:customStyle="1" w:styleId="157">
    <w:name w:val="标题 6 Char"/>
    <w:link w:val="9"/>
    <w:qFormat/>
    <w:uiPriority w:val="9"/>
    <w:rPr>
      <w:rFonts w:ascii="Arial" w:hAnsi="Arial" w:eastAsia="宋体"/>
      <w:b/>
      <w:i/>
      <w:kern w:val="28"/>
      <w:sz w:val="18"/>
      <w:szCs w:val="24"/>
      <w:lang w:val="en-US" w:eastAsia="zh-CN" w:bidi="ar-SA"/>
    </w:rPr>
  </w:style>
  <w:style w:type="character" w:customStyle="1" w:styleId="158">
    <w:name w:val="标题 7 Char"/>
    <w:link w:val="10"/>
    <w:qFormat/>
    <w:uiPriority w:val="0"/>
    <w:rPr>
      <w:rFonts w:eastAsia="宋体"/>
      <w:b/>
      <w:kern w:val="28"/>
      <w:sz w:val="18"/>
      <w:szCs w:val="24"/>
      <w:lang w:val="en-US" w:eastAsia="zh-CN" w:bidi="ar-SA"/>
    </w:rPr>
  </w:style>
  <w:style w:type="character" w:customStyle="1" w:styleId="159">
    <w:name w:val="标题 8 Char"/>
    <w:link w:val="11"/>
    <w:qFormat/>
    <w:uiPriority w:val="9"/>
    <w:rPr>
      <w:rFonts w:eastAsia="宋体"/>
      <w:b/>
      <w:i/>
      <w:kern w:val="28"/>
      <w:sz w:val="18"/>
      <w:szCs w:val="24"/>
      <w:lang w:val="en-US" w:eastAsia="zh-CN" w:bidi="ar-SA"/>
    </w:rPr>
  </w:style>
  <w:style w:type="character" w:customStyle="1" w:styleId="160">
    <w:name w:val="标题 9 Char"/>
    <w:link w:val="12"/>
    <w:qFormat/>
    <w:uiPriority w:val="0"/>
    <w:rPr>
      <w:rFonts w:eastAsia="宋体"/>
      <w:b/>
      <w:i/>
      <w:kern w:val="28"/>
      <w:sz w:val="18"/>
      <w:szCs w:val="24"/>
      <w:lang w:val="en-US" w:eastAsia="zh-CN" w:bidi="ar-SA"/>
    </w:rPr>
  </w:style>
  <w:style w:type="paragraph" w:customStyle="1" w:styleId="161">
    <w:name w:val="6"/>
    <w:basedOn w:val="1"/>
    <w:qFormat/>
    <w:uiPriority w:val="0"/>
    <w:pPr>
      <w:spacing w:line="360" w:lineRule="auto"/>
      <w:ind w:firstLine="200" w:firstLineChars="200"/>
    </w:pPr>
  </w:style>
  <w:style w:type="paragraph" w:customStyle="1" w:styleId="162">
    <w:name w:val="Char Char1 Char Char Char Char Char Char Char Char Char Char Char Char Char Char Char Char Char Char"/>
    <w:basedOn w:val="1"/>
    <w:qFormat/>
    <w:uiPriority w:val="0"/>
    <w:pPr>
      <w:spacing w:line="360" w:lineRule="auto"/>
      <w:ind w:firstLine="200" w:firstLineChars="200"/>
    </w:pPr>
    <w:rPr>
      <w:szCs w:val="20"/>
    </w:rPr>
  </w:style>
  <w:style w:type="character" w:customStyle="1" w:styleId="163">
    <w:name w:val="表1 Char"/>
    <w:link w:val="164"/>
    <w:qFormat/>
    <w:uiPriority w:val="0"/>
    <w:rPr>
      <w:sz w:val="21"/>
      <w:szCs w:val="21"/>
      <w:lang w:val="en-US" w:eastAsia="zh-CN" w:bidi="ar-SA"/>
    </w:rPr>
  </w:style>
  <w:style w:type="paragraph" w:customStyle="1" w:styleId="164">
    <w:name w:val="表1"/>
    <w:next w:val="1"/>
    <w:link w:val="163"/>
    <w:qFormat/>
    <w:uiPriority w:val="0"/>
    <w:pPr>
      <w:adjustRightInd w:val="0"/>
      <w:snapToGrid w:val="0"/>
      <w:jc w:val="center"/>
    </w:pPr>
    <w:rPr>
      <w:rFonts w:ascii="Times New Roman" w:hAnsi="Times New Roman" w:eastAsia="宋体" w:cs="Times New Roman"/>
      <w:sz w:val="21"/>
      <w:szCs w:val="21"/>
      <w:lang w:val="en-US" w:eastAsia="zh-CN" w:bidi="ar-SA"/>
    </w:rPr>
  </w:style>
  <w:style w:type="character" w:customStyle="1" w:styleId="165">
    <w:name w:val="ourfont2"/>
    <w:uiPriority w:val="0"/>
    <w:rPr>
      <w:rFonts w:hint="eastAsia" w:ascii="宋体" w:hAnsi="宋体" w:eastAsia="宋体"/>
      <w:sz w:val="18"/>
      <w:szCs w:val="18"/>
    </w:rPr>
  </w:style>
  <w:style w:type="character" w:customStyle="1" w:styleId="166">
    <w:name w:val="表格内容 Char"/>
    <w:link w:val="167"/>
    <w:uiPriority w:val="0"/>
    <w:rPr>
      <w:rFonts w:ascii="Arial" w:hAnsi="Arial" w:eastAsia="仿宋_GB2312"/>
      <w:sz w:val="24"/>
      <w:lang w:val="en-US" w:eastAsia="zh-CN" w:bidi="ar-SA"/>
    </w:rPr>
  </w:style>
  <w:style w:type="paragraph" w:customStyle="1" w:styleId="167">
    <w:name w:val="表格内容"/>
    <w:basedOn w:val="1"/>
    <w:link w:val="166"/>
    <w:qFormat/>
    <w:uiPriority w:val="0"/>
    <w:pPr>
      <w:overflowPunct w:val="0"/>
      <w:adjustRightInd w:val="0"/>
      <w:spacing w:before="40" w:after="60" w:line="200" w:lineRule="atLeast"/>
      <w:textAlignment w:val="baseline"/>
    </w:pPr>
    <w:rPr>
      <w:rFonts w:ascii="Arial" w:hAnsi="Arial" w:eastAsia="仿宋_GB2312"/>
      <w:szCs w:val="20"/>
    </w:rPr>
  </w:style>
  <w:style w:type="character" w:customStyle="1" w:styleId="168">
    <w:name w:val="三级标题 Char"/>
    <w:link w:val="169"/>
    <w:uiPriority w:val="0"/>
    <w:rPr>
      <w:rFonts w:eastAsia="宋体"/>
      <w:b/>
      <w:kern w:val="2"/>
      <w:sz w:val="24"/>
      <w:szCs w:val="24"/>
      <w:lang w:val="en-US" w:eastAsia="zh-CN" w:bidi="ar-SA"/>
    </w:rPr>
  </w:style>
  <w:style w:type="paragraph" w:customStyle="1" w:styleId="169">
    <w:name w:val="三级标题"/>
    <w:basedOn w:val="170"/>
    <w:link w:val="168"/>
    <w:uiPriority w:val="0"/>
    <w:pPr>
      <w:spacing w:before="300"/>
      <w:ind w:firstLine="0" w:firstLineChars="0"/>
      <w:outlineLvl w:val="2"/>
    </w:pPr>
    <w:rPr>
      <w:b/>
    </w:rPr>
  </w:style>
  <w:style w:type="paragraph" w:customStyle="1" w:styleId="170">
    <w:name w:val="正文01"/>
    <w:basedOn w:val="1"/>
    <w:link w:val="171"/>
    <w:qFormat/>
    <w:uiPriority w:val="0"/>
    <w:pPr>
      <w:spacing w:before="60" w:line="460" w:lineRule="exact"/>
      <w:ind w:firstLine="200" w:firstLineChars="200"/>
    </w:pPr>
  </w:style>
  <w:style w:type="character" w:customStyle="1" w:styleId="171">
    <w:name w:val="正文01 Char"/>
    <w:link w:val="170"/>
    <w:uiPriority w:val="0"/>
    <w:rPr>
      <w:rFonts w:eastAsia="宋体"/>
      <w:kern w:val="2"/>
      <w:sz w:val="24"/>
      <w:szCs w:val="24"/>
      <w:lang w:val="en-US" w:eastAsia="zh-CN" w:bidi="ar-SA"/>
    </w:rPr>
  </w:style>
  <w:style w:type="character" w:customStyle="1" w:styleId="172">
    <w:name w:val="Char Char Char Char Char"/>
    <w:uiPriority w:val="0"/>
    <w:rPr>
      <w:rFonts w:eastAsia="仿宋_GB2312"/>
      <w:kern w:val="2"/>
      <w:sz w:val="18"/>
      <w:szCs w:val="18"/>
    </w:rPr>
  </w:style>
  <w:style w:type="character" w:customStyle="1" w:styleId="173">
    <w:name w:val="f121"/>
    <w:uiPriority w:val="0"/>
    <w:rPr>
      <w:sz w:val="18"/>
      <w:szCs w:val="18"/>
      <w:u w:val="none"/>
    </w:rPr>
  </w:style>
  <w:style w:type="character" w:customStyle="1" w:styleId="174">
    <w:name w:val="nfdjsaeriu1"/>
    <w:uiPriority w:val="0"/>
    <w:rPr>
      <w:vanish/>
    </w:rPr>
  </w:style>
  <w:style w:type="character" w:customStyle="1" w:styleId="175">
    <w:name w:val="正文格式 Char"/>
    <w:link w:val="176"/>
    <w:uiPriority w:val="0"/>
    <w:rPr>
      <w:rFonts w:ascii="宋体" w:hAnsi="宋体" w:eastAsia="宋体"/>
      <w:kern w:val="2"/>
      <w:sz w:val="24"/>
      <w:szCs w:val="24"/>
      <w:lang w:val="en-US" w:eastAsia="zh-CN" w:bidi="ar-SA"/>
    </w:rPr>
  </w:style>
  <w:style w:type="paragraph" w:customStyle="1" w:styleId="176">
    <w:name w:val="正文格式"/>
    <w:basedOn w:val="1"/>
    <w:link w:val="175"/>
    <w:qFormat/>
    <w:uiPriority w:val="0"/>
    <w:pPr>
      <w:spacing w:line="500" w:lineRule="exact"/>
      <w:ind w:firstLine="200" w:firstLineChars="200"/>
    </w:pPr>
  </w:style>
  <w:style w:type="character" w:customStyle="1" w:styleId="177">
    <w:name w:val="正文首行缩进2个字 Char"/>
    <w:link w:val="178"/>
    <w:uiPriority w:val="0"/>
    <w:rPr>
      <w:rFonts w:eastAsia="宋体"/>
      <w:kern w:val="2"/>
      <w:sz w:val="24"/>
      <w:szCs w:val="24"/>
      <w:lang w:val="en-US" w:eastAsia="zh-CN" w:bidi="ar-SA"/>
    </w:rPr>
  </w:style>
  <w:style w:type="paragraph" w:customStyle="1" w:styleId="178">
    <w:name w:val="正文首行缩进2个字"/>
    <w:basedOn w:val="1"/>
    <w:link w:val="177"/>
    <w:qFormat/>
    <w:uiPriority w:val="0"/>
    <w:pPr>
      <w:spacing w:line="360" w:lineRule="auto"/>
      <w:ind w:firstLine="480" w:firstLineChars="200"/>
    </w:pPr>
  </w:style>
  <w:style w:type="character" w:customStyle="1" w:styleId="179">
    <w:name w:val="副标题 Char"/>
    <w:link w:val="63"/>
    <w:qFormat/>
    <w:uiPriority w:val="0"/>
    <w:rPr>
      <w:rFonts w:ascii="Cambria" w:hAnsi="Cambria" w:eastAsia="宋体"/>
      <w:b/>
      <w:bCs/>
      <w:kern w:val="28"/>
      <w:sz w:val="32"/>
      <w:szCs w:val="32"/>
      <w:lang w:val="en-US" w:eastAsia="zh-CN" w:bidi="ar-SA"/>
    </w:rPr>
  </w:style>
  <w:style w:type="character" w:customStyle="1" w:styleId="180">
    <w:name w:val="样式 正文格式 Char"/>
    <w:link w:val="181"/>
    <w:uiPriority w:val="0"/>
    <w:rPr>
      <w:rFonts w:eastAsia="宋体"/>
      <w:sz w:val="24"/>
      <w:szCs w:val="24"/>
      <w:lang w:val="en-US" w:eastAsia="zh-CN" w:bidi="ar-SA"/>
    </w:rPr>
  </w:style>
  <w:style w:type="paragraph" w:customStyle="1" w:styleId="181">
    <w:name w:val="样式 正文格式"/>
    <w:basedOn w:val="35"/>
    <w:link w:val="180"/>
    <w:qFormat/>
    <w:uiPriority w:val="0"/>
    <w:pPr>
      <w:spacing w:after="0" w:line="480" w:lineRule="exact"/>
      <w:ind w:left="0" w:leftChars="0" w:firstLine="480"/>
    </w:pPr>
  </w:style>
  <w:style w:type="character" w:customStyle="1" w:styleId="182">
    <w:name w:val="正文文本缩进 Char"/>
    <w:link w:val="35"/>
    <w:uiPriority w:val="0"/>
    <w:rPr>
      <w:rFonts w:eastAsia="宋体"/>
      <w:kern w:val="2"/>
      <w:sz w:val="21"/>
      <w:szCs w:val="24"/>
      <w:lang w:val="en-US" w:eastAsia="zh-CN" w:bidi="ar-SA"/>
    </w:rPr>
  </w:style>
  <w:style w:type="character" w:customStyle="1" w:styleId="183">
    <w:name w:val="日期 Char"/>
    <w:link w:val="49"/>
    <w:uiPriority w:val="0"/>
    <w:rPr>
      <w:rFonts w:eastAsia="仿宋_GB2312"/>
      <w:b/>
      <w:kern w:val="2"/>
      <w:sz w:val="32"/>
      <w:szCs w:val="24"/>
      <w:lang w:val="en-US" w:eastAsia="zh-CN" w:bidi="ar-SA"/>
    </w:rPr>
  </w:style>
  <w:style w:type="character" w:customStyle="1" w:styleId="184">
    <w:name w:val="p1481"/>
    <w:uiPriority w:val="0"/>
    <w:rPr>
      <w:color w:val="515151"/>
      <w:sz w:val="22"/>
      <w:szCs w:val="22"/>
    </w:rPr>
  </w:style>
  <w:style w:type="character" w:customStyle="1" w:styleId="185">
    <w:name w:val="h31"/>
    <w:qFormat/>
    <w:uiPriority w:val="0"/>
    <w:rPr>
      <w:sz w:val="21"/>
      <w:szCs w:val="21"/>
    </w:rPr>
  </w:style>
  <w:style w:type="character" w:customStyle="1" w:styleId="186">
    <w:name w:val="纯文本 Char"/>
    <w:link w:val="31"/>
    <w:uiPriority w:val="0"/>
    <w:rPr>
      <w:rFonts w:ascii="宋体" w:hAnsi="Courier New" w:eastAsia="宋体" w:cs="Courier New"/>
      <w:kern w:val="2"/>
      <w:sz w:val="21"/>
      <w:szCs w:val="21"/>
      <w:lang w:val="en-US" w:eastAsia="zh-CN" w:bidi="ar-SA"/>
    </w:rPr>
  </w:style>
  <w:style w:type="character" w:customStyle="1" w:styleId="187">
    <w:name w:val="批注文字 Char2"/>
    <w:link w:val="28"/>
    <w:qFormat/>
    <w:uiPriority w:val="99"/>
    <w:rPr>
      <w:rFonts w:eastAsia="宋体"/>
      <w:kern w:val="2"/>
      <w:sz w:val="21"/>
      <w:szCs w:val="24"/>
      <w:lang w:val="en-US" w:eastAsia="zh-CN" w:bidi="ar-SA"/>
    </w:rPr>
  </w:style>
  <w:style w:type="character" w:customStyle="1" w:styleId="188">
    <w:name w:val="tdword"/>
    <w:basedOn w:val="132"/>
    <w:uiPriority w:val="0"/>
  </w:style>
  <w:style w:type="character" w:customStyle="1" w:styleId="189">
    <w:name w:val="正文文本缩进 2 Char"/>
    <w:link w:val="50"/>
    <w:uiPriority w:val="0"/>
    <w:rPr>
      <w:rFonts w:eastAsia="宋体"/>
      <w:kern w:val="2"/>
      <w:sz w:val="24"/>
      <w:szCs w:val="24"/>
      <w:lang w:val="en-US" w:eastAsia="zh-CN" w:bidi="ar-SA"/>
    </w:rPr>
  </w:style>
  <w:style w:type="character" w:customStyle="1" w:styleId="190">
    <w:name w:val="4级（小）标题 Char"/>
    <w:link w:val="191"/>
    <w:qFormat/>
    <w:uiPriority w:val="0"/>
    <w:rPr>
      <w:rFonts w:eastAsia="宋体"/>
      <w:b/>
      <w:kern w:val="2"/>
      <w:sz w:val="24"/>
      <w:szCs w:val="24"/>
      <w:lang w:val="en-US" w:eastAsia="zh-CN" w:bidi="ar-SA"/>
    </w:rPr>
  </w:style>
  <w:style w:type="paragraph" w:customStyle="1" w:styleId="191">
    <w:name w:val="4级（小）标题"/>
    <w:basedOn w:val="1"/>
    <w:link w:val="190"/>
    <w:qFormat/>
    <w:uiPriority w:val="0"/>
    <w:pPr>
      <w:spacing w:before="60" w:line="360" w:lineRule="auto"/>
      <w:outlineLvl w:val="3"/>
    </w:pPr>
    <w:rPr>
      <w:b/>
    </w:rPr>
  </w:style>
  <w:style w:type="character" w:customStyle="1" w:styleId="192">
    <w:name w:val="表格下方正文 Char"/>
    <w:link w:val="193"/>
    <w:qFormat/>
    <w:uiPriority w:val="0"/>
    <w:rPr>
      <w:rFonts w:eastAsia="宋体"/>
      <w:kern w:val="2"/>
      <w:sz w:val="24"/>
      <w:szCs w:val="24"/>
      <w:lang w:val="en-US" w:eastAsia="zh-CN" w:bidi="ar-SA"/>
    </w:rPr>
  </w:style>
  <w:style w:type="paragraph" w:customStyle="1" w:styleId="193">
    <w:name w:val="表格下方正文"/>
    <w:basedOn w:val="1"/>
    <w:link w:val="192"/>
    <w:qFormat/>
    <w:uiPriority w:val="0"/>
    <w:pPr>
      <w:spacing w:before="300" w:line="460" w:lineRule="exact"/>
      <w:ind w:firstLine="200" w:firstLineChars="200"/>
    </w:pPr>
  </w:style>
  <w:style w:type="character" w:customStyle="1" w:styleId="194">
    <w:name w:val="f241"/>
    <w:qFormat/>
    <w:uiPriority w:val="0"/>
    <w:rPr>
      <w:sz w:val="40"/>
      <w:szCs w:val="40"/>
    </w:rPr>
  </w:style>
  <w:style w:type="character" w:customStyle="1" w:styleId="195">
    <w:name w:val="样式1 Char"/>
    <w:link w:val="196"/>
    <w:qFormat/>
    <w:uiPriority w:val="0"/>
    <w:rPr>
      <w:rFonts w:ascii="方正大标宋简体" w:eastAsia="方正大标宋简体"/>
      <w:b/>
      <w:kern w:val="2"/>
      <w:sz w:val="44"/>
      <w:lang w:val="en-US" w:eastAsia="zh-CN" w:bidi="ar-SA"/>
    </w:rPr>
  </w:style>
  <w:style w:type="paragraph" w:customStyle="1" w:styleId="196">
    <w:name w:val="样式1"/>
    <w:basedOn w:val="1"/>
    <w:link w:val="195"/>
    <w:qFormat/>
    <w:uiPriority w:val="0"/>
    <w:pPr>
      <w:tabs>
        <w:tab w:val="left" w:pos="360"/>
      </w:tabs>
      <w:spacing w:line="500" w:lineRule="exact"/>
      <w:ind w:left="360" w:right="-1038" w:hanging="360"/>
      <w:outlineLvl w:val="0"/>
    </w:pPr>
    <w:rPr>
      <w:rFonts w:ascii="方正大标宋简体" w:eastAsia="方正大标宋简体"/>
      <w:b/>
      <w:sz w:val="44"/>
      <w:szCs w:val="20"/>
    </w:rPr>
  </w:style>
  <w:style w:type="character" w:customStyle="1" w:styleId="197">
    <w:name w:val="图表标题 Char"/>
    <w:link w:val="198"/>
    <w:qFormat/>
    <w:uiPriority w:val="0"/>
    <w:rPr>
      <w:rFonts w:eastAsia="宋体"/>
      <w:b/>
      <w:kern w:val="2"/>
      <w:sz w:val="21"/>
      <w:szCs w:val="24"/>
    </w:rPr>
  </w:style>
  <w:style w:type="paragraph" w:customStyle="1" w:styleId="198">
    <w:name w:val="图表标题"/>
    <w:basedOn w:val="1"/>
    <w:link w:val="197"/>
    <w:qFormat/>
    <w:uiPriority w:val="0"/>
    <w:pPr>
      <w:spacing w:line="360" w:lineRule="auto"/>
      <w:jc w:val="center"/>
      <w:outlineLvl w:val="4"/>
    </w:pPr>
    <w:rPr>
      <w:b/>
    </w:rPr>
  </w:style>
  <w:style w:type="character" w:customStyle="1" w:styleId="199">
    <w:name w:val="不明显强调1"/>
    <w:qFormat/>
    <w:uiPriority w:val="19"/>
    <w:rPr>
      <w:i/>
      <w:iCs/>
      <w:color w:val="808080"/>
    </w:rPr>
  </w:style>
  <w:style w:type="character" w:customStyle="1" w:styleId="200">
    <w:name w:val="表头 Char"/>
    <w:link w:val="201"/>
    <w:qFormat/>
    <w:uiPriority w:val="0"/>
    <w:rPr>
      <w:rFonts w:eastAsia="宋体"/>
      <w:kern w:val="2"/>
      <w:sz w:val="24"/>
      <w:lang w:val="en-US" w:eastAsia="zh-CN" w:bidi="ar-SA"/>
    </w:rPr>
  </w:style>
  <w:style w:type="paragraph" w:customStyle="1" w:styleId="201">
    <w:name w:val="表头"/>
    <w:basedOn w:val="1"/>
    <w:link w:val="200"/>
    <w:qFormat/>
    <w:uiPriority w:val="0"/>
    <w:pPr>
      <w:spacing w:beforeLines="50"/>
      <w:jc w:val="center"/>
    </w:pPr>
    <w:rPr>
      <w:szCs w:val="20"/>
    </w:rPr>
  </w:style>
  <w:style w:type="character" w:customStyle="1" w:styleId="202">
    <w:name w:val="td21"/>
    <w:qFormat/>
    <w:uiPriority w:val="0"/>
    <w:rPr>
      <w:rFonts w:ascii="黑体" w:eastAsia="黑体"/>
      <w:sz w:val="24"/>
      <w:szCs w:val="21"/>
    </w:rPr>
  </w:style>
  <w:style w:type="character" w:customStyle="1" w:styleId="203">
    <w:name w:val="3级（次）标题 Char"/>
    <w:link w:val="204"/>
    <w:uiPriority w:val="0"/>
    <w:rPr>
      <w:rFonts w:ascii="宋体" w:hAnsi="宋体" w:eastAsia="宋体"/>
      <w:b/>
      <w:kern w:val="2"/>
      <w:sz w:val="24"/>
      <w:szCs w:val="24"/>
      <w:lang w:val="en-US" w:eastAsia="zh-CN" w:bidi="ar-SA"/>
    </w:rPr>
  </w:style>
  <w:style w:type="paragraph" w:customStyle="1" w:styleId="204">
    <w:name w:val="3级（次）标题"/>
    <w:basedOn w:val="1"/>
    <w:link w:val="203"/>
    <w:qFormat/>
    <w:uiPriority w:val="0"/>
    <w:pPr>
      <w:spacing w:line="360" w:lineRule="auto"/>
      <w:ind w:firstLine="241" w:firstLineChars="100"/>
      <w:outlineLvl w:val="2"/>
    </w:pPr>
    <w:rPr>
      <w:b/>
    </w:rPr>
  </w:style>
  <w:style w:type="character" w:customStyle="1" w:styleId="205">
    <w:name w:val="l121"/>
    <w:qFormat/>
    <w:uiPriority w:val="0"/>
    <w:rPr>
      <w:color w:val="393939"/>
      <w:sz w:val="18"/>
      <w:szCs w:val="18"/>
      <w:u w:val="none"/>
    </w:rPr>
  </w:style>
  <w:style w:type="character" w:customStyle="1" w:styleId="206">
    <w:name w:val="标题节 Char"/>
    <w:uiPriority w:val="0"/>
    <w:rPr>
      <w:rFonts w:eastAsia="仿宋_GB2312"/>
      <w:b/>
      <w:bCs/>
      <w:kern w:val="2"/>
      <w:sz w:val="28"/>
      <w:szCs w:val="32"/>
      <w:lang w:val="en-US" w:eastAsia="zh-CN" w:bidi="ar-SA"/>
    </w:rPr>
  </w:style>
  <w:style w:type="character" w:customStyle="1" w:styleId="207">
    <w:name w:val="11p"/>
    <w:basedOn w:val="132"/>
    <w:qFormat/>
    <w:uiPriority w:val="0"/>
  </w:style>
  <w:style w:type="character" w:customStyle="1" w:styleId="208">
    <w:name w:val="Char Char1 Char"/>
    <w:uiPriority w:val="0"/>
    <w:rPr>
      <w:rFonts w:ascii="宋体" w:hAnsi="宋体" w:cs="宋体"/>
      <w:kern w:val="2"/>
      <w:sz w:val="24"/>
      <w:szCs w:val="24"/>
    </w:rPr>
  </w:style>
  <w:style w:type="character" w:customStyle="1" w:styleId="209">
    <w:name w:val="a31"/>
    <w:uiPriority w:val="0"/>
    <w:rPr>
      <w:rFonts w:hint="eastAsia" w:ascii="宋体" w:hAnsi="宋体" w:eastAsia="宋体"/>
      <w:color w:val="000000"/>
      <w:sz w:val="20"/>
      <w:szCs w:val="20"/>
    </w:rPr>
  </w:style>
  <w:style w:type="character" w:customStyle="1" w:styleId="210">
    <w:name w:val="b-121"/>
    <w:qFormat/>
    <w:uiPriority w:val="0"/>
    <w:rPr>
      <w:rFonts w:hint="default"/>
      <w:sz w:val="18"/>
      <w:szCs w:val="18"/>
      <w:u w:val="none"/>
    </w:rPr>
  </w:style>
  <w:style w:type="character" w:customStyle="1" w:styleId="211">
    <w:name w:val="Char"/>
    <w:qFormat/>
    <w:uiPriority w:val="0"/>
    <w:rPr>
      <w:rFonts w:eastAsia="黑体"/>
      <w:b/>
      <w:bCs/>
      <w:kern w:val="44"/>
      <w:sz w:val="32"/>
      <w:szCs w:val="44"/>
      <w:lang w:val="en-US" w:eastAsia="zh-CN" w:bidi="ar-SA"/>
    </w:rPr>
  </w:style>
  <w:style w:type="character" w:customStyle="1" w:styleId="212">
    <w:name w:val="articlebody3"/>
    <w:qFormat/>
    <w:uiPriority w:val="0"/>
    <w:rPr>
      <w:sz w:val="21"/>
      <w:szCs w:val="21"/>
    </w:rPr>
  </w:style>
  <w:style w:type="character" w:customStyle="1" w:styleId="213">
    <w:name w:val="标题1"/>
    <w:basedOn w:val="132"/>
    <w:qFormat/>
    <w:uiPriority w:val="0"/>
  </w:style>
  <w:style w:type="character" w:customStyle="1" w:styleId="214">
    <w:name w:val="正文文本 Char"/>
    <w:uiPriority w:val="1"/>
    <w:rPr>
      <w:rFonts w:eastAsia="宋体"/>
      <w:kern w:val="2"/>
      <w:sz w:val="21"/>
      <w:szCs w:val="24"/>
      <w:lang w:val="en-US" w:eastAsia="zh-CN" w:bidi="ar-SA"/>
    </w:rPr>
  </w:style>
  <w:style w:type="character" w:customStyle="1" w:styleId="215">
    <w:name w:val="style11"/>
    <w:qFormat/>
    <w:uiPriority w:val="0"/>
    <w:rPr>
      <w:color w:val="0099FF"/>
    </w:rPr>
  </w:style>
  <w:style w:type="character" w:customStyle="1" w:styleId="216">
    <w:name w:val="f14b1"/>
    <w:uiPriority w:val="0"/>
    <w:rPr>
      <w:b/>
      <w:bCs/>
      <w:sz w:val="21"/>
      <w:szCs w:val="21"/>
    </w:rPr>
  </w:style>
  <w:style w:type="character" w:customStyle="1" w:styleId="217">
    <w:name w:val="style151"/>
    <w:qFormat/>
    <w:uiPriority w:val="0"/>
    <w:rPr>
      <w:b/>
      <w:bCs/>
      <w:color w:val="CC0000"/>
      <w:sz w:val="22"/>
      <w:szCs w:val="22"/>
    </w:rPr>
  </w:style>
  <w:style w:type="character" w:customStyle="1" w:styleId="218">
    <w:name w:val="页脚 Char3"/>
    <w:link w:val="54"/>
    <w:qFormat/>
    <w:uiPriority w:val="99"/>
    <w:rPr>
      <w:kern w:val="2"/>
      <w:sz w:val="18"/>
      <w:szCs w:val="18"/>
    </w:rPr>
  </w:style>
  <w:style w:type="character" w:customStyle="1" w:styleId="219">
    <w:name w:val="正文001 Char"/>
    <w:link w:val="220"/>
    <w:qFormat/>
    <w:uiPriority w:val="0"/>
    <w:rPr>
      <w:kern w:val="2"/>
      <w:sz w:val="24"/>
      <w:szCs w:val="24"/>
    </w:rPr>
  </w:style>
  <w:style w:type="paragraph" w:customStyle="1" w:styleId="220">
    <w:name w:val="正文001"/>
    <w:basedOn w:val="1"/>
    <w:link w:val="219"/>
    <w:qFormat/>
    <w:uiPriority w:val="0"/>
    <w:pPr>
      <w:spacing w:line="360" w:lineRule="auto"/>
      <w:ind w:firstLine="482"/>
    </w:pPr>
  </w:style>
  <w:style w:type="character" w:customStyle="1" w:styleId="221">
    <w:name w:val="批注主题 Char3"/>
    <w:link w:val="84"/>
    <w:uiPriority w:val="99"/>
    <w:rPr>
      <w:rFonts w:eastAsia="宋体"/>
      <w:b/>
      <w:bCs/>
      <w:kern w:val="2"/>
      <w:sz w:val="21"/>
      <w:szCs w:val="24"/>
      <w:lang w:val="en-US" w:eastAsia="zh-CN" w:bidi="ar-SA"/>
    </w:rPr>
  </w:style>
  <w:style w:type="character" w:customStyle="1" w:styleId="222">
    <w:name w:val="style51"/>
    <w:uiPriority w:val="0"/>
    <w:rPr>
      <w:rFonts w:hint="eastAsia" w:ascii="宋体" w:hAnsi="宋体" w:eastAsia="宋体"/>
      <w:sz w:val="23"/>
      <w:szCs w:val="23"/>
    </w:rPr>
  </w:style>
  <w:style w:type="character" w:customStyle="1" w:styleId="223">
    <w:name w:val="标题 3 Char"/>
    <w:qFormat/>
    <w:uiPriority w:val="9"/>
    <w:rPr>
      <w:rFonts w:eastAsia="宋体"/>
      <w:b/>
      <w:kern w:val="28"/>
      <w:sz w:val="24"/>
      <w:lang w:val="en-US" w:eastAsia="zh-CN" w:bidi="ar-SA"/>
    </w:rPr>
  </w:style>
  <w:style w:type="character" w:customStyle="1" w:styleId="224">
    <w:name w:val="menu-text1"/>
    <w:qFormat/>
    <w:uiPriority w:val="0"/>
    <w:rPr>
      <w:rFonts w:hint="default"/>
      <w:color w:val="333333"/>
      <w:sz w:val="21"/>
      <w:szCs w:val="21"/>
      <w:u w:val="none"/>
    </w:rPr>
  </w:style>
  <w:style w:type="character" w:customStyle="1" w:styleId="225">
    <w:name w:val="ww2"/>
    <w:qFormat/>
    <w:uiPriority w:val="0"/>
    <w:rPr>
      <w:color w:val="000000"/>
      <w:sz w:val="22"/>
      <w:szCs w:val="22"/>
      <w:u w:val="none"/>
    </w:rPr>
  </w:style>
  <w:style w:type="character" w:customStyle="1" w:styleId="226">
    <w:name w:val="样式 汉鼎简魏碑"/>
    <w:uiPriority w:val="0"/>
    <w:rPr>
      <w:rFonts w:ascii="汉鼎简魏碑" w:hAnsi="汉鼎简魏碑" w:eastAsia="楷体_GB2312"/>
    </w:rPr>
  </w:style>
  <w:style w:type="character" w:customStyle="1" w:styleId="227">
    <w:name w:val="unnamed11"/>
    <w:qFormat/>
    <w:uiPriority w:val="0"/>
    <w:rPr>
      <w:rFonts w:hint="eastAsia" w:ascii="宋体" w:hAnsi="宋体" w:eastAsia="宋体"/>
      <w:sz w:val="20"/>
      <w:szCs w:val="20"/>
    </w:rPr>
  </w:style>
  <w:style w:type="character" w:customStyle="1" w:styleId="228">
    <w:name w:val="已访问的超链接1"/>
    <w:qFormat/>
    <w:uiPriority w:val="0"/>
    <w:rPr>
      <w:color w:val="800080"/>
      <w:u w:val="single"/>
    </w:rPr>
  </w:style>
  <w:style w:type="character" w:customStyle="1" w:styleId="229">
    <w:name w:val="表格正文 Char"/>
    <w:link w:val="230"/>
    <w:qFormat/>
    <w:uiPriority w:val="0"/>
    <w:rPr>
      <w:rFonts w:eastAsia="宋体"/>
      <w:kern w:val="2"/>
      <w:sz w:val="21"/>
      <w:szCs w:val="21"/>
      <w:lang w:val="en-US" w:eastAsia="zh-CN" w:bidi="ar-SA"/>
    </w:rPr>
  </w:style>
  <w:style w:type="paragraph" w:customStyle="1" w:styleId="230">
    <w:name w:val="表格正文"/>
    <w:basedOn w:val="1"/>
    <w:link w:val="229"/>
    <w:qFormat/>
    <w:uiPriority w:val="99"/>
    <w:pPr>
      <w:spacing w:line="360" w:lineRule="exact"/>
      <w:jc w:val="center"/>
    </w:pPr>
    <w:rPr>
      <w:szCs w:val="21"/>
    </w:rPr>
  </w:style>
  <w:style w:type="character" w:customStyle="1" w:styleId="231">
    <w:name w:val="HTML 预设格式 Char"/>
    <w:link w:val="79"/>
    <w:uiPriority w:val="99"/>
    <w:rPr>
      <w:rFonts w:ascii="Courier New" w:hAnsi="Courier New" w:eastAsia="宋体"/>
      <w:lang w:val="en-US" w:eastAsia="zh-CN" w:bidi="ar-SA"/>
    </w:rPr>
  </w:style>
  <w:style w:type="character" w:customStyle="1" w:styleId="232">
    <w:name w:val="正文01 Char1"/>
    <w:qFormat/>
    <w:uiPriority w:val="0"/>
    <w:rPr>
      <w:rFonts w:eastAsia="宋体"/>
      <w:kern w:val="2"/>
      <w:sz w:val="24"/>
      <w:szCs w:val="24"/>
      <w:lang w:val="en-US" w:eastAsia="zh-CN" w:bidi="ar-SA"/>
    </w:rPr>
  </w:style>
  <w:style w:type="character" w:customStyle="1" w:styleId="233">
    <w:name w:val="样式 样式 标题 2 + 段后: 12 行 + Times New Roman Char"/>
    <w:link w:val="234"/>
    <w:uiPriority w:val="0"/>
    <w:rPr>
      <w:rFonts w:eastAsia="华文中宋"/>
      <w:b/>
      <w:bCs/>
      <w:kern w:val="2"/>
      <w:sz w:val="32"/>
      <w:szCs w:val="24"/>
    </w:rPr>
  </w:style>
  <w:style w:type="paragraph" w:customStyle="1" w:styleId="234">
    <w:name w:val="样式 样式 标题 2 + 段后: 12 行 + Times New Roman"/>
    <w:basedOn w:val="1"/>
    <w:link w:val="233"/>
    <w:qFormat/>
    <w:uiPriority w:val="0"/>
    <w:pPr>
      <w:keepNext/>
      <w:keepLines/>
      <w:spacing w:before="240" w:after="240"/>
      <w:outlineLvl w:val="1"/>
    </w:pPr>
    <w:rPr>
      <w:rFonts w:eastAsia="华文中宋"/>
      <w:b/>
      <w:bCs/>
      <w:sz w:val="32"/>
    </w:rPr>
  </w:style>
  <w:style w:type="character" w:customStyle="1" w:styleId="235">
    <w:name w:val="unnamed2"/>
    <w:basedOn w:val="132"/>
    <w:uiPriority w:val="0"/>
  </w:style>
  <w:style w:type="character" w:customStyle="1" w:styleId="236">
    <w:name w:val="line21"/>
    <w:uiPriority w:val="0"/>
    <w:rPr>
      <w:color w:val="666666"/>
      <w:sz w:val="20"/>
      <w:szCs w:val="20"/>
      <w:u w:val="none"/>
    </w:rPr>
  </w:style>
  <w:style w:type="paragraph" w:customStyle="1" w:styleId="237">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38">
    <w:name w:val="xl49"/>
    <w:basedOn w:val="1"/>
    <w:qFormat/>
    <w:uiPriority w:val="0"/>
    <w:pPr>
      <w:pBdr>
        <w:top w:val="single" w:color="auto" w:sz="4" w:space="0"/>
        <w:bottom w:val="single" w:color="auto" w:sz="4" w:space="0"/>
      </w:pBdr>
      <w:spacing w:before="100" w:beforeAutospacing="1" w:after="100" w:afterAutospacing="1"/>
      <w:jc w:val="center"/>
    </w:pPr>
  </w:style>
  <w:style w:type="paragraph" w:customStyle="1" w:styleId="239">
    <w:name w:val="样式 正文文本缩进 + 左侧:  0.95 厘米 首行缩进:  0.63 厘米"/>
    <w:basedOn w:val="35"/>
    <w:qFormat/>
    <w:uiPriority w:val="0"/>
    <w:pPr>
      <w:spacing w:after="0" w:line="360" w:lineRule="auto"/>
      <w:ind w:left="539" w:leftChars="0" w:firstLine="510"/>
    </w:pPr>
    <w:rPr>
      <w:color w:val="000000"/>
      <w:szCs w:val="20"/>
    </w:rPr>
  </w:style>
  <w:style w:type="paragraph" w:customStyle="1" w:styleId="240">
    <w:name w:val="标题004"/>
    <w:basedOn w:val="220"/>
    <w:qFormat/>
    <w:uiPriority w:val="0"/>
    <w:pPr>
      <w:ind w:firstLine="0"/>
      <w:outlineLvl w:val="3"/>
    </w:pPr>
    <w:rPr>
      <w:b/>
      <w:bCs/>
    </w:rPr>
  </w:style>
  <w:style w:type="paragraph" w:customStyle="1" w:styleId="241">
    <w:name w:val="样式 标题 4 + 两端对齐"/>
    <w:basedOn w:val="5"/>
    <w:qFormat/>
    <w:uiPriority w:val="0"/>
    <w:pPr>
      <w:keepNext w:val="0"/>
      <w:widowControl w:val="0"/>
      <w:tabs>
        <w:tab w:val="left" w:pos="900"/>
      </w:tabs>
      <w:overflowPunct/>
      <w:autoSpaceDE/>
      <w:autoSpaceDN/>
      <w:adjustRightInd/>
      <w:spacing w:after="120"/>
      <w:textAlignment w:val="auto"/>
    </w:pPr>
    <w:rPr>
      <w:b w:val="0"/>
      <w:i w:val="0"/>
      <w:snapToGrid w:val="0"/>
      <w:kern w:val="0"/>
    </w:rPr>
  </w:style>
  <w:style w:type="paragraph" w:customStyle="1" w:styleId="242">
    <w:name w:val="xl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rPr>
  </w:style>
  <w:style w:type="paragraph" w:customStyle="1" w:styleId="243">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sz w:val="20"/>
      <w:szCs w:val="20"/>
    </w:rPr>
  </w:style>
  <w:style w:type="paragraph" w:customStyle="1" w:styleId="244">
    <w:name w:val="标书正文"/>
    <w:basedOn w:val="6"/>
    <w:qFormat/>
    <w:uiPriority w:val="0"/>
    <w:pPr>
      <w:widowControl w:val="0"/>
      <w:spacing w:after="0" w:line="360" w:lineRule="auto"/>
      <w:jc w:val="both"/>
    </w:pPr>
    <w:rPr>
      <w:rFonts w:ascii="Arial Narrow" w:hAnsi="Arial Narrow" w:eastAsia="仿宋_GB2312"/>
      <w:kern w:val="2"/>
    </w:rPr>
  </w:style>
  <w:style w:type="paragraph" w:customStyle="1" w:styleId="245">
    <w:name w:val="Char Char Char Char"/>
    <w:basedOn w:val="1"/>
    <w:qFormat/>
    <w:uiPriority w:val="0"/>
    <w:pPr>
      <w:spacing w:beforeLines="20" w:line="440" w:lineRule="atLeast"/>
      <w:ind w:firstLine="200" w:firstLineChars="200"/>
    </w:pPr>
  </w:style>
  <w:style w:type="paragraph" w:customStyle="1" w:styleId="246">
    <w:name w:val="xl88"/>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rPr>
  </w:style>
  <w:style w:type="paragraph" w:customStyle="1" w:styleId="247">
    <w:name w:val="样式 表头样式1 + 首行缩进:  0.85 厘米"/>
    <w:basedOn w:val="248"/>
    <w:uiPriority w:val="0"/>
    <w:pPr>
      <w:spacing w:beforeLines="20" w:afterLines="20" w:line="360" w:lineRule="auto"/>
      <w:jc w:val="center"/>
    </w:pPr>
    <w:rPr>
      <w:rFonts w:ascii="黑体" w:eastAsia="黑体"/>
      <w:color w:val="auto"/>
      <w:sz w:val="24"/>
      <w:szCs w:val="20"/>
      <w:lang w:eastAsia="zh-CN"/>
    </w:rPr>
  </w:style>
  <w:style w:type="paragraph" w:customStyle="1" w:styleId="248">
    <w:name w:val="表头样式1"/>
    <w:basedOn w:val="1"/>
    <w:qFormat/>
    <w:uiPriority w:val="0"/>
    <w:pPr>
      <w:adjustRightInd w:val="0"/>
      <w:snapToGrid w:val="0"/>
      <w:spacing w:before="200" w:after="200" w:line="500" w:lineRule="exact"/>
    </w:pPr>
    <w:rPr>
      <w:color w:val="000000"/>
      <w:sz w:val="28"/>
      <w:lang w:eastAsia="zh-TW"/>
    </w:rPr>
  </w:style>
  <w:style w:type="paragraph" w:customStyle="1" w:styleId="249">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pPr>
  </w:style>
  <w:style w:type="paragraph" w:customStyle="1" w:styleId="250">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51">
    <w:name w:val="xl48"/>
    <w:basedOn w:val="1"/>
    <w:qFormat/>
    <w:uiPriority w:val="0"/>
    <w:pPr>
      <w:pBdr>
        <w:top w:val="single" w:color="auto" w:sz="4" w:space="0"/>
        <w:bottom w:val="single" w:color="auto" w:sz="4" w:space="0"/>
      </w:pBdr>
      <w:spacing w:before="100" w:beforeAutospacing="1" w:after="100" w:afterAutospacing="1"/>
      <w:jc w:val="center"/>
      <w:textAlignment w:val="center"/>
    </w:pPr>
  </w:style>
  <w:style w:type="paragraph" w:customStyle="1" w:styleId="252">
    <w:name w:val="标题12"/>
    <w:basedOn w:val="1"/>
    <w:next w:val="3"/>
    <w:qFormat/>
    <w:uiPriority w:val="0"/>
    <w:pPr>
      <w:spacing w:before="240" w:after="240"/>
      <w:jc w:val="center"/>
    </w:pPr>
    <w:rPr>
      <w:b/>
      <w:sz w:val="32"/>
      <w:szCs w:val="20"/>
    </w:rPr>
  </w:style>
  <w:style w:type="paragraph" w:customStyle="1" w:styleId="253">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sz w:val="20"/>
      <w:szCs w:val="20"/>
    </w:rPr>
  </w:style>
  <w:style w:type="paragraph" w:customStyle="1" w:styleId="254">
    <w:name w:val="xl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55">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 w:val="20"/>
      <w:szCs w:val="20"/>
    </w:rPr>
  </w:style>
  <w:style w:type="character" w:customStyle="1" w:styleId="256">
    <w:name w:val="正文首行缩进 2 Char1"/>
    <w:link w:val="86"/>
    <w:uiPriority w:val="0"/>
    <w:rPr>
      <w:rFonts w:eastAsia="宋体"/>
      <w:kern w:val="2"/>
      <w:sz w:val="21"/>
      <w:szCs w:val="24"/>
      <w:lang w:val="en-US" w:eastAsia="zh-CN" w:bidi="ar-SA"/>
    </w:rPr>
  </w:style>
  <w:style w:type="paragraph" w:customStyle="1" w:styleId="257">
    <w:name w:val="报告正文-连续目录"/>
    <w:basedOn w:val="1"/>
    <w:link w:val="258"/>
    <w:qFormat/>
    <w:uiPriority w:val="0"/>
    <w:pPr>
      <w:spacing w:line="440" w:lineRule="exact"/>
      <w:ind w:firstLine="200" w:firstLineChars="200"/>
    </w:pPr>
    <w:rPr>
      <w:rFonts w:ascii="Arial" w:hAnsi="Arial"/>
      <w:snapToGrid w:val="0"/>
    </w:rPr>
  </w:style>
  <w:style w:type="character" w:customStyle="1" w:styleId="258">
    <w:name w:val="报告正文-连续目录 Char Char"/>
    <w:link w:val="257"/>
    <w:uiPriority w:val="0"/>
    <w:rPr>
      <w:rFonts w:ascii="Arial" w:hAnsi="Arial" w:eastAsia="宋体"/>
      <w:snapToGrid w:val="0"/>
      <w:kern w:val="2"/>
      <w:sz w:val="24"/>
      <w:szCs w:val="24"/>
      <w:lang w:val="en-US" w:eastAsia="zh-CN" w:bidi="ar-SA"/>
    </w:rPr>
  </w:style>
  <w:style w:type="paragraph" w:customStyle="1" w:styleId="259">
    <w:name w:val="xl87"/>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rPr>
  </w:style>
  <w:style w:type="paragraph" w:customStyle="1" w:styleId="260">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261">
    <w:name w:val="xl47"/>
    <w:basedOn w:val="1"/>
    <w:qFormat/>
    <w:uiPriority w:val="0"/>
    <w:pPr>
      <w:pBdr>
        <w:top w:val="single" w:color="auto" w:sz="4" w:space="0"/>
        <w:bottom w:val="single" w:color="auto" w:sz="4" w:space="0"/>
      </w:pBdr>
      <w:spacing w:before="100" w:beforeAutospacing="1" w:after="100" w:afterAutospacing="1"/>
      <w:textAlignment w:val="center"/>
    </w:pPr>
  </w:style>
  <w:style w:type="paragraph" w:customStyle="1" w:styleId="262">
    <w:name w:val="3级标题"/>
    <w:basedOn w:val="1"/>
    <w:qFormat/>
    <w:uiPriority w:val="0"/>
    <w:pPr>
      <w:spacing w:before="300" w:line="460" w:lineRule="exact"/>
      <w:outlineLvl w:val="2"/>
    </w:pPr>
    <w:rPr>
      <w:rFonts w:ascii="Arial" w:hAnsi="Arial"/>
      <w:b/>
      <w:szCs w:val="20"/>
    </w:rPr>
  </w:style>
  <w:style w:type="paragraph" w:customStyle="1" w:styleId="263">
    <w:name w:val="论文正文"/>
    <w:basedOn w:val="8"/>
    <w:qFormat/>
    <w:uiPriority w:val="0"/>
    <w:pPr>
      <w:ind w:firstLine="480"/>
    </w:pPr>
    <w:rPr>
      <w:sz w:val="28"/>
    </w:rPr>
  </w:style>
  <w:style w:type="paragraph" w:customStyle="1" w:styleId="264">
    <w:name w:val="图像样式"/>
    <w:basedOn w:val="1"/>
    <w:qFormat/>
    <w:uiPriority w:val="0"/>
    <w:pPr>
      <w:snapToGrid w:val="0"/>
      <w:spacing w:beforeLines="50" w:afterLines="50"/>
      <w:jc w:val="center"/>
    </w:pPr>
  </w:style>
  <w:style w:type="paragraph" w:customStyle="1" w:styleId="265">
    <w:name w:val="2级标题"/>
    <w:basedOn w:val="1"/>
    <w:qFormat/>
    <w:uiPriority w:val="0"/>
    <w:pPr>
      <w:spacing w:before="60" w:line="460" w:lineRule="exact"/>
      <w:outlineLvl w:val="1"/>
    </w:pPr>
    <w:rPr>
      <w:rFonts w:ascii="Arial" w:hAnsi="Arial"/>
      <w:b/>
      <w:sz w:val="28"/>
      <w:szCs w:val="20"/>
    </w:rPr>
  </w:style>
  <w:style w:type="paragraph" w:customStyle="1" w:styleId="266">
    <w:name w:val="表格001"/>
    <w:basedOn w:val="1"/>
    <w:qFormat/>
    <w:uiPriority w:val="0"/>
    <w:pPr>
      <w:jc w:val="center"/>
    </w:pPr>
    <w:rPr>
      <w:szCs w:val="21"/>
    </w:rPr>
  </w:style>
  <w:style w:type="paragraph" w:customStyle="1" w:styleId="267">
    <w:name w:val="样式9表格"/>
    <w:next w:val="1"/>
    <w:qFormat/>
    <w:uiPriority w:val="0"/>
    <w:pPr>
      <w:spacing w:before="120" w:line="300" w:lineRule="auto"/>
      <w:jc w:val="center"/>
    </w:pPr>
    <w:rPr>
      <w:rFonts w:ascii="Times New Roman" w:hAnsi="Times New Roman" w:eastAsia="宋体" w:cs="Times New Roman"/>
      <w:sz w:val="21"/>
      <w:lang w:val="en-US" w:eastAsia="zh-CN" w:bidi="ar-SA"/>
    </w:rPr>
  </w:style>
  <w:style w:type="paragraph" w:customStyle="1" w:styleId="268">
    <w:name w:val="xl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b/>
      <w:bCs/>
    </w:rPr>
  </w:style>
  <w:style w:type="paragraph" w:customStyle="1" w:styleId="269">
    <w:name w:val="1"/>
    <w:basedOn w:val="1"/>
    <w:next w:val="35"/>
    <w:qFormat/>
    <w:uiPriority w:val="0"/>
    <w:pPr>
      <w:ind w:firstLine="538" w:firstLineChars="192"/>
    </w:pPr>
  </w:style>
  <w:style w:type="paragraph" w:customStyle="1" w:styleId="270">
    <w:name w:val="3"/>
    <w:basedOn w:val="1"/>
    <w:next w:val="8"/>
    <w:qFormat/>
    <w:uiPriority w:val="0"/>
    <w:pPr>
      <w:ind w:firstLine="420" w:firstLineChars="200"/>
    </w:pPr>
  </w:style>
  <w:style w:type="paragraph" w:customStyle="1" w:styleId="271">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72">
    <w:name w:val="xl75"/>
    <w:basedOn w:val="1"/>
    <w:qFormat/>
    <w:uiPriority w:val="0"/>
    <w:pPr>
      <w:pBdr>
        <w:top w:val="single" w:color="auto" w:sz="4" w:space="0"/>
        <w:left w:val="single" w:color="auto" w:sz="4" w:space="0"/>
        <w:right w:val="single" w:color="auto" w:sz="4" w:space="0"/>
      </w:pBdr>
      <w:spacing w:before="100" w:beforeAutospacing="1" w:after="100" w:afterAutospacing="1"/>
    </w:pPr>
    <w:rPr>
      <w:rFonts w:ascii="Arial Unicode MS" w:hAnsi="Arial Unicode MS" w:eastAsia="Arial Unicode MS" w:cs="Arial Unicode MS"/>
      <w:b/>
      <w:bCs/>
    </w:rPr>
  </w:style>
  <w:style w:type="paragraph" w:customStyle="1" w:styleId="273">
    <w:name w:val="Char Char1 Char Char Char Char Char Char Char Char Char Char Char Char Char Char Char Char Char Char Char Char1 Char"/>
    <w:basedOn w:val="1"/>
    <w:qFormat/>
    <w:uiPriority w:val="0"/>
    <w:pPr>
      <w:spacing w:line="360" w:lineRule="auto"/>
      <w:ind w:firstLine="200" w:firstLineChars="200"/>
    </w:pPr>
  </w:style>
  <w:style w:type="paragraph" w:customStyle="1" w:styleId="274">
    <w:name w:val="样式0表换行"/>
    <w:basedOn w:val="1"/>
    <w:qFormat/>
    <w:uiPriority w:val="0"/>
    <w:pPr>
      <w:spacing w:line="300" w:lineRule="auto"/>
      <w:jc w:val="center"/>
    </w:pPr>
    <w:rPr>
      <w:szCs w:val="20"/>
    </w:rPr>
  </w:style>
  <w:style w:type="paragraph" w:customStyle="1" w:styleId="275">
    <w:name w:val="xl86"/>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rPr>
  </w:style>
  <w:style w:type="paragraph" w:customStyle="1" w:styleId="276">
    <w:name w:val="标题001"/>
    <w:basedOn w:val="1"/>
    <w:qFormat/>
    <w:uiPriority w:val="0"/>
    <w:pPr>
      <w:spacing w:before="60" w:line="480" w:lineRule="exact"/>
      <w:outlineLvl w:val="0"/>
    </w:pPr>
    <w:rPr>
      <w:b/>
      <w:sz w:val="32"/>
      <w:szCs w:val="20"/>
    </w:rPr>
  </w:style>
  <w:style w:type="paragraph" w:customStyle="1" w:styleId="277">
    <w:name w:val="xl30"/>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278">
    <w:name w:val="xl46"/>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279">
    <w:name w:val="表前文字"/>
    <w:basedOn w:val="1"/>
    <w:qFormat/>
    <w:uiPriority w:val="0"/>
    <w:pPr>
      <w:jc w:val="center"/>
    </w:pPr>
    <w:rPr>
      <w:color w:val="FF0000"/>
    </w:rPr>
  </w:style>
  <w:style w:type="paragraph" w:customStyle="1" w:styleId="280">
    <w:name w:val="框架"/>
    <w:basedOn w:val="1"/>
    <w:qFormat/>
    <w:uiPriority w:val="0"/>
    <w:pPr>
      <w:adjustRightInd w:val="0"/>
      <w:snapToGrid w:val="0"/>
      <w:jc w:val="center"/>
    </w:pPr>
    <w:rPr>
      <w:sz w:val="18"/>
      <w:szCs w:val="20"/>
    </w:rPr>
  </w:style>
  <w:style w:type="paragraph" w:customStyle="1" w:styleId="281">
    <w:name w:val="表格01"/>
    <w:basedOn w:val="1"/>
    <w:qFormat/>
    <w:uiPriority w:val="0"/>
    <w:pPr>
      <w:spacing w:before="100" w:beforeAutospacing="1" w:line="240" w:lineRule="atLeast"/>
    </w:pPr>
    <w:rPr>
      <w:bCs/>
    </w:rPr>
  </w:style>
  <w:style w:type="paragraph" w:customStyle="1" w:styleId="282">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sz w:val="20"/>
      <w:szCs w:val="20"/>
    </w:rPr>
  </w:style>
  <w:style w:type="paragraph" w:customStyle="1" w:styleId="283">
    <w:name w:val="xl25"/>
    <w:basedOn w:val="1"/>
    <w:qFormat/>
    <w:uiPriority w:val="0"/>
    <w:pPr>
      <w:pBdr>
        <w:left w:val="single" w:color="auto" w:sz="12" w:space="0"/>
      </w:pBdr>
      <w:spacing w:before="100" w:beforeAutospacing="1" w:after="100" w:afterAutospacing="1"/>
      <w:jc w:val="center"/>
    </w:pPr>
  </w:style>
  <w:style w:type="paragraph" w:customStyle="1" w:styleId="284">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sz w:val="20"/>
      <w:szCs w:val="20"/>
    </w:rPr>
  </w:style>
  <w:style w:type="paragraph" w:customStyle="1" w:styleId="285">
    <w:name w:val="表格标题"/>
    <w:basedOn w:val="220"/>
    <w:link w:val="286"/>
    <w:qFormat/>
    <w:uiPriority w:val="0"/>
    <w:pPr>
      <w:ind w:firstLine="0"/>
      <w:jc w:val="center"/>
    </w:pPr>
    <w:rPr>
      <w:szCs w:val="20"/>
    </w:rPr>
  </w:style>
  <w:style w:type="character" w:customStyle="1" w:styleId="286">
    <w:name w:val="表格标题 Char"/>
    <w:link w:val="285"/>
    <w:uiPriority w:val="0"/>
    <w:rPr>
      <w:rFonts w:eastAsia="宋体"/>
      <w:kern w:val="2"/>
      <w:sz w:val="24"/>
      <w:lang w:val="en-US" w:eastAsia="zh-CN" w:bidi="ar-SA"/>
    </w:rPr>
  </w:style>
  <w:style w:type="paragraph" w:customStyle="1" w:styleId="287">
    <w:name w:val="四级条标题"/>
    <w:basedOn w:val="288"/>
    <w:next w:val="1"/>
    <w:uiPriority w:val="0"/>
    <w:pPr>
      <w:tabs>
        <w:tab w:val="left" w:pos="1260"/>
        <w:tab w:val="left" w:pos="1680"/>
        <w:tab w:val="left" w:pos="2100"/>
        <w:tab w:val="left" w:pos="2160"/>
        <w:tab w:val="left" w:pos="2520"/>
        <w:tab w:val="left" w:pos="2580"/>
        <w:tab w:val="left" w:pos="3000"/>
      </w:tabs>
      <w:outlineLvl w:val="5"/>
    </w:pPr>
  </w:style>
  <w:style w:type="paragraph" w:customStyle="1" w:styleId="288">
    <w:name w:val="三级条标题"/>
    <w:basedOn w:val="289"/>
    <w:next w:val="1"/>
    <w:uiPriority w:val="0"/>
    <w:pPr>
      <w:tabs>
        <w:tab w:val="left" w:pos="1260"/>
        <w:tab w:val="left" w:pos="1680"/>
        <w:tab w:val="left" w:pos="2100"/>
        <w:tab w:val="left" w:pos="2160"/>
        <w:tab w:val="left" w:pos="2580"/>
      </w:tabs>
      <w:outlineLvl w:val="4"/>
    </w:pPr>
  </w:style>
  <w:style w:type="paragraph" w:customStyle="1" w:styleId="289">
    <w:name w:val="二级条标题"/>
    <w:basedOn w:val="290"/>
    <w:next w:val="1"/>
    <w:uiPriority w:val="0"/>
    <w:pPr>
      <w:tabs>
        <w:tab w:val="left" w:pos="1260"/>
        <w:tab w:val="left" w:pos="1680"/>
        <w:tab w:val="left" w:pos="2160"/>
      </w:tabs>
      <w:outlineLvl w:val="3"/>
    </w:pPr>
  </w:style>
  <w:style w:type="paragraph" w:customStyle="1" w:styleId="290">
    <w:name w:val="一级条标题"/>
    <w:basedOn w:val="2"/>
    <w:next w:val="1"/>
    <w:qFormat/>
    <w:uiPriority w:val="0"/>
    <w:pPr>
      <w:keepNext w:val="0"/>
      <w:keepLines w:val="0"/>
      <w:pageBreakBefore/>
      <w:tabs>
        <w:tab w:val="left" w:pos="1260"/>
      </w:tabs>
      <w:spacing w:line="240" w:lineRule="auto"/>
      <w:outlineLvl w:val="2"/>
    </w:pPr>
    <w:rPr>
      <w:rFonts w:ascii="黑体" w:eastAsia="黑体"/>
      <w:b w:val="0"/>
      <w:bCs w:val="0"/>
      <w:kern w:val="0"/>
      <w:sz w:val="21"/>
      <w:szCs w:val="20"/>
    </w:rPr>
  </w:style>
  <w:style w:type="paragraph" w:customStyle="1" w:styleId="291">
    <w:name w:val="xl85"/>
    <w:basedOn w:val="1"/>
    <w:qFormat/>
    <w:uiPriority w:val="0"/>
    <w:pPr>
      <w:pBdr>
        <w:top w:val="single" w:color="auto" w:sz="4" w:space="0"/>
        <w:left w:val="single" w:color="auto" w:sz="4" w:space="0"/>
        <w:bottom w:val="single" w:color="auto" w:sz="4" w:space="0"/>
        <w:right w:val="single" w:color="auto" w:sz="4" w:space="0"/>
      </w:pBdr>
      <w:shd w:val="clear" w:color="auto" w:fill="00FF00"/>
      <w:spacing w:before="100" w:beforeAutospacing="1" w:after="100" w:afterAutospacing="1"/>
      <w:jc w:val="center"/>
      <w:textAlignment w:val="center"/>
    </w:pPr>
    <w:rPr>
      <w:rFonts w:ascii="Arial" w:hAnsi="Arial" w:eastAsia="Arial Unicode MS" w:cs="Arial"/>
      <w:sz w:val="20"/>
      <w:szCs w:val="20"/>
    </w:rPr>
  </w:style>
  <w:style w:type="paragraph" w:customStyle="1" w:styleId="292">
    <w:name w:val="正文02"/>
    <w:basedOn w:val="1"/>
    <w:qFormat/>
    <w:uiPriority w:val="0"/>
    <w:pPr>
      <w:spacing w:before="300" w:line="460" w:lineRule="exact"/>
      <w:ind w:firstLine="200" w:firstLineChars="200"/>
    </w:pPr>
  </w:style>
  <w:style w:type="paragraph" w:customStyle="1" w:styleId="293">
    <w:name w:val="xl29"/>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style>
  <w:style w:type="paragraph" w:customStyle="1" w:styleId="294">
    <w:name w:val="xl45"/>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style>
  <w:style w:type="paragraph" w:customStyle="1" w:styleId="295">
    <w:name w:val="表格样式1"/>
    <w:qFormat/>
    <w:uiPriority w:val="0"/>
    <w:pPr>
      <w:tabs>
        <w:tab w:val="center" w:pos="546"/>
      </w:tabs>
      <w:spacing w:line="440" w:lineRule="exact"/>
      <w:jc w:val="center"/>
    </w:pPr>
    <w:rPr>
      <w:rFonts w:ascii="Times New Roman" w:hAnsi="Times New Roman" w:eastAsia="仿宋_GB2312" w:cs="Times New Roman"/>
      <w:iCs/>
      <w:sz w:val="21"/>
      <w:lang w:val="en-US" w:eastAsia="zh-CN" w:bidi="ar-SA"/>
    </w:rPr>
  </w:style>
  <w:style w:type="paragraph" w:customStyle="1" w:styleId="296">
    <w:name w:val="Char Char Char Char Char Char"/>
    <w:basedOn w:val="1"/>
    <w:qFormat/>
    <w:uiPriority w:val="0"/>
    <w:pPr>
      <w:spacing w:line="360" w:lineRule="auto"/>
      <w:ind w:firstLine="200" w:firstLineChars="200"/>
    </w:pPr>
  </w:style>
  <w:style w:type="paragraph" w:customStyle="1" w:styleId="297">
    <w:name w:val="xl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29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sz w:val="20"/>
      <w:szCs w:val="20"/>
    </w:rPr>
  </w:style>
  <w:style w:type="paragraph" w:customStyle="1" w:styleId="299">
    <w:name w:val="报告"/>
    <w:basedOn w:val="1"/>
    <w:qFormat/>
    <w:uiPriority w:val="0"/>
    <w:pPr>
      <w:adjustRightInd w:val="0"/>
      <w:spacing w:line="360" w:lineRule="auto"/>
      <w:ind w:firstLine="505"/>
      <w:textAlignment w:val="baseline"/>
    </w:pPr>
    <w:rPr>
      <w:szCs w:val="20"/>
    </w:rPr>
  </w:style>
  <w:style w:type="paragraph" w:customStyle="1" w:styleId="300">
    <w:name w:val="正文文字缩进"/>
    <w:basedOn w:val="1"/>
    <w:qFormat/>
    <w:uiPriority w:val="0"/>
    <w:pPr>
      <w:ind w:firstLine="560" w:firstLineChars="200"/>
    </w:pPr>
    <w:rPr>
      <w:sz w:val="28"/>
      <w:szCs w:val="28"/>
    </w:rPr>
  </w:style>
  <w:style w:type="paragraph" w:customStyle="1" w:styleId="301">
    <w:name w:val="小四表格"/>
    <w:basedOn w:val="1"/>
    <w:qFormat/>
    <w:uiPriority w:val="0"/>
    <w:pPr>
      <w:snapToGrid w:val="0"/>
      <w:jc w:val="center"/>
    </w:pPr>
    <w:rPr>
      <w:szCs w:val="20"/>
    </w:rPr>
  </w:style>
  <w:style w:type="paragraph" w:customStyle="1" w:styleId="302">
    <w:name w:val="Char Char1 Char Char Char Char Char Char Char Char Char Char Char Char Char Char Char Char Char Char1"/>
    <w:basedOn w:val="1"/>
    <w:qFormat/>
    <w:uiPriority w:val="0"/>
    <w:pPr>
      <w:spacing w:line="360" w:lineRule="auto"/>
      <w:ind w:firstLine="200" w:firstLineChars="200"/>
    </w:pPr>
    <w:rPr>
      <w:szCs w:val="20"/>
    </w:rPr>
  </w:style>
  <w:style w:type="paragraph" w:customStyle="1" w:styleId="303">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304">
    <w:name w:val="xl44"/>
    <w:basedOn w:val="1"/>
    <w:qFormat/>
    <w:uiPriority w:val="0"/>
    <w:pPr>
      <w:pBdr>
        <w:top w:val="single" w:color="auto" w:sz="4" w:space="0"/>
        <w:left w:val="single" w:color="auto" w:sz="4" w:space="0"/>
        <w:bottom w:val="single" w:color="auto" w:sz="4" w:space="0"/>
      </w:pBdr>
      <w:spacing w:before="100" w:beforeAutospacing="1" w:after="100" w:afterAutospacing="1"/>
    </w:pPr>
  </w:style>
  <w:style w:type="paragraph" w:customStyle="1" w:styleId="305">
    <w:name w:val="默认段落字体 Para Char"/>
    <w:basedOn w:val="1"/>
    <w:qFormat/>
    <w:uiPriority w:val="0"/>
  </w:style>
  <w:style w:type="paragraph" w:customStyle="1" w:styleId="306">
    <w:name w:val="a"/>
    <w:basedOn w:val="1"/>
    <w:qFormat/>
    <w:uiPriority w:val="0"/>
    <w:pPr>
      <w:adjustRightInd w:val="0"/>
      <w:spacing w:before="120" w:after="120" w:line="440" w:lineRule="atLeast"/>
      <w:jc w:val="center"/>
      <w:textAlignment w:val="baseline"/>
    </w:pPr>
    <w:rPr>
      <w:sz w:val="28"/>
      <w:szCs w:val="20"/>
    </w:rPr>
  </w:style>
  <w:style w:type="paragraph" w:customStyle="1" w:styleId="307">
    <w:name w:val="纯文本1"/>
    <w:basedOn w:val="1"/>
    <w:qFormat/>
    <w:uiPriority w:val="0"/>
    <w:pPr>
      <w:adjustRightInd w:val="0"/>
      <w:textAlignment w:val="baseline"/>
    </w:pPr>
    <w:rPr>
      <w:rFonts w:hAnsi="Courier New"/>
      <w:szCs w:val="20"/>
    </w:rPr>
  </w:style>
  <w:style w:type="paragraph" w:customStyle="1" w:styleId="308">
    <w:name w:val="xl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color w:val="FF00FF"/>
      <w:sz w:val="20"/>
      <w:szCs w:val="20"/>
    </w:rPr>
  </w:style>
  <w:style w:type="paragraph" w:customStyle="1" w:styleId="309">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eastAsia="Arial Unicode MS" w:cs="Arial"/>
      <w:sz w:val="20"/>
      <w:szCs w:val="20"/>
    </w:rPr>
  </w:style>
  <w:style w:type="paragraph" w:customStyle="1" w:styleId="310">
    <w:name w:val="标1"/>
    <w:basedOn w:val="1"/>
    <w:qFormat/>
    <w:uiPriority w:val="0"/>
    <w:pPr>
      <w:spacing w:before="60" w:line="460" w:lineRule="exact"/>
      <w:outlineLvl w:val="0"/>
    </w:pPr>
    <w:rPr>
      <w:b/>
      <w:sz w:val="32"/>
      <w:szCs w:val="20"/>
    </w:rPr>
  </w:style>
  <w:style w:type="paragraph" w:customStyle="1" w:styleId="311">
    <w:name w:val="Char Char Char2 Char Char Char Char Char Char Char Char Char Char Char"/>
    <w:basedOn w:val="1"/>
    <w:qFormat/>
    <w:uiPriority w:val="0"/>
    <w:pPr>
      <w:spacing w:beforeLines="20" w:line="440" w:lineRule="atLeast"/>
      <w:ind w:firstLine="200" w:firstLineChars="200"/>
    </w:pPr>
  </w:style>
  <w:style w:type="paragraph" w:customStyle="1" w:styleId="312">
    <w:name w:val="Default"/>
    <w:link w:val="252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3">
    <w:name w:val="2"/>
    <w:basedOn w:val="1"/>
    <w:next w:val="35"/>
    <w:qFormat/>
    <w:uiPriority w:val="0"/>
    <w:pPr>
      <w:ind w:left="360" w:firstLine="360"/>
    </w:pPr>
    <w:rPr>
      <w:spacing w:val="4"/>
      <w:sz w:val="28"/>
    </w:rPr>
  </w:style>
  <w:style w:type="paragraph" w:customStyle="1" w:styleId="314">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315">
    <w:name w:val="xl43"/>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316">
    <w:name w:val="表格文字 Char"/>
    <w:basedOn w:val="8"/>
    <w:qFormat/>
    <w:uiPriority w:val="0"/>
    <w:pPr>
      <w:spacing w:beforeLines="50"/>
      <w:ind w:firstLine="0" w:firstLineChars="0"/>
      <w:jc w:val="center"/>
    </w:pPr>
  </w:style>
  <w:style w:type="paragraph" w:customStyle="1" w:styleId="317">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318">
    <w:name w:val="表格2"/>
    <w:basedOn w:val="1"/>
    <w:next w:val="1"/>
    <w:qFormat/>
    <w:uiPriority w:val="0"/>
    <w:pPr>
      <w:keepNext/>
      <w:autoSpaceDE w:val="0"/>
      <w:autoSpaceDN w:val="0"/>
      <w:adjustRightInd w:val="0"/>
      <w:spacing w:line="360" w:lineRule="auto"/>
      <w:ind w:firstLine="200" w:firstLineChars="200"/>
      <w:jc w:val="center"/>
      <w:textAlignment w:val="baseline"/>
    </w:pPr>
    <w:rPr>
      <w:position w:val="-28"/>
      <w:szCs w:val="21"/>
    </w:rPr>
  </w:style>
  <w:style w:type="paragraph" w:customStyle="1" w:styleId="319">
    <w:name w:val="正文2"/>
    <w:basedOn w:val="1"/>
    <w:uiPriority w:val="0"/>
    <w:pPr>
      <w:adjustRightInd w:val="0"/>
      <w:snapToGrid w:val="0"/>
      <w:spacing w:line="440" w:lineRule="atLeast"/>
      <w:ind w:firstLine="510"/>
    </w:pPr>
    <w:rPr>
      <w:szCs w:val="20"/>
    </w:rPr>
  </w:style>
  <w:style w:type="paragraph" w:customStyle="1" w:styleId="320">
    <w:name w:val="样式 正文格式 + 首行缩进:  2 字符"/>
    <w:basedOn w:val="1"/>
    <w:qFormat/>
    <w:uiPriority w:val="0"/>
    <w:pPr>
      <w:spacing w:line="360" w:lineRule="auto"/>
      <w:ind w:firstLine="480" w:firstLineChars="200"/>
    </w:pPr>
    <w:rPr>
      <w:szCs w:val="20"/>
    </w:rPr>
  </w:style>
  <w:style w:type="paragraph" w:customStyle="1" w:styleId="321">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eastAsia="Arial Unicode MS" w:cs="Arial"/>
      <w:b/>
      <w:bCs/>
    </w:rPr>
  </w:style>
  <w:style w:type="paragraph" w:customStyle="1" w:styleId="322">
    <w:name w:val="5"/>
    <w:basedOn w:val="1"/>
    <w:next w:val="50"/>
    <w:qFormat/>
    <w:uiPriority w:val="0"/>
    <w:pPr>
      <w:adjustRightInd w:val="0"/>
      <w:snapToGrid w:val="0"/>
      <w:spacing w:line="360" w:lineRule="auto"/>
      <w:ind w:firstLine="420" w:firstLineChars="200"/>
    </w:pPr>
    <w:rPr>
      <w:snapToGrid w:val="0"/>
    </w:rPr>
  </w:style>
  <w:style w:type="paragraph" w:customStyle="1" w:styleId="323">
    <w:name w:val="四级标题"/>
    <w:basedOn w:val="1"/>
    <w:qFormat/>
    <w:uiPriority w:val="0"/>
    <w:pPr>
      <w:spacing w:before="60" w:line="460" w:lineRule="exact"/>
    </w:pPr>
  </w:style>
  <w:style w:type="paragraph" w:customStyle="1" w:styleId="324">
    <w:name w:val="xl42"/>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style>
  <w:style w:type="paragraph" w:customStyle="1" w:styleId="325">
    <w:name w:val="正文五"/>
    <w:basedOn w:val="1"/>
    <w:qFormat/>
    <w:uiPriority w:val="0"/>
    <w:pPr>
      <w:snapToGrid w:val="0"/>
      <w:jc w:val="center"/>
    </w:pPr>
    <w:rPr>
      <w:szCs w:val="28"/>
    </w:rPr>
  </w:style>
  <w:style w:type="paragraph" w:customStyle="1" w:styleId="326">
    <w:name w:val="font14"/>
    <w:basedOn w:val="1"/>
    <w:qFormat/>
    <w:uiPriority w:val="0"/>
    <w:pPr>
      <w:spacing w:before="100" w:beforeAutospacing="1" w:after="100" w:afterAutospacing="1"/>
    </w:pPr>
    <w:rPr>
      <w:rFonts w:eastAsia="Arial Unicode MS"/>
      <w:b/>
      <w:bCs/>
      <w:sz w:val="20"/>
      <w:szCs w:val="20"/>
    </w:rPr>
  </w:style>
  <w:style w:type="paragraph" w:customStyle="1" w:styleId="327">
    <w:name w:val="样式 表样式1 + 首行缩进:  2.25 字符1"/>
    <w:basedOn w:val="328"/>
    <w:uiPriority w:val="0"/>
    <w:pPr>
      <w:snapToGrid w:val="0"/>
      <w:ind w:left="-10" w:leftChars="-10" w:right="-10" w:rightChars="-10"/>
    </w:pPr>
    <w:rPr>
      <w:sz w:val="21"/>
      <w:szCs w:val="20"/>
      <w:lang w:eastAsia="zh-TW"/>
    </w:rPr>
  </w:style>
  <w:style w:type="paragraph" w:customStyle="1" w:styleId="328">
    <w:name w:val="表样式1"/>
    <w:basedOn w:val="1"/>
    <w:qFormat/>
    <w:uiPriority w:val="0"/>
    <w:pPr>
      <w:spacing w:beforeLines="20"/>
      <w:jc w:val="center"/>
    </w:pPr>
    <w:rPr>
      <w:color w:val="000000"/>
      <w:spacing w:val="-10"/>
      <w:u w:val="single"/>
    </w:rPr>
  </w:style>
  <w:style w:type="paragraph" w:customStyle="1" w:styleId="329">
    <w:name w:val="Char Char Char Char Char Char2 Char Char Char Char"/>
    <w:basedOn w:val="1"/>
    <w:qFormat/>
    <w:uiPriority w:val="0"/>
  </w:style>
  <w:style w:type="paragraph" w:customStyle="1" w:styleId="330">
    <w:name w:val="列表项目"/>
    <w:basedOn w:val="24"/>
    <w:qFormat/>
    <w:uiPriority w:val="0"/>
    <w:pPr>
      <w:tabs>
        <w:tab w:val="clear" w:pos="2040"/>
      </w:tabs>
      <w:spacing w:before="120" w:line="360" w:lineRule="auto"/>
      <w:ind w:left="0" w:leftChars="0" w:firstLine="0" w:firstLineChars="0"/>
      <w:jc w:val="center"/>
    </w:pPr>
    <w:rPr>
      <w:b/>
      <w:sz w:val="30"/>
      <w:szCs w:val="20"/>
    </w:rPr>
  </w:style>
  <w:style w:type="paragraph" w:customStyle="1" w:styleId="331">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32">
    <w:name w:val="内表头"/>
    <w:basedOn w:val="1"/>
    <w:qFormat/>
    <w:uiPriority w:val="0"/>
    <w:pPr>
      <w:adjustRightInd w:val="0"/>
      <w:snapToGrid w:val="0"/>
      <w:jc w:val="center"/>
    </w:pPr>
    <w:rPr>
      <w:rFonts w:eastAsia="黑体" w:cs="Arial"/>
      <w:sz w:val="20"/>
    </w:rPr>
  </w:style>
  <w:style w:type="paragraph" w:customStyle="1" w:styleId="333">
    <w:name w:val="Body Text 22"/>
    <w:basedOn w:val="1"/>
    <w:qFormat/>
    <w:uiPriority w:val="0"/>
    <w:pPr>
      <w:adjustRightInd w:val="0"/>
      <w:spacing w:line="440" w:lineRule="atLeast"/>
      <w:ind w:firstLine="480"/>
      <w:textAlignment w:val="baseline"/>
    </w:pPr>
    <w:rPr>
      <w:rFonts w:eastAsia="仿宋_GB2312"/>
      <w:szCs w:val="20"/>
    </w:rPr>
  </w:style>
  <w:style w:type="paragraph" w:customStyle="1" w:styleId="334">
    <w:name w:val="Char Char Char Char Char Char1 Char Char Char Char"/>
    <w:basedOn w:val="1"/>
    <w:qFormat/>
    <w:uiPriority w:val="0"/>
  </w:style>
  <w:style w:type="paragraph" w:customStyle="1" w:styleId="335">
    <w:name w:val="font10"/>
    <w:basedOn w:val="1"/>
    <w:qFormat/>
    <w:uiPriority w:val="0"/>
    <w:pPr>
      <w:spacing w:before="100" w:beforeAutospacing="1" w:after="100" w:afterAutospacing="1"/>
    </w:pPr>
    <w:rPr>
      <w:sz w:val="22"/>
      <w:szCs w:val="22"/>
    </w:rPr>
  </w:style>
  <w:style w:type="paragraph" w:customStyle="1" w:styleId="336">
    <w:name w:val="xl39"/>
    <w:basedOn w:val="1"/>
    <w:qFormat/>
    <w:uiPriority w:val="0"/>
    <w:pPr>
      <w:spacing w:before="100" w:beforeAutospacing="1" w:after="100" w:afterAutospacing="1"/>
      <w:jc w:val="center"/>
      <w:textAlignment w:val="center"/>
    </w:pPr>
    <w:rPr>
      <w:rFonts w:hint="eastAsia" w:ascii="仿宋_GB2312" w:eastAsia="仿宋_GB2312"/>
      <w:b/>
      <w:bCs/>
      <w:sz w:val="28"/>
      <w:szCs w:val="28"/>
    </w:rPr>
  </w:style>
  <w:style w:type="paragraph" w:customStyle="1" w:styleId="337">
    <w:name w:val="xl41"/>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style>
  <w:style w:type="paragraph" w:customStyle="1" w:styleId="338">
    <w:name w:val="xl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eastAsia="Arial Unicode MS" w:cs="Arial"/>
      <w:sz w:val="20"/>
      <w:szCs w:val="20"/>
    </w:rPr>
  </w:style>
  <w:style w:type="paragraph" w:customStyle="1" w:styleId="339">
    <w:name w:val="正文-biao"/>
    <w:basedOn w:val="1"/>
    <w:qFormat/>
    <w:uiPriority w:val="0"/>
    <w:pPr>
      <w:spacing w:before="60" w:line="460" w:lineRule="exact"/>
      <w:ind w:firstLine="482"/>
    </w:pPr>
  </w:style>
  <w:style w:type="paragraph" w:customStyle="1" w:styleId="340">
    <w:name w:val="Char Char Char Char Char Char Char Char Char"/>
    <w:basedOn w:val="1"/>
    <w:qFormat/>
    <w:uiPriority w:val="0"/>
    <w:rPr>
      <w:szCs w:val="20"/>
    </w:rPr>
  </w:style>
  <w:style w:type="paragraph" w:customStyle="1" w:styleId="341">
    <w:name w:val="font13"/>
    <w:basedOn w:val="1"/>
    <w:qFormat/>
    <w:uiPriority w:val="0"/>
    <w:pPr>
      <w:spacing w:before="100" w:beforeAutospacing="1" w:after="100" w:afterAutospacing="1"/>
    </w:pPr>
    <w:rPr>
      <w:rFonts w:ascii="Arial" w:hAnsi="Arial" w:eastAsia="Arial Unicode MS" w:cs="Arial"/>
      <w:b/>
      <w:bCs/>
    </w:rPr>
  </w:style>
  <w:style w:type="paragraph" w:customStyle="1" w:styleId="342">
    <w:name w:val="无间隔1"/>
    <w:qFormat/>
    <w:uiPriority w:val="0"/>
    <w:pPr>
      <w:widowControl w:val="0"/>
      <w:jc w:val="both"/>
    </w:pPr>
    <w:rPr>
      <w:rFonts w:ascii="Calibri" w:hAnsi="Calibri" w:eastAsia="宋体" w:cs="Calibri"/>
      <w:kern w:val="2"/>
      <w:sz w:val="21"/>
      <w:szCs w:val="21"/>
      <w:lang w:val="en-US" w:eastAsia="zh-CN" w:bidi="ar-SA"/>
    </w:rPr>
  </w:style>
  <w:style w:type="paragraph" w:customStyle="1" w:styleId="343">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color w:val="FF00FF"/>
      <w:sz w:val="20"/>
      <w:szCs w:val="20"/>
    </w:rPr>
  </w:style>
  <w:style w:type="paragraph" w:customStyle="1" w:styleId="344">
    <w:name w:val="font9"/>
    <w:basedOn w:val="1"/>
    <w:qFormat/>
    <w:uiPriority w:val="0"/>
    <w:pPr>
      <w:spacing w:before="100" w:beforeAutospacing="1" w:after="100" w:afterAutospacing="1"/>
    </w:pPr>
    <w:rPr>
      <w:rFonts w:hint="eastAsia"/>
      <w:sz w:val="22"/>
      <w:szCs w:val="22"/>
    </w:rPr>
  </w:style>
  <w:style w:type="paragraph" w:customStyle="1" w:styleId="345">
    <w:name w:val="默认段落字体1"/>
    <w:basedOn w:val="1"/>
    <w:qFormat/>
    <w:uiPriority w:val="0"/>
    <w:pPr>
      <w:spacing w:line="360" w:lineRule="auto"/>
      <w:ind w:firstLine="200" w:firstLineChars="200"/>
    </w:pPr>
  </w:style>
  <w:style w:type="paragraph" w:customStyle="1" w:styleId="346">
    <w:name w:val="Body Text 21"/>
    <w:basedOn w:val="1"/>
    <w:qFormat/>
    <w:uiPriority w:val="0"/>
    <w:pPr>
      <w:autoSpaceDE w:val="0"/>
      <w:autoSpaceDN w:val="0"/>
      <w:adjustRightInd w:val="0"/>
      <w:spacing w:line="480" w:lineRule="exact"/>
      <w:ind w:firstLine="540"/>
      <w:textAlignment w:val="baseline"/>
    </w:pPr>
    <w:rPr>
      <w:rFonts w:hAnsi="Tms Rmn"/>
      <w:szCs w:val="20"/>
    </w:rPr>
  </w:style>
  <w:style w:type="paragraph" w:customStyle="1" w:styleId="34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48">
    <w:name w:val="一级标题"/>
    <w:basedOn w:val="1"/>
    <w:qFormat/>
    <w:uiPriority w:val="0"/>
    <w:pPr>
      <w:spacing w:before="60" w:line="500" w:lineRule="exact"/>
      <w:outlineLvl w:val="0"/>
    </w:pPr>
    <w:rPr>
      <w:b/>
      <w:sz w:val="32"/>
    </w:rPr>
  </w:style>
  <w:style w:type="paragraph" w:customStyle="1" w:styleId="349">
    <w:name w:val="注释"/>
    <w:basedOn w:val="1"/>
    <w:qFormat/>
    <w:uiPriority w:val="0"/>
    <w:pPr>
      <w:spacing w:before="60" w:line="360" w:lineRule="exact"/>
      <w:ind w:firstLine="200" w:firstLineChars="200"/>
    </w:pPr>
  </w:style>
  <w:style w:type="paragraph" w:customStyle="1" w:styleId="350">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351">
    <w:name w:val="xl84"/>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52">
    <w:name w:val="正文2 Char"/>
    <w:basedOn w:val="1"/>
    <w:qFormat/>
    <w:uiPriority w:val="0"/>
    <w:pPr>
      <w:adjustRightInd w:val="0"/>
      <w:snapToGrid w:val="0"/>
      <w:spacing w:line="500" w:lineRule="atLeast"/>
      <w:ind w:firstLine="567"/>
    </w:pPr>
    <w:rPr>
      <w:szCs w:val="20"/>
    </w:rPr>
  </w:style>
  <w:style w:type="paragraph" w:customStyle="1" w:styleId="353">
    <w:name w:val="页面标题1"/>
    <w:basedOn w:val="1"/>
    <w:qFormat/>
    <w:uiPriority w:val="0"/>
    <w:pPr>
      <w:adjustRightInd w:val="0"/>
      <w:spacing w:line="360" w:lineRule="auto"/>
      <w:jc w:val="center"/>
      <w:textAlignment w:val="baseline"/>
    </w:pPr>
    <w:rPr>
      <w:rFonts w:ascii="黑体" w:eastAsia="黑体"/>
      <w:b/>
      <w:kern w:val="24"/>
      <w:sz w:val="52"/>
      <w:szCs w:val="20"/>
    </w:rPr>
  </w:style>
  <w:style w:type="paragraph" w:customStyle="1" w:styleId="354">
    <w:name w:val="font8"/>
    <w:basedOn w:val="1"/>
    <w:qFormat/>
    <w:uiPriority w:val="0"/>
    <w:pPr>
      <w:spacing w:before="100" w:beforeAutospacing="1" w:after="100" w:afterAutospacing="1"/>
    </w:pPr>
    <w:rPr>
      <w:rFonts w:hint="eastAsia"/>
    </w:rPr>
  </w:style>
  <w:style w:type="paragraph" w:customStyle="1" w:styleId="355">
    <w:name w:val="xl40"/>
    <w:basedOn w:val="1"/>
    <w:qFormat/>
    <w:uiPriority w:val="0"/>
    <w:pPr>
      <w:pBdr>
        <w:top w:val="single" w:color="auto" w:sz="4" w:space="0"/>
        <w:bottom w:val="single" w:color="auto" w:sz="4" w:space="0"/>
        <w:right w:val="single" w:color="auto" w:sz="4" w:space="0"/>
      </w:pBdr>
      <w:spacing w:before="100" w:beforeAutospacing="1" w:after="100" w:afterAutospacing="1"/>
    </w:pPr>
  </w:style>
  <w:style w:type="paragraph" w:customStyle="1" w:styleId="356">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rPr>
  </w:style>
  <w:style w:type="paragraph" w:customStyle="1" w:styleId="357">
    <w:name w:val="xl83"/>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rPr>
  </w:style>
  <w:style w:type="paragraph" w:customStyle="1" w:styleId="358">
    <w:name w:val="标题003"/>
    <w:basedOn w:val="1"/>
    <w:qFormat/>
    <w:uiPriority w:val="0"/>
    <w:pPr>
      <w:spacing w:line="440" w:lineRule="exact"/>
      <w:outlineLvl w:val="2"/>
    </w:pPr>
    <w:rPr>
      <w:bCs/>
      <w:szCs w:val="20"/>
    </w:rPr>
  </w:style>
  <w:style w:type="paragraph" w:customStyle="1" w:styleId="359">
    <w:name w:val="font7"/>
    <w:basedOn w:val="1"/>
    <w:qFormat/>
    <w:uiPriority w:val="0"/>
    <w:pPr>
      <w:spacing w:before="100" w:beforeAutospacing="1" w:after="100" w:afterAutospacing="1"/>
    </w:pPr>
  </w:style>
  <w:style w:type="paragraph" w:customStyle="1" w:styleId="360">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361">
    <w:name w:val="表内格式"/>
    <w:basedOn w:val="1"/>
    <w:qFormat/>
    <w:uiPriority w:val="0"/>
    <w:pPr>
      <w:spacing w:line="280" w:lineRule="exact"/>
      <w:jc w:val="center"/>
    </w:pPr>
    <w:rPr>
      <w:sz w:val="18"/>
      <w:szCs w:val="20"/>
    </w:rPr>
  </w:style>
  <w:style w:type="paragraph" w:customStyle="1" w:styleId="362">
    <w:name w:val="ST20_1"/>
    <w:basedOn w:val="1"/>
    <w:qFormat/>
    <w:uiPriority w:val="0"/>
    <w:pPr>
      <w:autoSpaceDE w:val="0"/>
      <w:autoSpaceDN w:val="0"/>
      <w:adjustRightInd w:val="0"/>
      <w:spacing w:line="312" w:lineRule="atLeast"/>
      <w:jc w:val="center"/>
      <w:textAlignment w:val="baseline"/>
    </w:pPr>
    <w:rPr>
      <w:rFonts w:hAnsi="Tms Rmn"/>
      <w:szCs w:val="20"/>
    </w:rPr>
  </w:style>
  <w:style w:type="paragraph" w:customStyle="1" w:styleId="363">
    <w:name w:val="正文 1"/>
    <w:basedOn w:val="1"/>
    <w:qFormat/>
    <w:uiPriority w:val="0"/>
    <w:pPr>
      <w:adjustRightInd w:val="0"/>
      <w:snapToGrid w:val="0"/>
      <w:spacing w:line="440" w:lineRule="exact"/>
      <w:ind w:firstLine="200" w:firstLineChars="200"/>
    </w:pPr>
  </w:style>
  <w:style w:type="paragraph" w:customStyle="1" w:styleId="364">
    <w:name w:val="样式 小四 首行缩进:  24 磅 行距: 多倍行距 1.25 字行"/>
    <w:basedOn w:val="1"/>
    <w:qFormat/>
    <w:uiPriority w:val="0"/>
    <w:pPr>
      <w:adjustRightInd w:val="0"/>
      <w:spacing w:line="440" w:lineRule="exact"/>
      <w:ind w:firstLine="480"/>
      <w:textAlignment w:val="baseline"/>
    </w:pPr>
    <w:rPr>
      <w:szCs w:val="20"/>
    </w:rPr>
  </w:style>
  <w:style w:type="paragraph" w:customStyle="1" w:styleId="365">
    <w:name w:val="新正文"/>
    <w:basedOn w:val="1"/>
    <w:link w:val="987"/>
    <w:qFormat/>
    <w:uiPriority w:val="0"/>
    <w:pPr>
      <w:spacing w:before="60" w:line="460" w:lineRule="exact"/>
      <w:ind w:firstLine="200" w:firstLineChars="200"/>
    </w:pPr>
    <w:rPr>
      <w:szCs w:val="20"/>
    </w:rPr>
  </w:style>
  <w:style w:type="paragraph" w:customStyle="1" w:styleId="366">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sz w:val="20"/>
      <w:szCs w:val="20"/>
    </w:rPr>
  </w:style>
  <w:style w:type="paragraph" w:customStyle="1" w:styleId="367">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color w:val="000000"/>
    </w:rPr>
  </w:style>
  <w:style w:type="paragraph" w:customStyle="1" w:styleId="368">
    <w:name w:val="表格字体"/>
    <w:basedOn w:val="1"/>
    <w:qFormat/>
    <w:uiPriority w:val="0"/>
    <w:pPr>
      <w:tabs>
        <w:tab w:val="left" w:pos="0"/>
        <w:tab w:val="left" w:pos="180"/>
      </w:tabs>
      <w:jc w:val="center"/>
    </w:pPr>
    <w:rPr>
      <w:bCs/>
      <w:iCs/>
      <w:snapToGrid w:val="0"/>
      <w:szCs w:val="21"/>
    </w:rPr>
  </w:style>
  <w:style w:type="paragraph" w:customStyle="1" w:styleId="369">
    <w:name w:val="表格文字2"/>
    <w:basedOn w:val="1"/>
    <w:link w:val="370"/>
    <w:qFormat/>
    <w:uiPriority w:val="0"/>
    <w:pPr>
      <w:tabs>
        <w:tab w:val="left" w:pos="277"/>
        <w:tab w:val="left" w:pos="600"/>
        <w:tab w:val="left" w:pos="780"/>
        <w:tab w:val="left" w:pos="2517"/>
      </w:tabs>
      <w:adjustRightInd w:val="0"/>
      <w:spacing w:before="60"/>
      <w:jc w:val="center"/>
      <w:textAlignment w:val="baseline"/>
    </w:pPr>
    <w:rPr>
      <w:szCs w:val="20"/>
    </w:rPr>
  </w:style>
  <w:style w:type="character" w:customStyle="1" w:styleId="370">
    <w:name w:val="表格文字2 Char"/>
    <w:link w:val="369"/>
    <w:qFormat/>
    <w:uiPriority w:val="0"/>
    <w:rPr>
      <w:rFonts w:eastAsia="宋体"/>
      <w:sz w:val="21"/>
      <w:lang w:val="en-US" w:eastAsia="zh-CN" w:bidi="ar-SA"/>
    </w:rPr>
  </w:style>
  <w:style w:type="paragraph" w:customStyle="1" w:styleId="371">
    <w:name w:val="font6"/>
    <w:basedOn w:val="1"/>
    <w:qFormat/>
    <w:uiPriority w:val="0"/>
    <w:pPr>
      <w:spacing w:before="100" w:beforeAutospacing="1" w:after="100" w:afterAutospacing="1"/>
    </w:pPr>
    <w:rPr>
      <w:rFonts w:hint="eastAsia"/>
      <w:sz w:val="18"/>
      <w:szCs w:val="18"/>
    </w:rPr>
  </w:style>
  <w:style w:type="paragraph" w:customStyle="1" w:styleId="372">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373">
    <w:name w:val="4"/>
    <w:basedOn w:val="1"/>
    <w:next w:val="8"/>
    <w:qFormat/>
    <w:uiPriority w:val="0"/>
    <w:pPr>
      <w:ind w:firstLine="420" w:firstLineChars="200"/>
    </w:pPr>
  </w:style>
  <w:style w:type="paragraph" w:customStyle="1" w:styleId="374">
    <w:name w:val="表"/>
    <w:basedOn w:val="1"/>
    <w:link w:val="1356"/>
    <w:qFormat/>
    <w:uiPriority w:val="0"/>
    <w:pPr>
      <w:snapToGrid w:val="0"/>
      <w:jc w:val="center"/>
    </w:pPr>
    <w:rPr>
      <w:spacing w:val="2"/>
      <w:szCs w:val="20"/>
    </w:rPr>
  </w:style>
  <w:style w:type="paragraph" w:customStyle="1" w:styleId="375">
    <w:name w:val="Char1 Char Char Char"/>
    <w:basedOn w:val="1"/>
    <w:qFormat/>
    <w:uiPriority w:val="0"/>
    <w:rPr>
      <w:szCs w:val="21"/>
    </w:rPr>
  </w:style>
  <w:style w:type="paragraph" w:customStyle="1" w:styleId="376">
    <w:name w:val="标题02"/>
    <w:basedOn w:val="1"/>
    <w:next w:val="1"/>
    <w:qFormat/>
    <w:uiPriority w:val="0"/>
    <w:pPr>
      <w:adjustRightInd w:val="0"/>
      <w:snapToGrid w:val="0"/>
      <w:spacing w:line="440" w:lineRule="atLeast"/>
      <w:outlineLvl w:val="1"/>
    </w:pPr>
    <w:rPr>
      <w:b/>
      <w:szCs w:val="20"/>
    </w:rPr>
  </w:style>
  <w:style w:type="paragraph" w:customStyle="1" w:styleId="377">
    <w:name w:val="符号_01"/>
    <w:qFormat/>
    <w:uiPriority w:val="0"/>
    <w:pPr>
      <w:tabs>
        <w:tab w:val="left" w:pos="2040"/>
        <w:tab w:val="right" w:leader="dot" w:pos="6896"/>
        <w:tab w:val="left" w:pos="7070"/>
      </w:tabs>
      <w:spacing w:afterLines="50" w:line="240" w:lineRule="atLeast"/>
      <w:ind w:left="2040" w:leftChars="800" w:right="420" w:rightChars="200" w:hanging="360" w:hangingChars="200"/>
      <w:jc w:val="both"/>
    </w:pPr>
    <w:rPr>
      <w:rFonts w:ascii="Garamond" w:hAnsi="Garamond" w:eastAsia="楷体_GB2312" w:cs="Times New Roman"/>
      <w:kern w:val="2"/>
      <w:sz w:val="28"/>
      <w:szCs w:val="28"/>
      <w:lang w:val="en-US" w:eastAsia="zh-CN" w:bidi="ar-SA"/>
    </w:rPr>
  </w:style>
  <w:style w:type="paragraph" w:customStyle="1" w:styleId="378">
    <w:name w:val="居中正文"/>
    <w:basedOn w:val="379"/>
    <w:qFormat/>
    <w:uiPriority w:val="0"/>
    <w:pPr>
      <w:adjustRightInd w:val="0"/>
      <w:ind w:firstLine="0" w:firstLineChars="0"/>
      <w:jc w:val="center"/>
      <w:textAlignment w:val="baseline"/>
    </w:pPr>
    <w:rPr>
      <w:kern w:val="28"/>
      <w:szCs w:val="20"/>
    </w:rPr>
  </w:style>
  <w:style w:type="paragraph" w:customStyle="1" w:styleId="379">
    <w:name w:val="正文文本首行缩进1"/>
    <w:basedOn w:val="6"/>
    <w:link w:val="1070"/>
    <w:qFormat/>
    <w:uiPriority w:val="0"/>
    <w:pPr>
      <w:widowControl w:val="0"/>
      <w:spacing w:after="0" w:line="360" w:lineRule="auto"/>
      <w:ind w:firstLine="480" w:firstLineChars="200"/>
      <w:jc w:val="both"/>
    </w:pPr>
    <w:rPr>
      <w:kern w:val="2"/>
    </w:rPr>
  </w:style>
  <w:style w:type="paragraph" w:customStyle="1" w:styleId="380">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sz w:val="20"/>
      <w:szCs w:val="20"/>
    </w:rPr>
  </w:style>
  <w:style w:type="paragraph" w:customStyle="1" w:styleId="381">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sz w:val="20"/>
      <w:szCs w:val="20"/>
    </w:rPr>
  </w:style>
  <w:style w:type="paragraph" w:customStyle="1" w:styleId="382">
    <w:name w:val="定表"/>
    <w:basedOn w:val="1"/>
    <w:qFormat/>
    <w:uiPriority w:val="0"/>
    <w:pPr>
      <w:snapToGrid w:val="0"/>
      <w:spacing w:afterLines="50"/>
    </w:pPr>
  </w:style>
  <w:style w:type="paragraph" w:customStyle="1" w:styleId="383">
    <w:name w:val="默认段落字体 Para Char Char Char Char"/>
    <w:basedOn w:val="1"/>
    <w:qFormat/>
    <w:uiPriority w:val="0"/>
  </w:style>
  <w:style w:type="paragraph" w:customStyle="1" w:styleId="384">
    <w:name w:val="二级标题"/>
    <w:basedOn w:val="3"/>
    <w:qFormat/>
    <w:uiPriority w:val="0"/>
    <w:pPr>
      <w:spacing w:before="60" w:line="460" w:lineRule="exact"/>
    </w:pPr>
    <w:rPr>
      <w:bCs w:val="0"/>
      <w:sz w:val="28"/>
    </w:rPr>
  </w:style>
  <w:style w:type="paragraph" w:customStyle="1" w:styleId="385">
    <w:name w:val="font5"/>
    <w:basedOn w:val="1"/>
    <w:qFormat/>
    <w:uiPriority w:val="0"/>
    <w:pPr>
      <w:spacing w:before="100" w:beforeAutospacing="1" w:after="100" w:afterAutospacing="1"/>
    </w:pPr>
    <w:rPr>
      <w:rFonts w:hint="eastAsia" w:ascii="黑体" w:eastAsia="黑体"/>
      <w:b/>
      <w:bCs/>
      <w:sz w:val="36"/>
      <w:szCs w:val="36"/>
    </w:rPr>
  </w:style>
  <w:style w:type="paragraph" w:customStyle="1" w:styleId="386">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387">
    <w:name w:val="font1"/>
    <w:basedOn w:val="1"/>
    <w:qFormat/>
    <w:uiPriority w:val="0"/>
    <w:pPr>
      <w:spacing w:before="100" w:beforeAutospacing="1" w:after="100" w:afterAutospacing="1"/>
    </w:pPr>
    <w:rPr>
      <w:rFonts w:hint="eastAsia"/>
    </w:rPr>
  </w:style>
  <w:style w:type="paragraph" w:customStyle="1" w:styleId="388">
    <w:name w:val="xl51"/>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style>
  <w:style w:type="paragraph" w:customStyle="1" w:styleId="389">
    <w:name w:val="标题03"/>
    <w:basedOn w:val="1"/>
    <w:qFormat/>
    <w:uiPriority w:val="0"/>
    <w:pPr>
      <w:tabs>
        <w:tab w:val="left" w:pos="610"/>
        <w:tab w:val="left" w:pos="860"/>
        <w:tab w:val="left" w:pos="1075"/>
      </w:tabs>
      <w:snapToGrid w:val="0"/>
      <w:spacing w:before="100" w:beforeAutospacing="1" w:after="100" w:afterAutospacing="1" w:line="360" w:lineRule="auto"/>
      <w:outlineLvl w:val="2"/>
    </w:pPr>
    <w:rPr>
      <w:b/>
      <w:spacing w:val="2"/>
      <w:szCs w:val="20"/>
    </w:rPr>
  </w:style>
  <w:style w:type="paragraph" w:customStyle="1" w:styleId="390">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91">
    <w:name w:val="font12"/>
    <w:basedOn w:val="1"/>
    <w:qFormat/>
    <w:uiPriority w:val="0"/>
    <w:pPr>
      <w:spacing w:before="100" w:beforeAutospacing="1" w:after="100" w:afterAutospacing="1"/>
    </w:pPr>
    <w:rPr>
      <w:rFonts w:eastAsia="Arial Unicode MS"/>
      <w:b/>
      <w:bCs/>
    </w:rPr>
  </w:style>
  <w:style w:type="paragraph" w:customStyle="1" w:styleId="392">
    <w:name w:val="标题01"/>
    <w:basedOn w:val="1"/>
    <w:qFormat/>
    <w:uiPriority w:val="0"/>
    <w:pPr>
      <w:adjustRightInd w:val="0"/>
      <w:snapToGrid w:val="0"/>
      <w:spacing w:after="120" w:line="460" w:lineRule="atLeast"/>
      <w:ind w:firstLine="480"/>
      <w:jc w:val="center"/>
      <w:outlineLvl w:val="0"/>
    </w:pPr>
    <w:rPr>
      <w:b/>
      <w:sz w:val="30"/>
      <w:szCs w:val="20"/>
    </w:rPr>
  </w:style>
  <w:style w:type="paragraph" w:customStyle="1" w:styleId="393">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color w:val="FF00FF"/>
      <w:sz w:val="20"/>
      <w:szCs w:val="20"/>
    </w:rPr>
  </w:style>
  <w:style w:type="paragraph" w:customStyle="1" w:styleId="394">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color w:val="FF00FF"/>
    </w:rPr>
  </w:style>
  <w:style w:type="paragraph" w:customStyle="1" w:styleId="395">
    <w:name w:val="简单回函地址"/>
    <w:basedOn w:val="1"/>
    <w:qFormat/>
    <w:uiPriority w:val="0"/>
    <w:pPr>
      <w:adjustRightInd w:val="0"/>
      <w:snapToGrid w:val="0"/>
      <w:spacing w:line="360" w:lineRule="auto"/>
    </w:pPr>
    <w:rPr>
      <w:szCs w:val="20"/>
    </w:rPr>
  </w:style>
  <w:style w:type="paragraph" w:customStyle="1" w:styleId="396">
    <w:name w:val="xl91"/>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397">
    <w:name w:val="样式5"/>
    <w:basedOn w:val="1"/>
    <w:link w:val="759"/>
    <w:qFormat/>
    <w:uiPriority w:val="0"/>
    <w:pPr>
      <w:spacing w:line="500" w:lineRule="exact"/>
      <w:ind w:firstLine="480" w:firstLineChars="200"/>
    </w:pPr>
    <w:rPr>
      <w:color w:val="000000"/>
    </w:rPr>
  </w:style>
  <w:style w:type="paragraph" w:customStyle="1" w:styleId="398">
    <w:name w:val="表格文字"/>
    <w:basedOn w:val="31"/>
    <w:link w:val="2530"/>
    <w:qFormat/>
    <w:uiPriority w:val="0"/>
    <w:pPr>
      <w:adjustRightInd w:val="0"/>
      <w:snapToGrid w:val="0"/>
      <w:jc w:val="center"/>
    </w:pPr>
    <w:rPr>
      <w:rFonts w:ascii="Times New Roman" w:hAnsi="Times New Roman" w:cs="Times New Roman"/>
      <w:szCs w:val="24"/>
    </w:rPr>
  </w:style>
  <w:style w:type="paragraph" w:customStyle="1" w:styleId="399">
    <w:name w:val="font0"/>
    <w:basedOn w:val="1"/>
    <w:qFormat/>
    <w:uiPriority w:val="0"/>
    <w:pPr>
      <w:spacing w:before="100" w:beforeAutospacing="1" w:after="100" w:afterAutospacing="1"/>
    </w:pPr>
    <w:rPr>
      <w:rFonts w:hint="eastAsia"/>
    </w:rPr>
  </w:style>
  <w:style w:type="paragraph" w:customStyle="1" w:styleId="400">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401">
    <w:name w:val="标题002"/>
    <w:basedOn w:val="1"/>
    <w:qFormat/>
    <w:uiPriority w:val="0"/>
    <w:pPr>
      <w:adjustRightInd w:val="0"/>
      <w:spacing w:before="160" w:line="480" w:lineRule="exact"/>
      <w:textAlignment w:val="baseline"/>
      <w:outlineLvl w:val="1"/>
    </w:pPr>
    <w:rPr>
      <w:b/>
      <w:sz w:val="28"/>
      <w:szCs w:val="20"/>
    </w:rPr>
  </w:style>
  <w:style w:type="paragraph" w:customStyle="1" w:styleId="402">
    <w:name w:val="xl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sz w:val="20"/>
      <w:szCs w:val="20"/>
    </w:rPr>
  </w:style>
  <w:style w:type="paragraph" w:customStyle="1" w:styleId="403">
    <w:name w:val="font11"/>
    <w:basedOn w:val="1"/>
    <w:qFormat/>
    <w:uiPriority w:val="0"/>
    <w:pPr>
      <w:spacing w:before="100" w:beforeAutospacing="1" w:after="100" w:afterAutospacing="1"/>
    </w:pPr>
    <w:rPr>
      <w:rFonts w:eastAsia="Arial Unicode MS"/>
      <w:sz w:val="20"/>
      <w:szCs w:val="20"/>
    </w:rPr>
  </w:style>
  <w:style w:type="paragraph" w:customStyle="1" w:styleId="404">
    <w:name w:val="表格"/>
    <w:basedOn w:val="1"/>
    <w:link w:val="405"/>
    <w:qFormat/>
    <w:uiPriority w:val="0"/>
    <w:pPr>
      <w:snapToGrid w:val="0"/>
      <w:jc w:val="center"/>
    </w:pPr>
    <w:rPr>
      <w:rFonts w:eastAsia="仿宋_GB2312"/>
      <w:szCs w:val="20"/>
    </w:rPr>
  </w:style>
  <w:style w:type="character" w:customStyle="1" w:styleId="405">
    <w:name w:val="表格 Char"/>
    <w:link w:val="404"/>
    <w:qFormat/>
    <w:uiPriority w:val="0"/>
    <w:rPr>
      <w:rFonts w:eastAsia="仿宋_GB2312"/>
      <w:kern w:val="2"/>
      <w:sz w:val="24"/>
    </w:rPr>
  </w:style>
  <w:style w:type="paragraph" w:customStyle="1" w:styleId="406">
    <w:name w:val="流程图"/>
    <w:basedOn w:val="1"/>
    <w:qFormat/>
    <w:uiPriority w:val="0"/>
    <w:pPr>
      <w:tabs>
        <w:tab w:val="left" w:pos="0"/>
      </w:tabs>
      <w:autoSpaceDE w:val="0"/>
      <w:autoSpaceDN w:val="0"/>
      <w:adjustRightInd w:val="0"/>
      <w:spacing w:line="240" w:lineRule="atLeast"/>
      <w:jc w:val="center"/>
      <w:textAlignment w:val="bottom"/>
    </w:pPr>
    <w:rPr>
      <w:szCs w:val="20"/>
    </w:rPr>
  </w:style>
  <w:style w:type="paragraph" w:customStyle="1" w:styleId="407">
    <w:name w:val="xl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eastAsia="Arial Unicode MS" w:cs="Arial"/>
      <w:b/>
      <w:bCs/>
      <w:sz w:val="20"/>
      <w:szCs w:val="20"/>
    </w:rPr>
  </w:style>
  <w:style w:type="paragraph" w:customStyle="1" w:styleId="408">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b/>
      <w:bCs/>
      <w:color w:val="FF00FF"/>
      <w:sz w:val="20"/>
      <w:szCs w:val="20"/>
    </w:rPr>
  </w:style>
  <w:style w:type="paragraph" w:customStyle="1" w:styleId="409">
    <w:name w:val="xl90"/>
    <w:basedOn w:val="1"/>
    <w:qFormat/>
    <w:uiPriority w:val="0"/>
    <w:pPr>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paragraph" w:customStyle="1" w:styleId="410">
    <w:name w:val="xl32"/>
    <w:basedOn w:val="1"/>
    <w:qFormat/>
    <w:uiPriority w:val="0"/>
    <w:pPr>
      <w:spacing w:before="100" w:beforeAutospacing="1" w:after="100" w:afterAutospacing="1"/>
      <w:jc w:val="center"/>
      <w:textAlignment w:val="center"/>
    </w:pPr>
    <w:rPr>
      <w:rFonts w:hint="eastAsia" w:ascii="黑体" w:eastAsia="黑体"/>
      <w:b/>
      <w:bCs/>
      <w:sz w:val="28"/>
      <w:szCs w:val="28"/>
    </w:rPr>
  </w:style>
  <w:style w:type="paragraph" w:customStyle="1" w:styleId="411">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12">
    <w:name w:val="xl50"/>
    <w:basedOn w:val="1"/>
    <w:qFormat/>
    <w:uiPriority w:val="0"/>
    <w:pPr>
      <w:pBdr>
        <w:top w:val="single" w:color="auto" w:sz="4" w:space="0"/>
        <w:bottom w:val="single" w:color="auto" w:sz="4" w:space="0"/>
        <w:right w:val="single" w:color="auto" w:sz="4" w:space="0"/>
      </w:pBdr>
      <w:spacing w:before="100" w:beforeAutospacing="1" w:after="100" w:afterAutospacing="1"/>
      <w:jc w:val="center"/>
    </w:pPr>
  </w:style>
  <w:style w:type="paragraph" w:customStyle="1" w:styleId="413">
    <w:name w:val="五级条标题"/>
    <w:basedOn w:val="287"/>
    <w:next w:val="1"/>
    <w:uiPriority w:val="0"/>
    <w:pPr>
      <w:tabs>
        <w:tab w:val="left" w:pos="2940"/>
        <w:tab w:val="left" w:pos="3420"/>
        <w:tab w:val="clear" w:pos="2520"/>
        <w:tab w:val="clear" w:pos="3000"/>
      </w:tabs>
      <w:outlineLvl w:val="6"/>
    </w:pPr>
  </w:style>
  <w:style w:type="paragraph" w:customStyle="1" w:styleId="414">
    <w:name w:val="Char Char1 Char Char Char Char Char Char Char Char Char Char Char Char Char Char Char Char Char Char Char Char1 Char1"/>
    <w:basedOn w:val="1"/>
    <w:qFormat/>
    <w:uiPriority w:val="0"/>
    <w:pPr>
      <w:spacing w:line="360" w:lineRule="auto"/>
      <w:ind w:firstLine="200" w:firstLineChars="200"/>
    </w:pPr>
    <w:rPr>
      <w:b/>
      <w:color w:val="000000"/>
      <w:szCs w:val="20"/>
    </w:rPr>
  </w:style>
  <w:style w:type="paragraph" w:customStyle="1" w:styleId="415">
    <w:name w:val="普通表格1"/>
    <w:basedOn w:val="31"/>
    <w:qFormat/>
    <w:uiPriority w:val="0"/>
    <w:pPr>
      <w:snapToGrid w:val="0"/>
      <w:spacing w:line="380" w:lineRule="exact"/>
      <w:ind w:firstLine="200" w:firstLineChars="200"/>
    </w:pPr>
    <w:rPr>
      <w:rFonts w:ascii="Times New Roman" w:hAnsi="Times New Roman" w:cs="Times New Roman"/>
      <w:szCs w:val="20"/>
    </w:rPr>
  </w:style>
  <w:style w:type="paragraph" w:customStyle="1" w:styleId="416">
    <w:name w:val="Char Char Char Char2"/>
    <w:basedOn w:val="1"/>
    <w:qFormat/>
    <w:uiPriority w:val="0"/>
  </w:style>
  <w:style w:type="character" w:customStyle="1" w:styleId="417">
    <w:name w:val="标题 Char1"/>
    <w:link w:val="83"/>
    <w:uiPriority w:val="0"/>
    <w:rPr>
      <w:rFonts w:ascii="Cambria" w:hAnsi="Cambria" w:eastAsia="宋体"/>
      <w:b/>
      <w:bCs/>
      <w:kern w:val="2"/>
      <w:sz w:val="32"/>
      <w:szCs w:val="32"/>
      <w:lang w:val="en-US" w:eastAsia="zh-CN" w:bidi="ar-SA"/>
    </w:rPr>
  </w:style>
  <w:style w:type="paragraph" w:customStyle="1" w:styleId="418">
    <w:name w:val="xl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rPr>
  </w:style>
  <w:style w:type="paragraph" w:customStyle="1" w:styleId="419">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color w:val="000000"/>
      <w:sz w:val="20"/>
      <w:szCs w:val="20"/>
    </w:rPr>
  </w:style>
  <w:style w:type="paragraph" w:customStyle="1" w:styleId="420">
    <w:name w:val="Char Char3 Char Char Char Char"/>
    <w:basedOn w:val="1"/>
    <w:qFormat/>
    <w:uiPriority w:val="0"/>
    <w:pPr>
      <w:spacing w:after="160" w:line="240" w:lineRule="exact"/>
    </w:pPr>
    <w:rPr>
      <w:szCs w:val="20"/>
    </w:rPr>
  </w:style>
  <w:style w:type="character" w:customStyle="1" w:styleId="421">
    <w:name w:val="页眉 Char"/>
    <w:link w:val="56"/>
    <w:uiPriority w:val="99"/>
    <w:rPr>
      <w:kern w:val="2"/>
      <w:sz w:val="18"/>
      <w:szCs w:val="18"/>
    </w:rPr>
  </w:style>
  <w:style w:type="paragraph" w:customStyle="1" w:styleId="422">
    <w:name w:val="xl89"/>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0"/>
      <w:szCs w:val="20"/>
    </w:rPr>
  </w:style>
  <w:style w:type="character" w:customStyle="1" w:styleId="423">
    <w:name w:val="正文缩进 Char1"/>
    <w:uiPriority w:val="0"/>
    <w:rPr>
      <w:rFonts w:eastAsia="宋体"/>
      <w:kern w:val="2"/>
      <w:sz w:val="21"/>
      <w:lang w:val="en-US" w:eastAsia="zh-CN" w:bidi="ar-SA"/>
    </w:rPr>
  </w:style>
  <w:style w:type="paragraph" w:customStyle="1" w:styleId="424">
    <w:name w:val="Char Char"/>
    <w:basedOn w:val="1"/>
    <w:qFormat/>
    <w:uiPriority w:val="0"/>
  </w:style>
  <w:style w:type="paragraph" w:customStyle="1" w:styleId="425">
    <w:name w:val="Char Char Char Char Char Char Char Char Char Char Char Char Char Char Char Char"/>
    <w:basedOn w:val="1"/>
    <w:qFormat/>
    <w:uiPriority w:val="0"/>
    <w:pPr>
      <w:spacing w:line="360" w:lineRule="auto"/>
      <w:ind w:firstLine="200" w:firstLineChars="200"/>
    </w:pPr>
  </w:style>
  <w:style w:type="paragraph" w:styleId="426">
    <w:name w:val="List Paragraph"/>
    <w:basedOn w:val="1"/>
    <w:link w:val="2458"/>
    <w:qFormat/>
    <w:uiPriority w:val="1"/>
    <w:pPr>
      <w:ind w:firstLine="420" w:firstLineChars="200"/>
    </w:pPr>
  </w:style>
  <w:style w:type="character" w:customStyle="1" w:styleId="427">
    <w:name w:val="t_tag"/>
    <w:basedOn w:val="132"/>
    <w:uiPriority w:val="0"/>
  </w:style>
  <w:style w:type="paragraph" w:customStyle="1" w:styleId="428">
    <w:name w:val="Char Char Char Char Char Char Char Char Char Char Char Char Char Char Char Char1"/>
    <w:basedOn w:val="1"/>
    <w:qFormat/>
    <w:uiPriority w:val="0"/>
    <w:pPr>
      <w:spacing w:line="360" w:lineRule="auto"/>
      <w:ind w:firstLine="200" w:firstLineChars="200"/>
    </w:pPr>
  </w:style>
  <w:style w:type="character" w:customStyle="1" w:styleId="429">
    <w:name w:val="scayt-misspell"/>
    <w:basedOn w:val="132"/>
    <w:uiPriority w:val="0"/>
  </w:style>
  <w:style w:type="paragraph" w:customStyle="1" w:styleId="430">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szCs w:val="20"/>
    </w:rPr>
  </w:style>
  <w:style w:type="paragraph" w:customStyle="1" w:styleId="431">
    <w:name w:val="本文正文"/>
    <w:basedOn w:val="1"/>
    <w:qFormat/>
    <w:uiPriority w:val="0"/>
    <w:pPr>
      <w:spacing w:line="480" w:lineRule="exact"/>
    </w:pPr>
  </w:style>
  <w:style w:type="paragraph" w:customStyle="1" w:styleId="432">
    <w:name w:val="cucd-0"/>
    <w:link w:val="433"/>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433">
    <w:name w:val="cucd-0 Char"/>
    <w:link w:val="432"/>
    <w:uiPriority w:val="0"/>
    <w:rPr>
      <w:kern w:val="2"/>
      <w:sz w:val="24"/>
      <w:szCs w:val="24"/>
      <w:lang w:val="en-US" w:eastAsia="zh-CN" w:bidi="ar-SA"/>
    </w:rPr>
  </w:style>
  <w:style w:type="paragraph" w:customStyle="1" w:styleId="434">
    <w:name w:val="1.0"/>
    <w:basedOn w:val="1"/>
    <w:qFormat/>
    <w:uiPriority w:val="0"/>
    <w:pPr>
      <w:ind w:left="540" w:hanging="540"/>
    </w:pPr>
    <w:rPr>
      <w:rFonts w:eastAsia="PMingLiU"/>
      <w:b/>
      <w:sz w:val="28"/>
      <w:szCs w:val="20"/>
      <w:lang w:eastAsia="zh-TW"/>
    </w:rPr>
  </w:style>
  <w:style w:type="character" w:customStyle="1" w:styleId="435">
    <w:name w:val="apple-style-span"/>
    <w:basedOn w:val="132"/>
    <w:uiPriority w:val="0"/>
  </w:style>
  <w:style w:type="paragraph" w:customStyle="1" w:styleId="436">
    <w:name w:val="xl236"/>
    <w:basedOn w:val="1"/>
    <w:qFormat/>
    <w:uiPriority w:val="0"/>
    <w:pPr>
      <w:pBdr>
        <w:bottom w:val="single" w:color="auto" w:sz="8" w:space="0"/>
        <w:right w:val="single" w:color="auto" w:sz="8" w:space="0"/>
      </w:pBdr>
      <w:shd w:val="clear" w:color="auto" w:fill="FFFF99"/>
      <w:spacing w:before="100" w:beforeAutospacing="1" w:after="100" w:afterAutospacing="1"/>
      <w:jc w:val="center"/>
    </w:pPr>
    <w:rPr>
      <w:sz w:val="18"/>
      <w:szCs w:val="18"/>
    </w:rPr>
  </w:style>
  <w:style w:type="paragraph" w:customStyle="1" w:styleId="437">
    <w:name w:val="xl237"/>
    <w:basedOn w:val="1"/>
    <w:qFormat/>
    <w:uiPriority w:val="0"/>
    <w:pPr>
      <w:pBdr>
        <w:bottom w:val="single" w:color="auto" w:sz="8" w:space="0"/>
        <w:right w:val="single" w:color="auto" w:sz="8" w:space="0"/>
      </w:pBdr>
      <w:shd w:val="clear" w:color="auto" w:fill="FFFF99"/>
      <w:spacing w:before="100" w:beforeAutospacing="1" w:after="100" w:afterAutospacing="1"/>
      <w:jc w:val="center"/>
      <w:textAlignment w:val="bottom"/>
    </w:pPr>
    <w:rPr>
      <w:sz w:val="18"/>
      <w:szCs w:val="18"/>
    </w:rPr>
  </w:style>
  <w:style w:type="paragraph" w:customStyle="1" w:styleId="438">
    <w:name w:val="xl238"/>
    <w:basedOn w:val="1"/>
    <w:qFormat/>
    <w:uiPriority w:val="0"/>
    <w:pPr>
      <w:pBdr>
        <w:bottom w:val="single" w:color="auto" w:sz="8" w:space="0"/>
        <w:right w:val="single" w:color="auto" w:sz="8" w:space="0"/>
      </w:pBdr>
      <w:shd w:val="clear" w:color="auto" w:fill="FFFF99"/>
      <w:spacing w:before="100" w:beforeAutospacing="1" w:after="100" w:afterAutospacing="1"/>
      <w:jc w:val="center"/>
    </w:pPr>
    <w:rPr>
      <w:color w:val="FF0000"/>
      <w:sz w:val="18"/>
      <w:szCs w:val="18"/>
    </w:rPr>
  </w:style>
  <w:style w:type="paragraph" w:customStyle="1" w:styleId="439">
    <w:name w:val="xl239"/>
    <w:basedOn w:val="1"/>
    <w:qFormat/>
    <w:uiPriority w:val="0"/>
    <w:pPr>
      <w:pBdr>
        <w:bottom w:val="single" w:color="auto" w:sz="8" w:space="0"/>
        <w:right w:val="single" w:color="auto" w:sz="8" w:space="0"/>
      </w:pBdr>
      <w:shd w:val="clear" w:color="auto" w:fill="FFFF99"/>
      <w:spacing w:before="100" w:beforeAutospacing="1" w:after="100" w:afterAutospacing="1"/>
      <w:jc w:val="center"/>
      <w:textAlignment w:val="bottom"/>
    </w:pPr>
    <w:rPr>
      <w:color w:val="0000FF"/>
      <w:sz w:val="18"/>
      <w:szCs w:val="18"/>
    </w:rPr>
  </w:style>
  <w:style w:type="paragraph" w:customStyle="1" w:styleId="440">
    <w:name w:val="xl240"/>
    <w:basedOn w:val="1"/>
    <w:qFormat/>
    <w:uiPriority w:val="0"/>
    <w:pPr>
      <w:pBdr>
        <w:bottom w:val="single" w:color="auto" w:sz="8" w:space="0"/>
        <w:right w:val="single" w:color="auto" w:sz="8" w:space="0"/>
      </w:pBdr>
      <w:shd w:val="clear" w:color="auto" w:fill="FFFF99"/>
      <w:spacing w:before="100" w:beforeAutospacing="1" w:after="100" w:afterAutospacing="1"/>
      <w:jc w:val="center"/>
      <w:textAlignment w:val="bottom"/>
    </w:pPr>
    <w:rPr>
      <w:color w:val="FF0000"/>
      <w:sz w:val="18"/>
      <w:szCs w:val="18"/>
    </w:rPr>
  </w:style>
  <w:style w:type="paragraph" w:customStyle="1" w:styleId="441">
    <w:name w:val="xl241"/>
    <w:basedOn w:val="1"/>
    <w:qFormat/>
    <w:uiPriority w:val="0"/>
    <w:pPr>
      <w:pBdr>
        <w:bottom w:val="single" w:color="auto" w:sz="8" w:space="0"/>
        <w:right w:val="single" w:color="auto" w:sz="8" w:space="0"/>
      </w:pBdr>
      <w:shd w:val="clear" w:color="auto" w:fill="FFFF99"/>
      <w:spacing w:before="100" w:beforeAutospacing="1" w:after="100" w:afterAutospacing="1"/>
      <w:jc w:val="center"/>
      <w:textAlignment w:val="bottom"/>
    </w:pPr>
    <w:rPr>
      <w:color w:val="0000FF"/>
      <w:sz w:val="18"/>
      <w:szCs w:val="18"/>
    </w:rPr>
  </w:style>
  <w:style w:type="paragraph" w:customStyle="1" w:styleId="442">
    <w:name w:val="xl242"/>
    <w:basedOn w:val="1"/>
    <w:qFormat/>
    <w:uiPriority w:val="0"/>
    <w:pPr>
      <w:pBdr>
        <w:bottom w:val="single" w:color="auto" w:sz="8" w:space="0"/>
        <w:right w:val="single" w:color="auto" w:sz="8" w:space="0"/>
      </w:pBdr>
      <w:shd w:val="clear" w:color="auto" w:fill="FFFF99"/>
      <w:spacing w:before="100" w:beforeAutospacing="1" w:after="100" w:afterAutospacing="1"/>
      <w:jc w:val="center"/>
      <w:textAlignment w:val="bottom"/>
    </w:pPr>
    <w:rPr>
      <w:color w:val="FF0000"/>
      <w:sz w:val="18"/>
      <w:szCs w:val="18"/>
    </w:rPr>
  </w:style>
  <w:style w:type="character" w:styleId="443">
    <w:name w:val="Placeholder Text"/>
    <w:semiHidden/>
    <w:uiPriority w:val="0"/>
    <w:rPr>
      <w:color w:val="808080"/>
    </w:rPr>
  </w:style>
  <w:style w:type="character" w:customStyle="1" w:styleId="444">
    <w:name w:val="Char Char1 Char1"/>
    <w:uiPriority w:val="0"/>
    <w:rPr>
      <w:rFonts w:ascii="宋体" w:hAnsi="宋体" w:eastAsia="宋体" w:cs="宋体"/>
      <w:sz w:val="24"/>
      <w:szCs w:val="24"/>
      <w:lang w:val="en-US" w:eastAsia="en-US" w:bidi="en-US"/>
    </w:rPr>
  </w:style>
  <w:style w:type="character" w:customStyle="1" w:styleId="445">
    <w:name w:val="正文1 Char1"/>
    <w:link w:val="446"/>
    <w:uiPriority w:val="0"/>
    <w:rPr>
      <w:rFonts w:eastAsia="宋体"/>
      <w:kern w:val="2"/>
      <w:sz w:val="24"/>
      <w:lang w:val="en-US" w:eastAsia="zh-CN" w:bidi="ar-SA"/>
    </w:rPr>
  </w:style>
  <w:style w:type="paragraph" w:customStyle="1" w:styleId="446">
    <w:name w:val="正文1"/>
    <w:basedOn w:val="1"/>
    <w:link w:val="445"/>
    <w:qFormat/>
    <w:uiPriority w:val="0"/>
    <w:pPr>
      <w:spacing w:line="440" w:lineRule="exact"/>
      <w:ind w:firstLine="510"/>
    </w:pPr>
    <w:rPr>
      <w:szCs w:val="20"/>
    </w:rPr>
  </w:style>
  <w:style w:type="character" w:customStyle="1" w:styleId="447">
    <w:name w:val="表格内容 Char Char"/>
    <w:uiPriority w:val="0"/>
    <w:rPr>
      <w:rFonts w:ascii="Arial" w:hAnsi="Arial" w:eastAsia="仿宋_GB2312"/>
      <w:sz w:val="24"/>
      <w:lang w:val="en-US" w:eastAsia="zh-CN" w:bidi="ar-SA"/>
    </w:rPr>
  </w:style>
  <w:style w:type="character" w:customStyle="1" w:styleId="448">
    <w:name w:val="表1 Char Char"/>
    <w:uiPriority w:val="0"/>
    <w:rPr>
      <w:rFonts w:eastAsia="宋体"/>
      <w:sz w:val="21"/>
      <w:szCs w:val="21"/>
      <w:lang w:val="en-US" w:eastAsia="zh-CN" w:bidi="ar-SA"/>
    </w:rPr>
  </w:style>
  <w:style w:type="character" w:customStyle="1" w:styleId="449">
    <w:name w:val="普通文字 Char1"/>
    <w:uiPriority w:val="0"/>
    <w:rPr>
      <w:rFonts w:ascii="宋体" w:hAnsi="Courier New" w:eastAsia="宋体" w:cs="Courier New"/>
      <w:kern w:val="2"/>
      <w:sz w:val="21"/>
      <w:szCs w:val="21"/>
      <w:lang w:val="en-US" w:eastAsia="zh-CN" w:bidi="ar-SA"/>
    </w:rPr>
  </w:style>
  <w:style w:type="character" w:customStyle="1" w:styleId="450">
    <w:name w:val="表头 Char Char"/>
    <w:uiPriority w:val="0"/>
    <w:rPr>
      <w:rFonts w:ascii="黑体" w:eastAsia="黑体"/>
      <w:spacing w:val="16"/>
      <w:kern w:val="2"/>
      <w:sz w:val="24"/>
      <w:szCs w:val="24"/>
      <w:lang w:val="en-US" w:eastAsia="zh-CN" w:bidi="ar-SA"/>
    </w:rPr>
  </w:style>
  <w:style w:type="character" w:customStyle="1" w:styleId="451">
    <w:name w:val="4级（小）标题 Char Char"/>
    <w:uiPriority w:val="0"/>
    <w:rPr>
      <w:rFonts w:eastAsia="楷体"/>
      <w:b/>
      <w:kern w:val="2"/>
      <w:sz w:val="24"/>
      <w:szCs w:val="24"/>
      <w:lang w:val="en-US" w:eastAsia="zh-CN" w:bidi="ar-SA"/>
    </w:rPr>
  </w:style>
  <w:style w:type="character" w:customStyle="1" w:styleId="452">
    <w:name w:val="表格 Char Char"/>
    <w:uiPriority w:val="0"/>
    <w:rPr>
      <w:rFonts w:eastAsia="仿宋_GB2312"/>
      <w:kern w:val="2"/>
      <w:sz w:val="24"/>
      <w:lang w:val="en-US" w:eastAsia="zh-CN" w:bidi="ar-SA"/>
    </w:rPr>
  </w:style>
  <w:style w:type="character" w:customStyle="1" w:styleId="453">
    <w:name w:val="样式 正文格式 Char Char"/>
    <w:uiPriority w:val="0"/>
    <w:rPr>
      <w:rFonts w:eastAsia="宋体"/>
      <w:sz w:val="24"/>
      <w:szCs w:val="24"/>
      <w:lang w:val="en-US" w:eastAsia="zh-CN" w:bidi="ar-SA"/>
    </w:rPr>
  </w:style>
  <w:style w:type="character" w:customStyle="1" w:styleId="454">
    <w:name w:val="表格正文 Char Char"/>
    <w:uiPriority w:val="0"/>
    <w:rPr>
      <w:rFonts w:eastAsia="宋体"/>
      <w:kern w:val="2"/>
      <w:sz w:val="21"/>
      <w:szCs w:val="21"/>
      <w:lang w:val="en-US" w:eastAsia="zh-CN" w:bidi="ar-SA"/>
    </w:rPr>
  </w:style>
  <w:style w:type="paragraph" w:customStyle="1" w:styleId="455">
    <w:name w:val="纯文本2"/>
    <w:basedOn w:val="1"/>
    <w:qFormat/>
    <w:uiPriority w:val="0"/>
    <w:pPr>
      <w:adjustRightInd w:val="0"/>
      <w:textAlignment w:val="baseline"/>
    </w:pPr>
    <w:rPr>
      <w:rFonts w:hAnsi="Courier New"/>
      <w:szCs w:val="20"/>
    </w:rPr>
  </w:style>
  <w:style w:type="paragraph" w:customStyle="1" w:styleId="456">
    <w:name w:val="表中文字"/>
    <w:basedOn w:val="1"/>
    <w:link w:val="770"/>
    <w:qFormat/>
    <w:uiPriority w:val="0"/>
    <w:pPr>
      <w:jc w:val="center"/>
    </w:pPr>
    <w:rPr>
      <w:szCs w:val="20"/>
    </w:rPr>
  </w:style>
  <w:style w:type="paragraph" w:customStyle="1" w:styleId="457">
    <w:name w:val="样式 首行缩进:  2 字符"/>
    <w:basedOn w:val="1"/>
    <w:qFormat/>
    <w:uiPriority w:val="0"/>
    <w:pPr>
      <w:spacing w:line="360" w:lineRule="auto"/>
      <w:ind w:firstLine="560" w:firstLineChars="200"/>
    </w:pPr>
    <w:rPr>
      <w:rFonts w:eastAsia="仿宋_GB2312"/>
      <w:sz w:val="28"/>
      <w:szCs w:val="28"/>
    </w:rPr>
  </w:style>
  <w:style w:type="paragraph" w:customStyle="1" w:styleId="458">
    <w:name w:val="Char12"/>
    <w:basedOn w:val="1"/>
    <w:qFormat/>
    <w:uiPriority w:val="0"/>
    <w:pPr>
      <w:spacing w:after="160" w:line="240" w:lineRule="exact"/>
    </w:pPr>
    <w:rPr>
      <w:rFonts w:ascii="Tahoma" w:hAnsi="Tahoma"/>
      <w:szCs w:val="20"/>
      <w:lang w:eastAsia="en-US"/>
    </w:rPr>
  </w:style>
  <w:style w:type="paragraph" w:customStyle="1" w:styleId="459">
    <w:name w:val="Char7"/>
    <w:basedOn w:val="1"/>
    <w:qFormat/>
    <w:uiPriority w:val="0"/>
    <w:pPr>
      <w:spacing w:line="360" w:lineRule="auto"/>
      <w:ind w:firstLine="200" w:firstLineChars="200"/>
    </w:pPr>
  </w:style>
  <w:style w:type="paragraph" w:customStyle="1" w:styleId="460">
    <w:name w:val="Char Char Char Char Char Char Char Char Char Char"/>
    <w:basedOn w:val="1"/>
    <w:qFormat/>
    <w:uiPriority w:val="0"/>
    <w:pPr>
      <w:spacing w:line="360" w:lineRule="auto"/>
      <w:ind w:firstLine="200" w:firstLineChars="200"/>
    </w:pPr>
  </w:style>
  <w:style w:type="paragraph" w:customStyle="1" w:styleId="461">
    <w:name w:val="Char Char Char1 Char"/>
    <w:basedOn w:val="1"/>
    <w:qFormat/>
    <w:uiPriority w:val="0"/>
  </w:style>
  <w:style w:type="paragraph" w:customStyle="1" w:styleId="462">
    <w:name w:val="Char Char Char Char Char Char Char Char Char Char Char Char Char Char Char Char Char Char Char"/>
    <w:basedOn w:val="1"/>
    <w:qFormat/>
    <w:uiPriority w:val="0"/>
    <w:pPr>
      <w:spacing w:line="360" w:lineRule="auto"/>
      <w:ind w:firstLine="200" w:firstLineChars="200"/>
    </w:pPr>
  </w:style>
  <w:style w:type="paragraph" w:customStyle="1" w:styleId="463">
    <w:name w:val="Char Char Char Char4"/>
    <w:basedOn w:val="1"/>
    <w:qFormat/>
    <w:uiPriority w:val="0"/>
    <w:pPr>
      <w:snapToGrid w:val="0"/>
      <w:spacing w:line="440" w:lineRule="atLeast"/>
    </w:pPr>
  </w:style>
  <w:style w:type="paragraph" w:customStyle="1" w:styleId="464">
    <w:name w:val="章标题"/>
    <w:next w:val="1"/>
    <w:qFormat/>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465">
    <w:name w:val="表格数字"/>
    <w:basedOn w:val="1"/>
    <w:link w:val="466"/>
    <w:qFormat/>
    <w:uiPriority w:val="0"/>
    <w:pPr>
      <w:spacing w:line="360" w:lineRule="exact"/>
      <w:jc w:val="center"/>
    </w:pPr>
    <w:rPr>
      <w:rFonts w:ascii="Arial" w:hAnsi="Arial"/>
      <w:szCs w:val="20"/>
    </w:rPr>
  </w:style>
  <w:style w:type="character" w:customStyle="1" w:styleId="466">
    <w:name w:val="表格数字 Char"/>
    <w:link w:val="465"/>
    <w:qFormat/>
    <w:uiPriority w:val="0"/>
    <w:rPr>
      <w:rFonts w:ascii="Arial" w:hAnsi="Arial" w:eastAsia="宋体" w:cs="宋体"/>
      <w:sz w:val="21"/>
      <w:lang w:val="en-US" w:eastAsia="zh-CN" w:bidi="ar-SA"/>
    </w:rPr>
  </w:style>
  <w:style w:type="character" w:customStyle="1" w:styleId="467">
    <w:name w:val="Section Char"/>
    <w:qFormat/>
    <w:uiPriority w:val="0"/>
    <w:rPr>
      <w:rFonts w:eastAsia="黑体"/>
      <w:bCs/>
      <w:kern w:val="2"/>
      <w:sz w:val="24"/>
      <w:szCs w:val="32"/>
      <w:lang w:val="en-US" w:eastAsia="zh-CN" w:bidi="ar-SA"/>
    </w:rPr>
  </w:style>
  <w:style w:type="character" w:customStyle="1" w:styleId="468">
    <w:name w:val="Char Char Char Char1"/>
    <w:qFormat/>
    <w:locked/>
    <w:uiPriority w:val="0"/>
    <w:rPr>
      <w:rFonts w:eastAsia="宋体"/>
      <w:kern w:val="2"/>
      <w:sz w:val="18"/>
      <w:szCs w:val="18"/>
      <w:lang w:val="en-US" w:eastAsia="zh-CN" w:bidi="ar-SA"/>
    </w:rPr>
  </w:style>
  <w:style w:type="character" w:customStyle="1" w:styleId="469">
    <w:name w:val="正文文字缩进小4 Char Char"/>
    <w:qFormat/>
    <w:uiPriority w:val="0"/>
    <w:rPr>
      <w:rFonts w:eastAsia="仿宋_GB2312"/>
      <w:kern w:val="2"/>
      <w:sz w:val="28"/>
      <w:szCs w:val="24"/>
      <w:lang w:val="en-US" w:eastAsia="zh-CN" w:bidi="ar-SA"/>
    </w:rPr>
  </w:style>
  <w:style w:type="paragraph" w:customStyle="1" w:styleId="470">
    <w:name w:val="Char Char Char Char Char Char3"/>
    <w:basedOn w:val="1"/>
    <w:qFormat/>
    <w:uiPriority w:val="0"/>
    <w:pPr>
      <w:spacing w:line="360" w:lineRule="auto"/>
      <w:ind w:firstLine="200" w:firstLineChars="200"/>
    </w:pPr>
  </w:style>
  <w:style w:type="paragraph" w:customStyle="1" w:styleId="471">
    <w:name w:val="Char Char Char2 Char Char Char Char Char Char Char Char Char Char Char1"/>
    <w:basedOn w:val="1"/>
    <w:qFormat/>
    <w:uiPriority w:val="0"/>
    <w:pPr>
      <w:spacing w:beforeLines="20" w:line="440" w:lineRule="atLeast"/>
      <w:ind w:firstLine="200" w:firstLineChars="200"/>
    </w:pPr>
  </w:style>
  <w:style w:type="paragraph" w:customStyle="1" w:styleId="472">
    <w:name w:val="Char Char Char Char Char Char1 Char Char Char Char1"/>
    <w:basedOn w:val="1"/>
    <w:qFormat/>
    <w:uiPriority w:val="0"/>
  </w:style>
  <w:style w:type="paragraph" w:customStyle="1" w:styleId="473">
    <w:name w:val="Char Char Char Char Char Char2 Char Char Char Char1"/>
    <w:basedOn w:val="1"/>
    <w:qFormat/>
    <w:uiPriority w:val="0"/>
  </w:style>
  <w:style w:type="paragraph" w:customStyle="1" w:styleId="474">
    <w:name w:val="Bullet"/>
    <w:qFormat/>
    <w:uiPriority w:val="0"/>
    <w:pPr>
      <w:widowControl w:val="0"/>
      <w:autoSpaceDE w:val="0"/>
      <w:autoSpaceDN w:val="0"/>
      <w:adjustRightInd w:val="0"/>
      <w:ind w:left="720"/>
    </w:pPr>
    <w:rPr>
      <w:rFonts w:ascii="MingLiU" w:hAnsi="Times New Roman" w:eastAsia="MingLiU" w:cs="Times New Roman"/>
      <w:color w:val="000000"/>
      <w:sz w:val="24"/>
      <w:lang w:val="en-US" w:eastAsia="zh-TW" w:bidi="ar-SA"/>
    </w:rPr>
  </w:style>
  <w:style w:type="paragraph" w:customStyle="1" w:styleId="475">
    <w:name w:val="样式 正文1 + 段前: 0.1 行"/>
    <w:basedOn w:val="1"/>
    <w:qFormat/>
    <w:uiPriority w:val="0"/>
    <w:pPr>
      <w:snapToGrid w:val="0"/>
      <w:spacing w:beforeLines="10" w:line="440" w:lineRule="atLeast"/>
      <w:ind w:firstLine="510"/>
    </w:pPr>
    <w:rPr>
      <w:szCs w:val="20"/>
    </w:rPr>
  </w:style>
  <w:style w:type="paragraph" w:customStyle="1" w:styleId="476">
    <w:name w:val="标题3"/>
    <w:basedOn w:val="1"/>
    <w:next w:val="1"/>
    <w:link w:val="1105"/>
    <w:qFormat/>
    <w:uiPriority w:val="0"/>
    <w:pPr>
      <w:snapToGrid w:val="0"/>
      <w:spacing w:line="440" w:lineRule="atLeast"/>
      <w:ind w:firstLine="567"/>
      <w:outlineLvl w:val="2"/>
    </w:pPr>
    <w:rPr>
      <w:b/>
      <w:szCs w:val="20"/>
    </w:rPr>
  </w:style>
  <w:style w:type="paragraph" w:customStyle="1" w:styleId="477">
    <w:name w:val="样式 正文001 + 首行缩进:  2 字符"/>
    <w:basedOn w:val="1"/>
    <w:link w:val="478"/>
    <w:qFormat/>
    <w:uiPriority w:val="0"/>
    <w:pPr>
      <w:spacing w:line="500" w:lineRule="atLeast"/>
      <w:ind w:firstLine="480" w:firstLineChars="200"/>
    </w:pPr>
  </w:style>
  <w:style w:type="character" w:customStyle="1" w:styleId="478">
    <w:name w:val="样式 正文001 + 首行缩进:  2 字符 Char"/>
    <w:link w:val="477"/>
    <w:qFormat/>
    <w:uiPriority w:val="0"/>
    <w:rPr>
      <w:rFonts w:cs="宋体"/>
      <w:kern w:val="2"/>
      <w:sz w:val="24"/>
      <w:szCs w:val="24"/>
    </w:rPr>
  </w:style>
  <w:style w:type="paragraph" w:customStyle="1" w:styleId="479">
    <w:name w:val="正文样式1"/>
    <w:basedOn w:val="1"/>
    <w:link w:val="1784"/>
    <w:qFormat/>
    <w:uiPriority w:val="0"/>
    <w:pPr>
      <w:adjustRightInd w:val="0"/>
      <w:spacing w:line="288" w:lineRule="auto"/>
      <w:ind w:firstLine="360" w:firstLineChars="150"/>
      <w:textAlignment w:val="baseline"/>
    </w:pPr>
    <w:rPr>
      <w:szCs w:val="20"/>
    </w:rPr>
  </w:style>
  <w:style w:type="paragraph" w:customStyle="1" w:styleId="480">
    <w:name w:val="样式2"/>
    <w:basedOn w:val="1"/>
    <w:link w:val="818"/>
    <w:qFormat/>
    <w:uiPriority w:val="0"/>
    <w:pPr>
      <w:spacing w:line="360" w:lineRule="auto"/>
    </w:pPr>
    <w:rPr>
      <w:rFonts w:eastAsia="仿宋_GB2312"/>
      <w:b/>
      <w:sz w:val="28"/>
    </w:rPr>
  </w:style>
  <w:style w:type="paragraph" w:customStyle="1" w:styleId="481">
    <w:name w:val="CM2"/>
    <w:basedOn w:val="312"/>
    <w:next w:val="312"/>
    <w:qFormat/>
    <w:uiPriority w:val="0"/>
    <w:pPr>
      <w:spacing w:line="468" w:lineRule="atLeast"/>
    </w:pPr>
    <w:rPr>
      <w:rFonts w:ascii="楷体" w:eastAsia="楷体" w:cs="Times New Roman"/>
      <w:color w:val="auto"/>
    </w:rPr>
  </w:style>
  <w:style w:type="paragraph" w:customStyle="1" w:styleId="482">
    <w:name w:val="首页要点"/>
    <w:basedOn w:val="1"/>
    <w:link w:val="483"/>
    <w:qFormat/>
    <w:uiPriority w:val="0"/>
    <w:pPr>
      <w:tabs>
        <w:tab w:val="left" w:pos="607"/>
      </w:tabs>
      <w:spacing w:beforeLines="50"/>
      <w:ind w:left="607" w:hanging="420"/>
    </w:pPr>
    <w:rPr>
      <w:rFonts w:ascii="Arial" w:hAnsi="Arial" w:eastAsia="楷体_GB2312"/>
      <w:szCs w:val="21"/>
    </w:rPr>
  </w:style>
  <w:style w:type="character" w:customStyle="1" w:styleId="483">
    <w:name w:val="首页要点 Char"/>
    <w:link w:val="482"/>
    <w:qFormat/>
    <w:uiPriority w:val="0"/>
    <w:rPr>
      <w:rFonts w:ascii="Arial" w:hAnsi="Arial" w:eastAsia="楷体_GB2312"/>
      <w:kern w:val="2"/>
      <w:sz w:val="21"/>
      <w:szCs w:val="21"/>
      <w:lang w:val="en-US" w:eastAsia="zh-CN" w:bidi="ar-SA"/>
    </w:rPr>
  </w:style>
  <w:style w:type="paragraph" w:customStyle="1" w:styleId="484">
    <w:name w:val="CM3"/>
    <w:basedOn w:val="312"/>
    <w:next w:val="312"/>
    <w:qFormat/>
    <w:uiPriority w:val="0"/>
    <w:pPr>
      <w:spacing w:line="468" w:lineRule="atLeast"/>
    </w:pPr>
    <w:rPr>
      <w:rFonts w:ascii="楷体" w:eastAsia="楷体" w:cs="Times New Roman"/>
      <w:color w:val="auto"/>
    </w:rPr>
  </w:style>
  <w:style w:type="paragraph" w:customStyle="1" w:styleId="485">
    <w:name w:val="CM1"/>
    <w:basedOn w:val="312"/>
    <w:next w:val="312"/>
    <w:qFormat/>
    <w:uiPriority w:val="0"/>
    <w:rPr>
      <w:rFonts w:ascii="楷体" w:eastAsia="楷体" w:cs="Times New Roman"/>
      <w:color w:val="auto"/>
    </w:rPr>
  </w:style>
  <w:style w:type="paragraph" w:customStyle="1" w:styleId="486">
    <w:name w:val="CM17"/>
    <w:basedOn w:val="312"/>
    <w:next w:val="312"/>
    <w:qFormat/>
    <w:uiPriority w:val="0"/>
    <w:pPr>
      <w:spacing w:after="263"/>
    </w:pPr>
    <w:rPr>
      <w:rFonts w:ascii="楷体" w:eastAsia="楷体" w:cs="Times New Roman"/>
      <w:color w:val="auto"/>
    </w:rPr>
  </w:style>
  <w:style w:type="paragraph" w:customStyle="1" w:styleId="487">
    <w:name w:val="CM20"/>
    <w:basedOn w:val="312"/>
    <w:next w:val="312"/>
    <w:qFormat/>
    <w:uiPriority w:val="0"/>
    <w:pPr>
      <w:spacing w:after="208"/>
    </w:pPr>
    <w:rPr>
      <w:rFonts w:ascii="楷体" w:eastAsia="楷体" w:cs="Times New Roman"/>
      <w:color w:val="auto"/>
    </w:rPr>
  </w:style>
  <w:style w:type="paragraph" w:customStyle="1" w:styleId="488">
    <w:name w:val="CM21"/>
    <w:basedOn w:val="312"/>
    <w:next w:val="312"/>
    <w:qFormat/>
    <w:uiPriority w:val="0"/>
    <w:pPr>
      <w:spacing w:after="358"/>
    </w:pPr>
    <w:rPr>
      <w:rFonts w:ascii="楷体" w:eastAsia="楷体" w:cs="Times New Roman"/>
      <w:color w:val="auto"/>
    </w:rPr>
  </w:style>
  <w:style w:type="paragraph" w:customStyle="1" w:styleId="489">
    <w:name w:val="CM13"/>
    <w:basedOn w:val="312"/>
    <w:next w:val="312"/>
    <w:qFormat/>
    <w:uiPriority w:val="0"/>
    <w:rPr>
      <w:rFonts w:ascii="楷体" w:eastAsia="楷体" w:cs="Times New Roman"/>
      <w:color w:val="auto"/>
    </w:rPr>
  </w:style>
  <w:style w:type="character" w:customStyle="1" w:styleId="490">
    <w:name w:val="12font1"/>
    <w:qFormat/>
    <w:uiPriority w:val="0"/>
    <w:rPr>
      <w:spacing w:val="288"/>
      <w:sz w:val="24"/>
      <w:szCs w:val="24"/>
    </w:rPr>
  </w:style>
  <w:style w:type="paragraph" w:customStyle="1" w:styleId="491">
    <w:name w:val="Char Char Char1 Char Char Char Char Char Char Char Char Char Char Char Char Char Char Char Char"/>
    <w:basedOn w:val="1"/>
    <w:qFormat/>
    <w:uiPriority w:val="0"/>
  </w:style>
  <w:style w:type="character" w:customStyle="1" w:styleId="492">
    <w:name w:val="hottext1"/>
    <w:qFormat/>
    <w:uiPriority w:val="0"/>
    <w:rPr>
      <w:rFonts w:hint="eastAsia" w:ascii="宋体" w:hAnsi="宋体" w:eastAsia="宋体"/>
      <w:color w:val="333333"/>
      <w:spacing w:val="260"/>
      <w:sz w:val="13"/>
      <w:szCs w:val="13"/>
      <w:u w:val="none"/>
    </w:rPr>
  </w:style>
  <w:style w:type="character" w:customStyle="1" w:styleId="493">
    <w:name w:val="f41"/>
    <w:qFormat/>
    <w:uiPriority w:val="0"/>
    <w:rPr>
      <w:color w:val="333333"/>
      <w:sz w:val="21"/>
      <w:szCs w:val="21"/>
    </w:rPr>
  </w:style>
  <w:style w:type="character" w:customStyle="1" w:styleId="494">
    <w:name w:val="font201"/>
    <w:qFormat/>
    <w:uiPriority w:val="0"/>
    <w:rPr>
      <w:spacing w:val="335"/>
    </w:rPr>
  </w:style>
  <w:style w:type="paragraph" w:customStyle="1" w:styleId="495">
    <w:name w:val="框图"/>
    <w:basedOn w:val="1"/>
    <w:autoRedefine/>
    <w:qFormat/>
    <w:uiPriority w:val="0"/>
    <w:pPr>
      <w:jc w:val="center"/>
    </w:pPr>
  </w:style>
  <w:style w:type="paragraph" w:customStyle="1" w:styleId="496">
    <w:name w:val="小四正文缩进2 Char"/>
    <w:basedOn w:val="1"/>
    <w:link w:val="497"/>
    <w:qFormat/>
    <w:uiPriority w:val="0"/>
    <w:pPr>
      <w:spacing w:line="360" w:lineRule="auto"/>
      <w:ind w:firstLine="200" w:firstLineChars="200"/>
    </w:pPr>
  </w:style>
  <w:style w:type="character" w:customStyle="1" w:styleId="497">
    <w:name w:val="小四正文缩进2 Char Char"/>
    <w:link w:val="496"/>
    <w:qFormat/>
    <w:uiPriority w:val="0"/>
    <w:rPr>
      <w:rFonts w:eastAsia="宋体"/>
      <w:kern w:val="2"/>
      <w:sz w:val="24"/>
      <w:szCs w:val="24"/>
      <w:lang w:val="en-US" w:eastAsia="zh-CN" w:bidi="ar-SA"/>
    </w:rPr>
  </w:style>
  <w:style w:type="character" w:customStyle="1" w:styleId="498">
    <w:name w:val="tpc_content1"/>
    <w:qFormat/>
    <w:uiPriority w:val="0"/>
    <w:rPr>
      <w:sz w:val="20"/>
      <w:szCs w:val="20"/>
    </w:rPr>
  </w:style>
  <w:style w:type="character" w:customStyle="1" w:styleId="499">
    <w:name w:val="css-text3"/>
    <w:basedOn w:val="132"/>
    <w:qFormat/>
    <w:uiPriority w:val="0"/>
  </w:style>
  <w:style w:type="paragraph" w:customStyle="1" w:styleId="500">
    <w:name w:val="说明正文"/>
    <w:basedOn w:val="6"/>
    <w:autoRedefine/>
    <w:qFormat/>
    <w:uiPriority w:val="0"/>
    <w:pPr>
      <w:widowControl w:val="0"/>
      <w:adjustRightInd w:val="0"/>
      <w:snapToGrid w:val="0"/>
      <w:spacing w:after="0" w:line="360" w:lineRule="auto"/>
      <w:jc w:val="center"/>
    </w:pPr>
    <w:rPr>
      <w:rFonts w:ascii="仿宋_GB2312" w:eastAsia="仿宋_GB2312"/>
      <w:kern w:val="2"/>
      <w:sz w:val="28"/>
    </w:rPr>
  </w:style>
  <w:style w:type="character" w:customStyle="1" w:styleId="501">
    <w:name w:val="content3"/>
    <w:basedOn w:val="132"/>
    <w:qFormat/>
    <w:uiPriority w:val="0"/>
  </w:style>
  <w:style w:type="paragraph" w:customStyle="1" w:styleId="502">
    <w:name w:val="保留正文"/>
    <w:basedOn w:val="1"/>
    <w:qFormat/>
    <w:uiPriority w:val="0"/>
    <w:pPr>
      <w:keepNext/>
      <w:adjustRightInd w:val="0"/>
      <w:spacing w:after="160" w:line="480" w:lineRule="auto"/>
      <w:textAlignment w:val="baseline"/>
    </w:pPr>
  </w:style>
  <w:style w:type="paragraph" w:customStyle="1" w:styleId="503">
    <w:name w:val="td3"/>
    <w:basedOn w:val="1"/>
    <w:qFormat/>
    <w:uiPriority w:val="0"/>
    <w:pPr>
      <w:spacing w:before="100" w:beforeAutospacing="1" w:after="100" w:afterAutospacing="1"/>
    </w:pPr>
    <w:rPr>
      <w:rFonts w:ascii="Arial Unicode MS" w:hAnsi="Arial Unicode MS" w:eastAsia="Arial Unicode MS" w:cs="Arial Unicode MS"/>
      <w:color w:val="5D5D5D"/>
      <w:sz w:val="18"/>
      <w:szCs w:val="18"/>
    </w:rPr>
  </w:style>
  <w:style w:type="paragraph" w:customStyle="1" w:styleId="504">
    <w:name w:val="样式 样式 标题 2节标题 1.1 + Times New Roman 四号 +"/>
    <w:basedOn w:val="1"/>
    <w:link w:val="505"/>
    <w:qFormat/>
    <w:uiPriority w:val="0"/>
    <w:pPr>
      <w:keepNext/>
      <w:keepLines/>
      <w:spacing w:before="100" w:beforeAutospacing="1" w:after="100" w:afterAutospacing="1" w:line="360" w:lineRule="auto"/>
      <w:outlineLvl w:val="1"/>
    </w:pPr>
    <w:rPr>
      <w:b/>
      <w:bCs/>
      <w:sz w:val="28"/>
      <w:szCs w:val="32"/>
    </w:rPr>
  </w:style>
  <w:style w:type="character" w:customStyle="1" w:styleId="505">
    <w:name w:val="样式 样式 标题 2节标题 1.1 + Times New Roman 四号 + Char"/>
    <w:link w:val="504"/>
    <w:qFormat/>
    <w:uiPriority w:val="0"/>
    <w:rPr>
      <w:b/>
      <w:bCs/>
      <w:kern w:val="2"/>
      <w:sz w:val="28"/>
      <w:szCs w:val="32"/>
      <w:lang w:val="en-US" w:eastAsia="zh-CN" w:bidi="ar-SA"/>
    </w:rPr>
  </w:style>
  <w:style w:type="paragraph" w:customStyle="1" w:styleId="506">
    <w:name w:val="可研报告正文"/>
    <w:basedOn w:val="1"/>
    <w:link w:val="507"/>
    <w:qFormat/>
    <w:uiPriority w:val="0"/>
    <w:pPr>
      <w:tabs>
        <w:tab w:val="left" w:pos="4620"/>
      </w:tabs>
      <w:spacing w:beforeLines="50" w:afterLines="50" w:line="440" w:lineRule="exact"/>
      <w:ind w:left="425" w:firstLine="482"/>
    </w:pPr>
  </w:style>
  <w:style w:type="character" w:customStyle="1" w:styleId="507">
    <w:name w:val="可研报告正文 Char"/>
    <w:link w:val="506"/>
    <w:qFormat/>
    <w:uiPriority w:val="0"/>
    <w:rPr>
      <w:rFonts w:eastAsia="宋体"/>
      <w:kern w:val="2"/>
      <w:sz w:val="24"/>
      <w:szCs w:val="24"/>
      <w:lang w:val="en-US" w:eastAsia="zh-CN" w:bidi="ar-SA"/>
    </w:rPr>
  </w:style>
  <w:style w:type="character" w:customStyle="1" w:styleId="508">
    <w:name w:val="ttitle1"/>
    <w:qFormat/>
    <w:uiPriority w:val="0"/>
    <w:rPr>
      <w:spacing w:val="120"/>
      <w:sz w:val="21"/>
      <w:szCs w:val="21"/>
    </w:rPr>
  </w:style>
  <w:style w:type="paragraph" w:customStyle="1" w:styleId="509">
    <w:name w:val="Char Char1 Char Char Char Char Char Char Char Char Char Char Char Char Char Char Char Char Char Char Char Char1 Char2"/>
    <w:basedOn w:val="1"/>
    <w:qFormat/>
    <w:uiPriority w:val="0"/>
    <w:pPr>
      <w:spacing w:line="360" w:lineRule="auto"/>
      <w:ind w:firstLine="200" w:firstLineChars="200"/>
    </w:pPr>
  </w:style>
  <w:style w:type="character" w:customStyle="1" w:styleId="510">
    <w:name w:val="title1"/>
    <w:qFormat/>
    <w:uiPriority w:val="0"/>
    <w:rPr>
      <w:b/>
      <w:bCs/>
      <w:color w:val="000000"/>
      <w:sz w:val="21"/>
      <w:szCs w:val="21"/>
    </w:rPr>
  </w:style>
  <w:style w:type="paragraph" w:customStyle="1" w:styleId="511">
    <w:name w:val="图名"/>
    <w:basedOn w:val="1"/>
    <w:qFormat/>
    <w:uiPriority w:val="0"/>
    <w:pPr>
      <w:snapToGrid w:val="0"/>
      <w:spacing w:before="60" w:line="460" w:lineRule="atLeast"/>
      <w:jc w:val="center"/>
    </w:pPr>
    <w:rPr>
      <w:b/>
    </w:rPr>
  </w:style>
  <w:style w:type="paragraph" w:customStyle="1" w:styleId="512">
    <w:name w:val="表格中"/>
    <w:basedOn w:val="404"/>
    <w:link w:val="513"/>
    <w:qFormat/>
    <w:uiPriority w:val="0"/>
    <w:rPr>
      <w:rFonts w:eastAsia="宋体"/>
      <w:sz w:val="21"/>
      <w:szCs w:val="24"/>
    </w:rPr>
  </w:style>
  <w:style w:type="character" w:customStyle="1" w:styleId="513">
    <w:name w:val="表格中 Char"/>
    <w:link w:val="512"/>
    <w:qFormat/>
    <w:uiPriority w:val="0"/>
    <w:rPr>
      <w:rFonts w:eastAsia="宋体"/>
      <w:kern w:val="2"/>
      <w:sz w:val="21"/>
      <w:szCs w:val="24"/>
      <w:lang w:val="en-US" w:eastAsia="zh-CN" w:bidi="ar-SA"/>
    </w:rPr>
  </w:style>
  <w:style w:type="paragraph" w:customStyle="1" w:styleId="514">
    <w:name w:val="td1"/>
    <w:basedOn w:val="1"/>
    <w:qFormat/>
    <w:uiPriority w:val="0"/>
    <w:pPr>
      <w:spacing w:before="100" w:beforeAutospacing="1" w:after="100" w:afterAutospacing="1"/>
      <w:jc w:val="center"/>
    </w:pPr>
    <w:rPr>
      <w:rFonts w:ascii="Arial Unicode MS" w:hAnsi="Arial Unicode MS" w:eastAsia="Arial Unicode MS" w:cs="Arial Unicode MS"/>
      <w:b/>
      <w:bCs/>
      <w:color w:val="0000FF"/>
      <w:sz w:val="28"/>
      <w:szCs w:val="28"/>
      <w:u w:val="single"/>
    </w:rPr>
  </w:style>
  <w:style w:type="paragraph" w:customStyle="1" w:styleId="515">
    <w:name w:val="正文缩进2 Char Char"/>
    <w:basedOn w:val="1"/>
    <w:link w:val="516"/>
    <w:qFormat/>
    <w:uiPriority w:val="0"/>
    <w:pPr>
      <w:spacing w:before="60" w:line="460" w:lineRule="atLeast"/>
      <w:ind w:firstLine="480" w:firstLineChars="200"/>
    </w:pPr>
    <w:rPr>
      <w:szCs w:val="20"/>
    </w:rPr>
  </w:style>
  <w:style w:type="character" w:customStyle="1" w:styleId="516">
    <w:name w:val="正文缩进2 Char Char Char"/>
    <w:link w:val="515"/>
    <w:qFormat/>
    <w:uiPriority w:val="0"/>
    <w:rPr>
      <w:rFonts w:eastAsia="宋体" w:cs="宋体"/>
      <w:kern w:val="2"/>
      <w:sz w:val="24"/>
      <w:lang w:val="en-US" w:eastAsia="zh-CN" w:bidi="ar-SA"/>
    </w:rPr>
  </w:style>
  <w:style w:type="paragraph" w:customStyle="1" w:styleId="517">
    <w:name w:val="正文文本缩进1"/>
    <w:basedOn w:val="1"/>
    <w:qFormat/>
    <w:uiPriority w:val="0"/>
    <w:pPr>
      <w:ind w:firstLine="560" w:firstLineChars="200"/>
    </w:pPr>
    <w:rPr>
      <w:sz w:val="28"/>
      <w:szCs w:val="28"/>
    </w:rPr>
  </w:style>
  <w:style w:type="paragraph" w:customStyle="1" w:styleId="518">
    <w:name w:val="样式上"/>
    <w:basedOn w:val="1"/>
    <w:qFormat/>
    <w:uiPriority w:val="0"/>
    <w:pPr>
      <w:snapToGrid w:val="0"/>
      <w:jc w:val="center"/>
    </w:pPr>
    <w:rPr>
      <w:sz w:val="28"/>
      <w:szCs w:val="28"/>
    </w:rPr>
  </w:style>
  <w:style w:type="character" w:customStyle="1" w:styleId="519">
    <w:name w:val="txt1"/>
    <w:qFormat/>
    <w:uiPriority w:val="0"/>
    <w:rPr>
      <w:color w:val="000000"/>
      <w:spacing w:val="360"/>
      <w:sz w:val="19"/>
      <w:szCs w:val="19"/>
      <w:u w:val="none"/>
    </w:rPr>
  </w:style>
  <w:style w:type="paragraph" w:customStyle="1" w:styleId="520">
    <w:name w:val="样式 标题 3条标题1.1.11.1.1标题03标题 3 Char Char标题 3 Char Char Char标..."/>
    <w:basedOn w:val="4"/>
    <w:qFormat/>
    <w:uiPriority w:val="0"/>
    <w:pPr>
      <w:spacing w:line="240" w:lineRule="auto"/>
    </w:pPr>
    <w:rPr>
      <w:rFonts w:eastAsia="黑体"/>
      <w:b w:val="0"/>
      <w:szCs w:val="20"/>
    </w:rPr>
  </w:style>
  <w:style w:type="paragraph" w:customStyle="1" w:styleId="52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522">
    <w:name w:val="表中 Char Char Char"/>
    <w:basedOn w:val="1"/>
    <w:link w:val="523"/>
    <w:qFormat/>
    <w:uiPriority w:val="0"/>
    <w:pPr>
      <w:jc w:val="center"/>
    </w:pPr>
    <w:rPr>
      <w:bCs/>
      <w:szCs w:val="21"/>
    </w:rPr>
  </w:style>
  <w:style w:type="character" w:customStyle="1" w:styleId="523">
    <w:name w:val="表中 Char Char Char Char"/>
    <w:link w:val="522"/>
    <w:qFormat/>
    <w:uiPriority w:val="0"/>
    <w:rPr>
      <w:rFonts w:eastAsia="宋体"/>
      <w:bCs/>
      <w:kern w:val="2"/>
      <w:sz w:val="21"/>
      <w:szCs w:val="21"/>
      <w:lang w:val="en-US" w:eastAsia="zh-CN" w:bidi="ar-SA"/>
    </w:rPr>
  </w:style>
  <w:style w:type="paragraph" w:customStyle="1" w:styleId="524">
    <w:name w:val="表格居左"/>
    <w:basedOn w:val="1"/>
    <w:link w:val="525"/>
    <w:qFormat/>
    <w:uiPriority w:val="0"/>
    <w:rPr>
      <w:bCs/>
      <w:szCs w:val="21"/>
    </w:rPr>
  </w:style>
  <w:style w:type="character" w:customStyle="1" w:styleId="525">
    <w:name w:val="表格居左 Char1"/>
    <w:link w:val="524"/>
    <w:qFormat/>
    <w:uiPriority w:val="0"/>
    <w:rPr>
      <w:rFonts w:eastAsia="宋体"/>
      <w:bCs/>
      <w:kern w:val="2"/>
      <w:sz w:val="21"/>
      <w:szCs w:val="21"/>
      <w:lang w:val="en-US" w:eastAsia="zh-CN" w:bidi="ar-SA"/>
    </w:rPr>
  </w:style>
  <w:style w:type="paragraph" w:customStyle="1" w:styleId="526">
    <w:name w:val="正文2缩进主要格式 Char"/>
    <w:basedOn w:val="1"/>
    <w:link w:val="527"/>
    <w:semiHidden/>
    <w:qFormat/>
    <w:uiPriority w:val="0"/>
    <w:pPr>
      <w:spacing w:line="360" w:lineRule="auto"/>
      <w:ind w:firstLine="480" w:firstLineChars="200"/>
    </w:pPr>
    <w:rPr>
      <w:szCs w:val="20"/>
    </w:rPr>
  </w:style>
  <w:style w:type="character" w:customStyle="1" w:styleId="527">
    <w:name w:val="正文2缩进主要格式 Char Char"/>
    <w:link w:val="526"/>
    <w:qFormat/>
    <w:uiPriority w:val="0"/>
    <w:rPr>
      <w:rFonts w:ascii="宋体" w:hAnsi="宋体" w:eastAsia="宋体" w:cs="宋体"/>
      <w:kern w:val="2"/>
      <w:sz w:val="24"/>
      <w:lang w:val="en-US" w:eastAsia="zh-CN" w:bidi="ar-SA"/>
    </w:rPr>
  </w:style>
  <w:style w:type="paragraph" w:customStyle="1" w:styleId="528">
    <w:name w:val="表格居中 Char"/>
    <w:basedOn w:val="1"/>
    <w:link w:val="529"/>
    <w:qFormat/>
    <w:uiPriority w:val="0"/>
    <w:pPr>
      <w:jc w:val="center"/>
    </w:pPr>
  </w:style>
  <w:style w:type="character" w:customStyle="1" w:styleId="529">
    <w:name w:val="表格居中 Char Char"/>
    <w:link w:val="528"/>
    <w:qFormat/>
    <w:uiPriority w:val="0"/>
    <w:rPr>
      <w:rFonts w:eastAsia="宋体"/>
      <w:kern w:val="2"/>
      <w:sz w:val="21"/>
      <w:szCs w:val="24"/>
      <w:lang w:val="en-US" w:eastAsia="zh-CN" w:bidi="ar-SA"/>
    </w:rPr>
  </w:style>
  <w:style w:type="paragraph" w:customStyle="1" w:styleId="530">
    <w:name w:val="样式4"/>
    <w:basedOn w:val="5"/>
    <w:link w:val="936"/>
    <w:qFormat/>
    <w:uiPriority w:val="0"/>
    <w:pPr>
      <w:keepLines/>
      <w:widowControl w:val="0"/>
      <w:overflowPunct/>
      <w:autoSpaceDE/>
      <w:autoSpaceDN/>
      <w:adjustRightInd/>
      <w:spacing w:before="280" w:after="290"/>
      <w:textAlignment w:val="auto"/>
    </w:pPr>
    <w:rPr>
      <w:rFonts w:ascii="Arial" w:hAnsi="Arial"/>
      <w:i w:val="0"/>
      <w:kern w:val="2"/>
      <w:szCs w:val="28"/>
    </w:rPr>
  </w:style>
  <w:style w:type="paragraph" w:customStyle="1" w:styleId="531">
    <w:name w:val="表中"/>
    <w:basedOn w:val="1"/>
    <w:qFormat/>
    <w:uiPriority w:val="0"/>
    <w:pPr>
      <w:jc w:val="center"/>
    </w:pPr>
    <w:rPr>
      <w:bCs/>
      <w:szCs w:val="21"/>
    </w:rPr>
  </w:style>
  <w:style w:type="paragraph" w:customStyle="1" w:styleId="532">
    <w:name w:val="10"/>
    <w:basedOn w:val="1"/>
    <w:qFormat/>
    <w:uiPriority w:val="0"/>
    <w:pPr>
      <w:spacing w:line="360" w:lineRule="auto"/>
      <w:ind w:firstLine="200" w:firstLineChars="200"/>
    </w:pPr>
  </w:style>
  <w:style w:type="paragraph" w:customStyle="1" w:styleId="533">
    <w:name w:val="正文缩进2 Char"/>
    <w:basedOn w:val="1"/>
    <w:link w:val="534"/>
    <w:qFormat/>
    <w:uiPriority w:val="0"/>
    <w:pPr>
      <w:spacing w:line="360" w:lineRule="auto"/>
      <w:ind w:firstLine="200" w:firstLineChars="200"/>
    </w:pPr>
    <w:rPr>
      <w:bCs/>
      <w:szCs w:val="21"/>
    </w:rPr>
  </w:style>
  <w:style w:type="character" w:customStyle="1" w:styleId="534">
    <w:name w:val="正文缩进2 Char Char1"/>
    <w:link w:val="533"/>
    <w:qFormat/>
    <w:uiPriority w:val="0"/>
    <w:rPr>
      <w:rFonts w:eastAsia="宋体"/>
      <w:bCs/>
      <w:kern w:val="2"/>
      <w:sz w:val="24"/>
      <w:szCs w:val="21"/>
      <w:lang w:val="en-US" w:eastAsia="zh-CN" w:bidi="ar-SA"/>
    </w:rPr>
  </w:style>
  <w:style w:type="paragraph" w:customStyle="1" w:styleId="535">
    <w:name w:val="2缩正 Char"/>
    <w:basedOn w:val="1"/>
    <w:link w:val="536"/>
    <w:qFormat/>
    <w:uiPriority w:val="0"/>
    <w:pPr>
      <w:spacing w:line="360" w:lineRule="auto"/>
      <w:ind w:firstLine="200" w:firstLineChars="200"/>
    </w:pPr>
  </w:style>
  <w:style w:type="character" w:customStyle="1" w:styleId="536">
    <w:name w:val="2缩正 Char Char"/>
    <w:link w:val="535"/>
    <w:qFormat/>
    <w:uiPriority w:val="0"/>
    <w:rPr>
      <w:rFonts w:eastAsia="宋体"/>
      <w:kern w:val="2"/>
      <w:sz w:val="24"/>
      <w:szCs w:val="24"/>
      <w:lang w:val="en-US" w:eastAsia="zh-CN" w:bidi="ar-SA"/>
    </w:rPr>
  </w:style>
  <w:style w:type="paragraph" w:customStyle="1" w:styleId="537">
    <w:name w:val="表格居中"/>
    <w:basedOn w:val="1"/>
    <w:qFormat/>
    <w:uiPriority w:val="0"/>
    <w:pPr>
      <w:jc w:val="center"/>
    </w:pPr>
  </w:style>
  <w:style w:type="paragraph" w:customStyle="1" w:styleId="538">
    <w:name w:val="小四正文缩进2"/>
    <w:basedOn w:val="1"/>
    <w:qFormat/>
    <w:uiPriority w:val="0"/>
    <w:pPr>
      <w:spacing w:line="360" w:lineRule="auto"/>
      <w:ind w:firstLine="200" w:firstLineChars="200"/>
    </w:pPr>
  </w:style>
  <w:style w:type="character" w:customStyle="1" w:styleId="539">
    <w:name w:val="正文缩进2 Char Char Char1"/>
    <w:qFormat/>
    <w:uiPriority w:val="0"/>
    <w:rPr>
      <w:rFonts w:eastAsia="宋体" w:cs="宋体"/>
      <w:kern w:val="2"/>
      <w:sz w:val="24"/>
      <w:szCs w:val="24"/>
      <w:lang w:val="en-US" w:eastAsia="zh-CN" w:bidi="ar-SA"/>
    </w:rPr>
  </w:style>
  <w:style w:type="paragraph" w:customStyle="1" w:styleId="540">
    <w:name w:val="表中 Char"/>
    <w:basedOn w:val="1"/>
    <w:qFormat/>
    <w:uiPriority w:val="0"/>
    <w:pPr>
      <w:jc w:val="center"/>
    </w:pPr>
    <w:rPr>
      <w:bCs/>
      <w:szCs w:val="21"/>
    </w:rPr>
  </w:style>
  <w:style w:type="paragraph" w:customStyle="1" w:styleId="541">
    <w:name w:val="Char Char Char1 Char Char Char Char Char Char Char Char Char Char Char Char Char"/>
    <w:basedOn w:val="1"/>
    <w:qFormat/>
    <w:uiPriority w:val="0"/>
  </w:style>
  <w:style w:type="paragraph" w:customStyle="1" w:styleId="542">
    <w:name w:val="my Char"/>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paragraph" w:customStyle="1" w:styleId="543">
    <w:name w:val="1 Char Char Char Char"/>
    <w:basedOn w:val="1"/>
    <w:next w:val="1"/>
    <w:qFormat/>
    <w:uiPriority w:val="0"/>
    <w:pPr>
      <w:spacing w:line="360" w:lineRule="auto"/>
      <w:ind w:firstLine="200" w:firstLineChars="200"/>
    </w:pPr>
  </w:style>
  <w:style w:type="paragraph" w:customStyle="1" w:styleId="544">
    <w:name w:val="样式 标题 3 + 宋体 小四 加粗"/>
    <w:basedOn w:val="4"/>
    <w:qFormat/>
    <w:uiPriority w:val="0"/>
    <w:pPr>
      <w:spacing w:before="50" w:after="50"/>
    </w:pPr>
    <w:rPr>
      <w:sz w:val="24"/>
    </w:rPr>
  </w:style>
  <w:style w:type="character" w:customStyle="1" w:styleId="545">
    <w:name w:val="首行缩进 Char Char Char Char Char"/>
    <w:qFormat/>
    <w:uiPriority w:val="0"/>
    <w:rPr>
      <w:rFonts w:eastAsia="宋体"/>
      <w:kern w:val="2"/>
      <w:sz w:val="24"/>
      <w:szCs w:val="24"/>
      <w:lang w:val="en-US" w:eastAsia="zh-CN" w:bidi="ar-SA"/>
    </w:rPr>
  </w:style>
  <w:style w:type="paragraph" w:customStyle="1" w:styleId="546">
    <w:name w:val="Char1 Char Char Char2"/>
    <w:basedOn w:val="1"/>
    <w:qFormat/>
    <w:uiPriority w:val="0"/>
    <w:rPr>
      <w:rFonts w:ascii="Tahoma" w:hAnsi="Tahoma"/>
      <w:szCs w:val="20"/>
    </w:rPr>
  </w:style>
  <w:style w:type="character" w:customStyle="1" w:styleId="547">
    <w:name w:val="px14"/>
    <w:basedOn w:val="132"/>
    <w:qFormat/>
    <w:uiPriority w:val="0"/>
  </w:style>
  <w:style w:type="paragraph" w:customStyle="1" w:styleId="548">
    <w:name w:val="字元 字元"/>
    <w:basedOn w:val="1"/>
    <w:qFormat/>
    <w:uiPriority w:val="0"/>
    <w:pPr>
      <w:spacing w:line="360" w:lineRule="auto"/>
      <w:ind w:firstLine="200" w:firstLineChars="200"/>
    </w:pPr>
  </w:style>
  <w:style w:type="paragraph" w:customStyle="1" w:styleId="549">
    <w:name w:val="Char2"/>
    <w:basedOn w:val="1"/>
    <w:next w:val="1"/>
    <w:qFormat/>
    <w:uiPriority w:val="0"/>
    <w:pPr>
      <w:spacing w:line="360" w:lineRule="auto"/>
      <w:ind w:firstLine="200" w:firstLineChars="200"/>
    </w:pPr>
  </w:style>
  <w:style w:type="character" w:customStyle="1" w:styleId="550">
    <w:name w:val="style91"/>
    <w:qFormat/>
    <w:uiPriority w:val="0"/>
    <w:rPr>
      <w:color w:val="333333"/>
      <w:sz w:val="18"/>
      <w:szCs w:val="18"/>
    </w:rPr>
  </w:style>
  <w:style w:type="character" w:customStyle="1" w:styleId="551">
    <w:name w:val="line181"/>
    <w:basedOn w:val="132"/>
    <w:qFormat/>
    <w:uiPriority w:val="0"/>
  </w:style>
  <w:style w:type="paragraph" w:customStyle="1" w:styleId="552">
    <w:name w:val="Char2 Char Char Char"/>
    <w:basedOn w:val="1"/>
    <w:qFormat/>
    <w:uiPriority w:val="0"/>
  </w:style>
  <w:style w:type="character" w:customStyle="1" w:styleId="553">
    <w:name w:val="zhenwen141"/>
    <w:qFormat/>
    <w:uiPriority w:val="0"/>
    <w:rPr>
      <w:rFonts w:hint="default" w:ascii="ˎ̥" w:hAnsi="ˎ̥"/>
      <w:sz w:val="21"/>
      <w:szCs w:val="21"/>
    </w:rPr>
  </w:style>
  <w:style w:type="paragraph" w:customStyle="1" w:styleId="554">
    <w:name w:val="样式 首行缩进:  0 字符"/>
    <w:basedOn w:val="1"/>
    <w:qFormat/>
    <w:uiPriority w:val="0"/>
    <w:pPr>
      <w:spacing w:line="360" w:lineRule="auto"/>
      <w:ind w:firstLine="200" w:firstLineChars="200"/>
    </w:pPr>
    <w:rPr>
      <w:szCs w:val="20"/>
    </w:rPr>
  </w:style>
  <w:style w:type="character" w:customStyle="1" w:styleId="555">
    <w:name w:val="表格居左 Char Char"/>
    <w:qFormat/>
    <w:uiPriority w:val="0"/>
    <w:rPr>
      <w:rFonts w:eastAsia="宋体"/>
      <w:sz w:val="21"/>
      <w:szCs w:val="21"/>
      <w:lang w:val="en-US" w:eastAsia="zh-CN" w:bidi="ar-SA"/>
    </w:rPr>
  </w:style>
  <w:style w:type="paragraph" w:customStyle="1" w:styleId="556">
    <w:name w:val="第四层次"/>
    <w:basedOn w:val="5"/>
    <w:qFormat/>
    <w:uiPriority w:val="0"/>
    <w:pPr>
      <w:keepLines/>
      <w:widowControl w:val="0"/>
      <w:overflowPunct/>
      <w:autoSpaceDE/>
      <w:autoSpaceDN/>
      <w:adjustRightInd/>
      <w:spacing w:before="280" w:after="290" w:line="376" w:lineRule="auto"/>
      <w:textAlignment w:val="auto"/>
    </w:pPr>
    <w:rPr>
      <w:rFonts w:ascii="黑体" w:hAnsi="黑体"/>
      <w:b w:val="0"/>
      <w:i w:val="0"/>
      <w:kern w:val="2"/>
      <w:szCs w:val="28"/>
    </w:rPr>
  </w:style>
  <w:style w:type="paragraph" w:customStyle="1" w:styleId="557">
    <w:name w:val="Char Char Char Char Char Char Char"/>
    <w:basedOn w:val="5"/>
    <w:autoRedefine/>
    <w:qFormat/>
    <w:uiPriority w:val="0"/>
    <w:pPr>
      <w:keepLines/>
      <w:overflowPunct/>
      <w:autoSpaceDE/>
      <w:autoSpaceDN/>
      <w:adjustRightInd/>
      <w:spacing w:before="140" w:line="220" w:lineRule="atLeast"/>
      <w:ind w:left="720"/>
      <w:textAlignment w:val="auto"/>
    </w:pPr>
    <w:rPr>
      <w:rFonts w:ascii="Futura Bk BT" w:hAnsi="Futura Bk BT" w:eastAsia="Times New Roman"/>
      <w:b w:val="0"/>
      <w:i w:val="0"/>
      <w:spacing w:val="-4"/>
      <w:sz w:val="21"/>
      <w:szCs w:val="20"/>
      <w:lang w:val="en-AU" w:eastAsia="en-US"/>
    </w:rPr>
  </w:style>
  <w:style w:type="paragraph" w:customStyle="1" w:styleId="558">
    <w:name w:val="图内容"/>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559">
    <w:name w:val="正文居中"/>
    <w:basedOn w:val="1"/>
    <w:next w:val="1"/>
    <w:autoRedefine/>
    <w:qFormat/>
    <w:uiPriority w:val="0"/>
    <w:pPr>
      <w:jc w:val="center"/>
    </w:pPr>
    <w:rPr>
      <w:sz w:val="28"/>
    </w:rPr>
  </w:style>
  <w:style w:type="paragraph" w:customStyle="1" w:styleId="560">
    <w:name w:val="Achievement"/>
    <w:basedOn w:val="6"/>
    <w:autoRedefine/>
    <w:qFormat/>
    <w:uiPriority w:val="0"/>
    <w:pPr>
      <w:spacing w:after="60" w:line="220" w:lineRule="atLeast"/>
      <w:ind w:left="840" w:right="-360" w:hanging="360"/>
    </w:pPr>
    <w:rPr>
      <w:sz w:val="20"/>
      <w:szCs w:val="20"/>
    </w:rPr>
  </w:style>
  <w:style w:type="paragraph" w:customStyle="1" w:styleId="561">
    <w:name w:val="样式 标题 1 + 段前: 0.5行 段后: 0.5 行"/>
    <w:basedOn w:val="2"/>
    <w:qFormat/>
    <w:uiPriority w:val="0"/>
    <w:pPr>
      <w:keepLines w:val="0"/>
      <w:tabs>
        <w:tab w:val="left" w:pos="840"/>
        <w:tab w:val="left" w:pos="1134"/>
      </w:tabs>
      <w:ind w:left="840" w:hanging="360"/>
    </w:pPr>
    <w:rPr>
      <w:caps/>
      <w:kern w:val="2"/>
      <w:sz w:val="24"/>
      <w:szCs w:val="24"/>
    </w:rPr>
  </w:style>
  <w:style w:type="paragraph" w:customStyle="1" w:styleId="562">
    <w:name w:val="c6"/>
    <w:basedOn w:val="1"/>
    <w:qFormat/>
    <w:uiPriority w:val="0"/>
    <w:pPr>
      <w:autoSpaceDE w:val="0"/>
      <w:autoSpaceDN w:val="0"/>
      <w:adjustRightInd w:val="0"/>
      <w:spacing w:line="240" w:lineRule="atLeast"/>
      <w:jc w:val="center"/>
      <w:textAlignment w:val="baseline"/>
    </w:pPr>
    <w:rPr>
      <w:szCs w:val="20"/>
    </w:rPr>
  </w:style>
  <w:style w:type="paragraph" w:customStyle="1" w:styleId="563">
    <w:name w:val="样式3"/>
    <w:basedOn w:val="1"/>
    <w:link w:val="910"/>
    <w:qFormat/>
    <w:uiPriority w:val="0"/>
    <w:pPr>
      <w:spacing w:line="360" w:lineRule="auto"/>
      <w:ind w:firstLine="200" w:firstLineChars="200"/>
    </w:pPr>
    <w:rPr>
      <w:szCs w:val="20"/>
    </w:rPr>
  </w:style>
  <w:style w:type="paragraph" w:customStyle="1" w:styleId="564">
    <w:name w:val="Bullet 1"/>
    <w:qFormat/>
    <w:uiPriority w:val="0"/>
    <w:pPr>
      <w:tabs>
        <w:tab w:val="left" w:pos="720"/>
        <w:tab w:val="left" w:pos="1080"/>
      </w:tabs>
      <w:spacing w:before="120" w:after="120"/>
      <w:ind w:left="840" w:hanging="360"/>
      <w:jc w:val="both"/>
    </w:pPr>
    <w:rPr>
      <w:rFonts w:ascii="Arial" w:hAnsi="Arial" w:eastAsia="宋体" w:cs="Times New Roman"/>
      <w:color w:val="000000"/>
      <w:sz w:val="24"/>
      <w:lang w:val="en-US" w:eastAsia="en-US" w:bidi="ar-SA"/>
    </w:rPr>
  </w:style>
  <w:style w:type="paragraph" w:customStyle="1" w:styleId="565">
    <w:name w:val="表格（大）"/>
    <w:basedOn w:val="1"/>
    <w:qFormat/>
    <w:uiPriority w:val="0"/>
    <w:pPr>
      <w:spacing w:line="240" w:lineRule="atLeast"/>
      <w:outlineLvl w:val="1"/>
    </w:pPr>
    <w:rPr>
      <w:spacing w:val="-2"/>
      <w:w w:val="80"/>
      <w:kern w:val="20"/>
      <w:position w:val="4"/>
    </w:rPr>
  </w:style>
  <w:style w:type="paragraph" w:customStyle="1" w:styleId="566">
    <w:name w:val="正文7"/>
    <w:basedOn w:val="1"/>
    <w:qFormat/>
    <w:uiPriority w:val="0"/>
    <w:pPr>
      <w:ind w:left="900" w:hanging="420"/>
    </w:pPr>
  </w:style>
  <w:style w:type="paragraph" w:customStyle="1" w:styleId="567">
    <w:name w:val="Default Text"/>
    <w:basedOn w:val="1"/>
    <w:qFormat/>
    <w:uiPriority w:val="0"/>
    <w:pPr>
      <w:tabs>
        <w:tab w:val="left" w:pos="1080"/>
      </w:tabs>
    </w:pPr>
    <w:rPr>
      <w:rFonts w:ascii="Arial" w:hAnsi="Arial"/>
      <w:snapToGrid w:val="0"/>
      <w:szCs w:val="20"/>
      <w:lang w:eastAsia="en-US"/>
    </w:rPr>
  </w:style>
  <w:style w:type="paragraph" w:customStyle="1" w:styleId="568">
    <w:name w:val="IDC A-Head (2nd Line)"/>
    <w:basedOn w:val="1"/>
    <w:next w:val="1"/>
    <w:qFormat/>
    <w:uiPriority w:val="0"/>
    <w:pPr>
      <w:jc w:val="center"/>
    </w:pPr>
    <w:rPr>
      <w:rFonts w:hint="eastAsia"/>
      <w:caps/>
      <w:szCs w:val="20"/>
    </w:rPr>
  </w:style>
  <w:style w:type="paragraph" w:customStyle="1" w:styleId="569">
    <w:name w:val="正文一"/>
    <w:basedOn w:val="1"/>
    <w:autoRedefine/>
    <w:qFormat/>
    <w:uiPriority w:val="0"/>
    <w:pPr>
      <w:adjustRightInd w:val="0"/>
      <w:snapToGrid w:val="0"/>
      <w:spacing w:line="480" w:lineRule="auto"/>
      <w:ind w:firstLine="480" w:firstLineChars="200"/>
    </w:pPr>
    <w:rPr>
      <w:rFonts w:ascii="华文细黑" w:hAnsi="华文细黑" w:eastAsia="华文细黑"/>
      <w:color w:val="000000"/>
      <w:position w:val="-26"/>
    </w:rPr>
  </w:style>
  <w:style w:type="paragraph" w:customStyle="1" w:styleId="570">
    <w:name w:val="Char2 Char Char Char1"/>
    <w:basedOn w:val="1"/>
    <w:qFormat/>
    <w:uiPriority w:val="0"/>
  </w:style>
  <w:style w:type="paragraph" w:customStyle="1" w:styleId="571">
    <w:name w:val="Char Char Char1 Char Char Char Char Char Char Char Char Char1 Char"/>
    <w:basedOn w:val="1"/>
    <w:qFormat/>
    <w:uiPriority w:val="0"/>
  </w:style>
  <w:style w:type="character" w:customStyle="1" w:styleId="572">
    <w:name w:val="Char Char Char2"/>
    <w:qFormat/>
    <w:uiPriority w:val="0"/>
    <w:rPr>
      <w:rFonts w:eastAsia="宋体"/>
      <w:kern w:val="2"/>
      <w:sz w:val="21"/>
      <w:szCs w:val="24"/>
      <w:lang w:val="en-US" w:eastAsia="zh-CN" w:bidi="ar-SA"/>
    </w:rPr>
  </w:style>
  <w:style w:type="character" w:customStyle="1" w:styleId="573">
    <w:name w:val="标题 2 Char1 Char Char"/>
    <w:qFormat/>
    <w:uiPriority w:val="0"/>
    <w:rPr>
      <w:rFonts w:ascii="Arial" w:hAnsi="Arial" w:eastAsia="黑体"/>
      <w:b/>
      <w:bCs/>
      <w:kern w:val="2"/>
      <w:sz w:val="32"/>
      <w:szCs w:val="32"/>
      <w:lang w:val="en-US" w:eastAsia="zh-CN" w:bidi="ar-SA"/>
    </w:rPr>
  </w:style>
  <w:style w:type="character" w:customStyle="1" w:styleId="574">
    <w:name w:val="标题 3 Char3 Char1"/>
    <w:qFormat/>
    <w:uiPriority w:val="0"/>
    <w:rPr>
      <w:rFonts w:eastAsia="宋体"/>
      <w:b/>
      <w:bCs/>
      <w:kern w:val="2"/>
      <w:sz w:val="32"/>
      <w:szCs w:val="32"/>
      <w:lang w:val="en-US" w:eastAsia="zh-CN" w:bidi="ar-SA"/>
    </w:rPr>
  </w:style>
  <w:style w:type="paragraph" w:customStyle="1" w:styleId="575">
    <w:name w:val="4级标题"/>
    <w:basedOn w:val="170"/>
    <w:qFormat/>
    <w:uiPriority w:val="0"/>
  </w:style>
  <w:style w:type="paragraph" w:customStyle="1" w:styleId="576">
    <w:name w:val="CM6"/>
    <w:basedOn w:val="312"/>
    <w:next w:val="312"/>
    <w:qFormat/>
    <w:uiPriority w:val="0"/>
    <w:pPr>
      <w:spacing w:line="468" w:lineRule="atLeast"/>
    </w:pPr>
    <w:rPr>
      <w:rFonts w:ascii="Times New Roman" w:cs="Times New Roman"/>
      <w:color w:val="auto"/>
    </w:rPr>
  </w:style>
  <w:style w:type="paragraph" w:customStyle="1" w:styleId="577">
    <w:name w:val="CM12"/>
    <w:basedOn w:val="312"/>
    <w:next w:val="312"/>
    <w:qFormat/>
    <w:uiPriority w:val="0"/>
    <w:pPr>
      <w:spacing w:line="468" w:lineRule="atLeast"/>
    </w:pPr>
    <w:rPr>
      <w:rFonts w:ascii="Times New Roman" w:cs="Times New Roman"/>
      <w:color w:val="auto"/>
    </w:rPr>
  </w:style>
  <w:style w:type="paragraph" w:customStyle="1" w:styleId="578">
    <w:name w:val="CM24"/>
    <w:basedOn w:val="312"/>
    <w:next w:val="312"/>
    <w:qFormat/>
    <w:uiPriority w:val="0"/>
    <w:pPr>
      <w:spacing w:line="468" w:lineRule="atLeast"/>
    </w:pPr>
    <w:rPr>
      <w:rFonts w:ascii="Times New Roman" w:cs="Times New Roman"/>
      <w:color w:val="auto"/>
    </w:rPr>
  </w:style>
  <w:style w:type="paragraph" w:customStyle="1" w:styleId="579">
    <w:name w:val="CM55"/>
    <w:basedOn w:val="312"/>
    <w:next w:val="312"/>
    <w:qFormat/>
    <w:uiPriority w:val="0"/>
    <w:pPr>
      <w:spacing w:after="188"/>
    </w:pPr>
    <w:rPr>
      <w:rFonts w:ascii="Times New Roman" w:cs="Times New Roman"/>
      <w:color w:val="auto"/>
    </w:rPr>
  </w:style>
  <w:style w:type="paragraph" w:customStyle="1" w:styleId="580">
    <w:name w:val="CM4"/>
    <w:basedOn w:val="312"/>
    <w:next w:val="312"/>
    <w:qFormat/>
    <w:uiPriority w:val="0"/>
    <w:pPr>
      <w:spacing w:line="468" w:lineRule="atLeast"/>
    </w:pPr>
    <w:rPr>
      <w:rFonts w:ascii="Times New Roman" w:cs="Times New Roman"/>
      <w:color w:val="auto"/>
    </w:rPr>
  </w:style>
  <w:style w:type="paragraph" w:customStyle="1" w:styleId="581">
    <w:name w:val="CM37"/>
    <w:basedOn w:val="312"/>
    <w:next w:val="312"/>
    <w:qFormat/>
    <w:uiPriority w:val="0"/>
    <w:pPr>
      <w:spacing w:line="468" w:lineRule="atLeast"/>
    </w:pPr>
    <w:rPr>
      <w:rFonts w:ascii="Times New Roman" w:cs="Times New Roman"/>
      <w:color w:val="auto"/>
    </w:rPr>
  </w:style>
  <w:style w:type="paragraph" w:customStyle="1" w:styleId="582">
    <w:name w:val="CM10"/>
    <w:basedOn w:val="312"/>
    <w:next w:val="312"/>
    <w:qFormat/>
    <w:uiPriority w:val="0"/>
    <w:pPr>
      <w:spacing w:line="468" w:lineRule="atLeast"/>
    </w:pPr>
    <w:rPr>
      <w:rFonts w:ascii="Times New Roman" w:cs="Times New Roman"/>
      <w:color w:val="auto"/>
    </w:rPr>
  </w:style>
  <w:style w:type="paragraph" w:customStyle="1" w:styleId="583">
    <w:name w:val="CM56"/>
    <w:basedOn w:val="312"/>
    <w:next w:val="312"/>
    <w:qFormat/>
    <w:uiPriority w:val="0"/>
    <w:pPr>
      <w:spacing w:after="245"/>
    </w:pPr>
    <w:rPr>
      <w:rFonts w:ascii="Times New Roman" w:cs="Times New Roman"/>
      <w:color w:val="auto"/>
    </w:rPr>
  </w:style>
  <w:style w:type="paragraph" w:customStyle="1" w:styleId="584">
    <w:name w:val="CM39"/>
    <w:basedOn w:val="312"/>
    <w:next w:val="312"/>
    <w:qFormat/>
    <w:uiPriority w:val="0"/>
    <w:pPr>
      <w:spacing w:line="468" w:lineRule="atLeast"/>
    </w:pPr>
    <w:rPr>
      <w:rFonts w:ascii="Times New Roman" w:cs="Times New Roman"/>
      <w:color w:val="auto"/>
    </w:rPr>
  </w:style>
  <w:style w:type="paragraph" w:customStyle="1" w:styleId="585">
    <w:name w:val="标题五"/>
    <w:basedOn w:val="7"/>
    <w:link w:val="586"/>
    <w:qFormat/>
    <w:uiPriority w:val="0"/>
    <w:pPr>
      <w:keepLines/>
      <w:widowControl w:val="0"/>
      <w:tabs>
        <w:tab w:val="left" w:pos="567"/>
        <w:tab w:val="left" w:pos="700"/>
        <w:tab w:val="clear" w:pos="5040"/>
      </w:tabs>
      <w:autoSpaceDE w:val="0"/>
      <w:autoSpaceDN w:val="0"/>
      <w:adjustRightInd w:val="0"/>
      <w:spacing w:line="440" w:lineRule="exact"/>
      <w:ind w:firstLine="0"/>
      <w:jc w:val="center"/>
    </w:pPr>
    <w:rPr>
      <w:rFonts w:ascii="Arial" w:hAnsi="Arial"/>
      <w:snapToGrid w:val="0"/>
      <w:sz w:val="24"/>
      <w:szCs w:val="20"/>
    </w:rPr>
  </w:style>
  <w:style w:type="character" w:customStyle="1" w:styleId="586">
    <w:name w:val="标题五 Char Char"/>
    <w:link w:val="585"/>
    <w:qFormat/>
    <w:uiPriority w:val="0"/>
    <w:rPr>
      <w:rFonts w:ascii="Arial" w:hAnsi="Arial" w:eastAsia="宋体"/>
      <w:snapToGrid w:val="0"/>
      <w:sz w:val="24"/>
      <w:lang w:val="en-US" w:eastAsia="zh-CN" w:bidi="ar-SA"/>
    </w:rPr>
  </w:style>
  <w:style w:type="character" w:customStyle="1" w:styleId="587">
    <w:name w:val="北山简报正文 Char"/>
    <w:qFormat/>
    <w:uiPriority w:val="0"/>
    <w:rPr>
      <w:kern w:val="2"/>
      <w:sz w:val="24"/>
      <w:szCs w:val="24"/>
    </w:rPr>
  </w:style>
  <w:style w:type="paragraph" w:customStyle="1" w:styleId="588">
    <w:name w:val="Char Char Char Char Char Char Char Char Char Char1"/>
    <w:basedOn w:val="1"/>
    <w:qFormat/>
    <w:uiPriority w:val="0"/>
  </w:style>
  <w:style w:type="character" w:customStyle="1" w:styleId="589">
    <w:name w:val="标题章 Char"/>
    <w:qFormat/>
    <w:uiPriority w:val="0"/>
    <w:rPr>
      <w:rFonts w:eastAsia="宋体"/>
      <w:b/>
      <w:bCs/>
      <w:kern w:val="44"/>
      <w:sz w:val="44"/>
      <w:szCs w:val="44"/>
      <w:lang w:val="en-US" w:eastAsia="zh-CN" w:bidi="ar-SA"/>
    </w:rPr>
  </w:style>
  <w:style w:type="character" w:customStyle="1" w:styleId="590">
    <w:name w:val="第四层条 Char"/>
    <w:qFormat/>
    <w:uiPriority w:val="0"/>
    <w:rPr>
      <w:rFonts w:eastAsia="宋体"/>
      <w:sz w:val="28"/>
      <w:szCs w:val="24"/>
      <w:lang w:val="en-US" w:eastAsia="zh-CN" w:bidi="ar-SA"/>
    </w:rPr>
  </w:style>
  <w:style w:type="character" w:customStyle="1" w:styleId="591">
    <w:name w:val="font2"/>
    <w:qFormat/>
    <w:uiPriority w:val="0"/>
    <w:rPr>
      <w:rFonts w:hint="eastAsia" w:ascii="宋体" w:hAnsi="宋体" w:eastAsia="宋体"/>
      <w:color w:val="000000"/>
      <w:sz w:val="24"/>
      <w:szCs w:val="24"/>
    </w:rPr>
  </w:style>
  <w:style w:type="paragraph" w:customStyle="1" w:styleId="592">
    <w:name w:val="p0"/>
    <w:basedOn w:val="1"/>
    <w:qFormat/>
    <w:uiPriority w:val="0"/>
    <w:rPr>
      <w:rFonts w:ascii="Calibri" w:hAnsi="Calibri"/>
      <w:szCs w:val="21"/>
    </w:rPr>
  </w:style>
  <w:style w:type="paragraph" w:customStyle="1" w:styleId="593">
    <w:name w:val="ssy3 Char"/>
    <w:basedOn w:val="4"/>
    <w:link w:val="594"/>
    <w:qFormat/>
    <w:uiPriority w:val="0"/>
    <w:pPr>
      <w:spacing w:line="520" w:lineRule="exact"/>
      <w:ind w:firstLine="555"/>
    </w:pPr>
    <w:rPr>
      <w:sz w:val="24"/>
      <w:szCs w:val="28"/>
    </w:rPr>
  </w:style>
  <w:style w:type="character" w:customStyle="1" w:styleId="594">
    <w:name w:val="ssy3 Char Char"/>
    <w:link w:val="593"/>
    <w:qFormat/>
    <w:uiPriority w:val="0"/>
    <w:rPr>
      <w:rFonts w:ascii="宋体" w:hAnsi="宋体" w:eastAsia="宋体"/>
      <w:b/>
      <w:bCs/>
      <w:kern w:val="2"/>
      <w:sz w:val="24"/>
      <w:szCs w:val="28"/>
      <w:lang w:val="en-US" w:eastAsia="zh-CN" w:bidi="ar-SA"/>
    </w:rPr>
  </w:style>
  <w:style w:type="character" w:customStyle="1" w:styleId="595">
    <w:name w:val="03 Char Char"/>
    <w:link w:val="596"/>
    <w:qFormat/>
    <w:uiPriority w:val="0"/>
    <w:rPr>
      <w:rFonts w:ascii="宋体" w:hAnsi="宋体" w:eastAsia="宋体" w:cs="宋体"/>
      <w:kern w:val="2"/>
      <w:sz w:val="24"/>
      <w:szCs w:val="24"/>
      <w:lang w:val="en-US" w:eastAsia="zh-CN" w:bidi="ar-SA"/>
    </w:rPr>
  </w:style>
  <w:style w:type="paragraph" w:customStyle="1" w:styleId="596">
    <w:name w:val="03 Char"/>
    <w:basedOn w:val="1"/>
    <w:link w:val="595"/>
    <w:qFormat/>
    <w:uiPriority w:val="0"/>
    <w:pPr>
      <w:spacing w:line="360" w:lineRule="auto"/>
      <w:ind w:firstLine="397"/>
    </w:pPr>
  </w:style>
  <w:style w:type="character" w:customStyle="1" w:styleId="597">
    <w:name w:val="00 Char"/>
    <w:link w:val="598"/>
    <w:qFormat/>
    <w:uiPriority w:val="0"/>
    <w:rPr>
      <w:rFonts w:ascii="黑体" w:eastAsia="黑体" w:cs="宋体"/>
      <w:b/>
      <w:bCs/>
      <w:kern w:val="44"/>
      <w:sz w:val="30"/>
      <w:lang w:val="en-US" w:eastAsia="zh-CN" w:bidi="ar-SA"/>
    </w:rPr>
  </w:style>
  <w:style w:type="paragraph" w:customStyle="1" w:styleId="598">
    <w:name w:val="00"/>
    <w:basedOn w:val="2"/>
    <w:link w:val="597"/>
    <w:qFormat/>
    <w:uiPriority w:val="0"/>
    <w:pPr>
      <w:spacing w:after="340"/>
      <w:jc w:val="center"/>
    </w:pPr>
    <w:rPr>
      <w:rFonts w:ascii="黑体" w:eastAsia="黑体"/>
      <w:sz w:val="30"/>
      <w:szCs w:val="20"/>
    </w:rPr>
  </w:style>
  <w:style w:type="character" w:customStyle="1" w:styleId="599">
    <w:name w:val="02 Char"/>
    <w:link w:val="600"/>
    <w:qFormat/>
    <w:uiPriority w:val="0"/>
    <w:rPr>
      <w:rFonts w:eastAsia="黑体"/>
      <w:b/>
      <w:bCs/>
      <w:kern w:val="2"/>
      <w:sz w:val="24"/>
      <w:szCs w:val="32"/>
      <w:lang w:val="en-US" w:eastAsia="zh-CN" w:bidi="ar-SA"/>
    </w:rPr>
  </w:style>
  <w:style w:type="paragraph" w:customStyle="1" w:styleId="600">
    <w:name w:val="02"/>
    <w:basedOn w:val="4"/>
    <w:link w:val="599"/>
    <w:qFormat/>
    <w:uiPriority w:val="0"/>
    <w:pPr>
      <w:spacing w:line="408" w:lineRule="auto"/>
    </w:pPr>
    <w:rPr>
      <w:rFonts w:eastAsia="黑体"/>
      <w:sz w:val="24"/>
    </w:rPr>
  </w:style>
  <w:style w:type="paragraph" w:customStyle="1" w:styleId="601">
    <w:name w:val="样式 样式 标题 3w + 首行缩进:  1 字符 + 首行缩进:  1 字符"/>
    <w:basedOn w:val="1"/>
    <w:qFormat/>
    <w:uiPriority w:val="0"/>
    <w:pPr>
      <w:keepNext/>
      <w:keepLines/>
      <w:spacing w:line="360" w:lineRule="auto"/>
      <w:ind w:firstLine="100" w:firstLineChars="100"/>
      <w:outlineLvl w:val="2"/>
    </w:pPr>
    <w:rPr>
      <w:b/>
      <w:bCs/>
      <w:szCs w:val="20"/>
    </w:rPr>
  </w:style>
  <w:style w:type="paragraph" w:customStyle="1" w:styleId="602">
    <w:name w:val="表格样式"/>
    <w:basedOn w:val="1"/>
    <w:qFormat/>
    <w:uiPriority w:val="0"/>
    <w:pPr>
      <w:jc w:val="center"/>
    </w:pPr>
    <w:rPr>
      <w:szCs w:val="20"/>
    </w:rPr>
  </w:style>
  <w:style w:type="paragraph" w:customStyle="1" w:styleId="603">
    <w:name w:val="标题 2w"/>
    <w:basedOn w:val="3"/>
    <w:qFormat/>
    <w:uiPriority w:val="0"/>
    <w:pPr>
      <w:spacing w:before="120" w:after="60"/>
    </w:pPr>
    <w:rPr>
      <w:sz w:val="28"/>
      <w:szCs w:val="20"/>
    </w:rPr>
  </w:style>
  <w:style w:type="paragraph" w:customStyle="1" w:styleId="604">
    <w:name w:val="文章正文"/>
    <w:basedOn w:val="1"/>
    <w:qFormat/>
    <w:uiPriority w:val="0"/>
    <w:pPr>
      <w:spacing w:line="360" w:lineRule="auto"/>
      <w:ind w:firstLine="480" w:firstLineChars="200"/>
    </w:pPr>
    <w:rPr>
      <w:szCs w:val="20"/>
    </w:rPr>
  </w:style>
  <w:style w:type="paragraph" w:customStyle="1" w:styleId="605">
    <w:name w:val="01"/>
    <w:basedOn w:val="3"/>
    <w:qFormat/>
    <w:uiPriority w:val="0"/>
    <w:pPr>
      <w:spacing w:line="408" w:lineRule="auto"/>
    </w:pPr>
    <w:rPr>
      <w:sz w:val="28"/>
    </w:rPr>
  </w:style>
  <w:style w:type="paragraph" w:customStyle="1" w:styleId="606">
    <w:name w:val="表格中文字2"/>
    <w:basedOn w:val="75"/>
    <w:qFormat/>
    <w:uiPriority w:val="0"/>
    <w:pPr>
      <w:adjustRightInd/>
      <w:snapToGrid/>
      <w:spacing w:beforeLines="20" w:afterLines="20" w:line="220" w:lineRule="exact"/>
    </w:pPr>
    <w:rPr>
      <w:rFonts w:eastAsia="仿宋_GB2312"/>
      <w:b/>
      <w:sz w:val="18"/>
    </w:rPr>
  </w:style>
  <w:style w:type="paragraph" w:customStyle="1" w:styleId="607">
    <w:name w:val="正文文字-参考资料"/>
    <w:basedOn w:val="6"/>
    <w:qFormat/>
    <w:uiPriority w:val="0"/>
    <w:pPr>
      <w:widowControl w:val="0"/>
      <w:tabs>
        <w:tab w:val="left" w:pos="900"/>
        <w:tab w:val="left" w:pos="1620"/>
      </w:tabs>
      <w:spacing w:beforeLines="20" w:after="0" w:line="360" w:lineRule="exact"/>
      <w:ind w:left="600" w:leftChars="600" w:firstLine="448" w:firstLineChars="200"/>
      <w:jc w:val="both"/>
    </w:pPr>
    <w:rPr>
      <w:rFonts w:hAnsi="Technic"/>
      <w:b/>
      <w:bCs/>
      <w:spacing w:val="2"/>
      <w:sz w:val="22"/>
      <w:szCs w:val="18"/>
    </w:rPr>
  </w:style>
  <w:style w:type="paragraph" w:customStyle="1" w:styleId="608">
    <w:name w:val="标...正文文字3"/>
    <w:basedOn w:val="6"/>
    <w:qFormat/>
    <w:uiPriority w:val="0"/>
    <w:pPr>
      <w:widowControl w:val="0"/>
      <w:spacing w:after="0" w:line="380" w:lineRule="exact"/>
      <w:ind w:firstLine="488" w:firstLineChars="200"/>
      <w:jc w:val="both"/>
    </w:pPr>
    <w:rPr>
      <w:b/>
      <w:spacing w:val="2"/>
      <w:kern w:val="2"/>
      <w:lang w:val="eu-ES"/>
    </w:rPr>
  </w:style>
  <w:style w:type="paragraph" w:customStyle="1" w:styleId="609">
    <w:name w:val="样式 小四 首行缩进:  1.5 字符"/>
    <w:basedOn w:val="1"/>
    <w:qFormat/>
    <w:uiPriority w:val="0"/>
    <w:pPr>
      <w:tabs>
        <w:tab w:val="left" w:pos="1200"/>
        <w:tab w:val="left" w:pos="5040"/>
      </w:tabs>
      <w:spacing w:line="300" w:lineRule="auto"/>
      <w:ind w:left="1200" w:hanging="720"/>
    </w:pPr>
    <w:rPr>
      <w:b/>
    </w:rPr>
  </w:style>
  <w:style w:type="paragraph" w:customStyle="1" w:styleId="610">
    <w:name w:val="标...正文文字4"/>
    <w:basedOn w:val="608"/>
    <w:next w:val="608"/>
    <w:qFormat/>
    <w:uiPriority w:val="0"/>
    <w:pPr>
      <w:tabs>
        <w:tab w:val="left" w:pos="1080"/>
        <w:tab w:val="left" w:pos="1320"/>
      </w:tabs>
      <w:spacing w:beforeLines="20" w:line="300" w:lineRule="exact"/>
      <w:ind w:left="1271" w:hanging="851" w:firstLineChars="0"/>
    </w:pPr>
    <w:rPr>
      <w:bCs/>
      <w:sz w:val="21"/>
      <w:lang w:val="en-US"/>
    </w:rPr>
  </w:style>
  <w:style w:type="paragraph" w:customStyle="1" w:styleId="611">
    <w:name w:val="标...法规文字"/>
    <w:basedOn w:val="1"/>
    <w:qFormat/>
    <w:uiPriority w:val="0"/>
    <w:pPr>
      <w:tabs>
        <w:tab w:val="left" w:pos="360"/>
        <w:tab w:val="left" w:pos="780"/>
      </w:tabs>
      <w:spacing w:line="420" w:lineRule="exact"/>
      <w:ind w:left="360" w:hanging="360"/>
    </w:pPr>
    <w:rPr>
      <w:b/>
      <w:bCs/>
    </w:rPr>
  </w:style>
  <w:style w:type="paragraph" w:customStyle="1" w:styleId="612">
    <w:name w:val="表头文字2"/>
    <w:basedOn w:val="613"/>
    <w:qFormat/>
    <w:uiPriority w:val="0"/>
    <w:pPr>
      <w:spacing w:line="300" w:lineRule="exact"/>
    </w:pPr>
    <w:rPr>
      <w:sz w:val="18"/>
    </w:rPr>
  </w:style>
  <w:style w:type="paragraph" w:customStyle="1" w:styleId="613">
    <w:name w:val="表头文字"/>
    <w:basedOn w:val="1"/>
    <w:next w:val="6"/>
    <w:qFormat/>
    <w:uiPriority w:val="0"/>
    <w:pPr>
      <w:snapToGrid w:val="0"/>
      <w:spacing w:line="240" w:lineRule="atLeast"/>
      <w:jc w:val="center"/>
    </w:pPr>
    <w:rPr>
      <w:b/>
      <w:bCs/>
    </w:rPr>
  </w:style>
  <w:style w:type="paragraph" w:customStyle="1" w:styleId="614">
    <w:name w:val="级别表格里目录"/>
    <w:basedOn w:val="1"/>
    <w:autoRedefine/>
    <w:qFormat/>
    <w:uiPriority w:val="0"/>
    <w:pPr>
      <w:spacing w:line="360" w:lineRule="auto"/>
      <w:ind w:left="-122" w:right="-110"/>
      <w:jc w:val="center"/>
    </w:pPr>
    <w:rPr>
      <w:szCs w:val="32"/>
    </w:rPr>
  </w:style>
  <w:style w:type="paragraph" w:styleId="615">
    <w:name w:val="No Spacing"/>
    <w:basedOn w:val="1"/>
    <w:link w:val="616"/>
    <w:qFormat/>
    <w:uiPriority w:val="1"/>
    <w:rPr>
      <w:szCs w:val="32"/>
    </w:rPr>
  </w:style>
  <w:style w:type="character" w:customStyle="1" w:styleId="616">
    <w:name w:val="无间隔 Char"/>
    <w:link w:val="615"/>
    <w:qFormat/>
    <w:uiPriority w:val="0"/>
    <w:rPr>
      <w:rFonts w:eastAsia="宋体"/>
      <w:kern w:val="2"/>
      <w:sz w:val="21"/>
      <w:szCs w:val="32"/>
      <w:lang w:val="en-US" w:eastAsia="zh-CN" w:bidi="ar-SA"/>
    </w:rPr>
  </w:style>
  <w:style w:type="paragraph" w:styleId="617">
    <w:name w:val="Quote"/>
    <w:basedOn w:val="1"/>
    <w:next w:val="1"/>
    <w:link w:val="618"/>
    <w:qFormat/>
    <w:uiPriority w:val="0"/>
    <w:rPr>
      <w:i/>
    </w:rPr>
  </w:style>
  <w:style w:type="character" w:customStyle="1" w:styleId="618">
    <w:name w:val="引用 Char"/>
    <w:link w:val="617"/>
    <w:qFormat/>
    <w:uiPriority w:val="0"/>
    <w:rPr>
      <w:rFonts w:eastAsia="宋体"/>
      <w:i/>
      <w:kern w:val="2"/>
      <w:sz w:val="21"/>
      <w:szCs w:val="24"/>
      <w:lang w:val="en-US" w:eastAsia="zh-CN" w:bidi="ar-SA"/>
    </w:rPr>
  </w:style>
  <w:style w:type="paragraph" w:styleId="619">
    <w:name w:val="Intense Quote"/>
    <w:basedOn w:val="1"/>
    <w:next w:val="1"/>
    <w:link w:val="620"/>
    <w:qFormat/>
    <w:uiPriority w:val="0"/>
    <w:pPr>
      <w:ind w:left="720" w:right="720"/>
    </w:pPr>
    <w:rPr>
      <w:b/>
      <w:i/>
      <w:szCs w:val="22"/>
    </w:rPr>
  </w:style>
  <w:style w:type="character" w:customStyle="1" w:styleId="620">
    <w:name w:val="明显引用 Char"/>
    <w:link w:val="619"/>
    <w:qFormat/>
    <w:uiPriority w:val="0"/>
    <w:rPr>
      <w:rFonts w:eastAsia="宋体"/>
      <w:b/>
      <w:i/>
      <w:kern w:val="2"/>
      <w:sz w:val="21"/>
      <w:szCs w:val="22"/>
      <w:lang w:val="en-US" w:eastAsia="zh-CN" w:bidi="ar-SA"/>
    </w:rPr>
  </w:style>
  <w:style w:type="paragraph" w:customStyle="1" w:styleId="621">
    <w:name w:val="pic-info"/>
    <w:basedOn w:val="1"/>
    <w:qFormat/>
    <w:uiPriority w:val="0"/>
    <w:pPr>
      <w:spacing w:before="100" w:beforeAutospacing="1" w:after="100" w:afterAutospacing="1"/>
    </w:pPr>
  </w:style>
  <w:style w:type="character" w:customStyle="1" w:styleId="622">
    <w:name w:val="正文文本缩进 3 Char1"/>
    <w:qFormat/>
    <w:uiPriority w:val="0"/>
    <w:rPr>
      <w:kern w:val="2"/>
      <w:sz w:val="16"/>
      <w:szCs w:val="16"/>
    </w:rPr>
  </w:style>
  <w:style w:type="character" w:customStyle="1" w:styleId="623">
    <w:name w:val="表格内标 Char"/>
    <w:link w:val="624"/>
    <w:qFormat/>
    <w:uiPriority w:val="0"/>
    <w:rPr>
      <w:rFonts w:eastAsia="黑体"/>
      <w:kern w:val="2"/>
      <w:lang w:bidi="ar-SA"/>
    </w:rPr>
  </w:style>
  <w:style w:type="paragraph" w:customStyle="1" w:styleId="624">
    <w:name w:val="表格内标"/>
    <w:basedOn w:val="1"/>
    <w:next w:val="1"/>
    <w:link w:val="623"/>
    <w:qFormat/>
    <w:uiPriority w:val="0"/>
    <w:pPr>
      <w:adjustRightInd w:val="0"/>
      <w:snapToGrid w:val="0"/>
      <w:jc w:val="center"/>
    </w:pPr>
    <w:rPr>
      <w:rFonts w:eastAsia="黑体"/>
      <w:sz w:val="20"/>
      <w:szCs w:val="20"/>
    </w:rPr>
  </w:style>
  <w:style w:type="paragraph" w:customStyle="1" w:styleId="625">
    <w:name w:val="公式注解"/>
    <w:basedOn w:val="35"/>
    <w:qFormat/>
    <w:uiPriority w:val="0"/>
    <w:pPr>
      <w:spacing w:after="0" w:line="480" w:lineRule="exact"/>
      <w:ind w:left="0" w:leftChars="0" w:firstLine="1200" w:firstLineChars="500"/>
    </w:pPr>
    <w:rPr>
      <w:position w:val="-4"/>
      <w:szCs w:val="20"/>
    </w:rPr>
  </w:style>
  <w:style w:type="paragraph" w:customStyle="1" w:styleId="626">
    <w:name w:val="正文悬挂"/>
    <w:basedOn w:val="1"/>
    <w:next w:val="1"/>
    <w:qFormat/>
    <w:uiPriority w:val="0"/>
    <w:pPr>
      <w:spacing w:line="360" w:lineRule="auto"/>
      <w:ind w:firstLine="200" w:firstLineChars="200"/>
    </w:pPr>
    <w:rPr>
      <w:color w:val="FF0000"/>
    </w:rPr>
  </w:style>
  <w:style w:type="paragraph" w:customStyle="1" w:styleId="627">
    <w:name w:val="Char Char Char Char1 Char Char"/>
    <w:basedOn w:val="5"/>
    <w:qFormat/>
    <w:uiPriority w:val="0"/>
    <w:pPr>
      <w:keepLines/>
      <w:widowControl w:val="0"/>
      <w:tabs>
        <w:tab w:val="left" w:pos="0"/>
      </w:tabs>
      <w:overflowPunct/>
      <w:autoSpaceDE/>
      <w:autoSpaceDN/>
      <w:jc w:val="center"/>
      <w:textAlignment w:val="auto"/>
    </w:pPr>
    <w:rPr>
      <w:rFonts w:ascii="Arial" w:hAnsi="Arial" w:eastAsia="仿宋_GB2312" w:cs="Arial"/>
      <w:i w:val="0"/>
      <w:color w:val="FF0000"/>
      <w:kern w:val="2"/>
    </w:rPr>
  </w:style>
  <w:style w:type="paragraph" w:customStyle="1" w:styleId="628">
    <w:name w:val="正文A"/>
    <w:basedOn w:val="1"/>
    <w:qFormat/>
    <w:uiPriority w:val="0"/>
    <w:pPr>
      <w:autoSpaceDE w:val="0"/>
      <w:autoSpaceDN w:val="0"/>
      <w:adjustRightInd w:val="0"/>
      <w:snapToGrid w:val="0"/>
      <w:spacing w:line="400" w:lineRule="atLeast"/>
      <w:ind w:firstLine="539"/>
      <w:textAlignment w:val="baseline"/>
    </w:pPr>
    <w:rPr>
      <w:szCs w:val="20"/>
    </w:rPr>
  </w:style>
  <w:style w:type="paragraph" w:customStyle="1" w:styleId="629">
    <w:name w:val="zhang正文"/>
    <w:basedOn w:val="35"/>
    <w:qFormat/>
    <w:uiPriority w:val="0"/>
    <w:pPr>
      <w:autoSpaceDE w:val="0"/>
      <w:autoSpaceDN w:val="0"/>
      <w:adjustRightInd w:val="0"/>
      <w:snapToGrid w:val="0"/>
      <w:spacing w:after="0" w:line="500" w:lineRule="atLeast"/>
      <w:ind w:left="0" w:leftChars="0" w:firstLine="539"/>
    </w:pPr>
    <w:rPr>
      <w:rFonts w:eastAsia="楷体_GB2312"/>
      <w:sz w:val="28"/>
      <w:szCs w:val="20"/>
    </w:rPr>
  </w:style>
  <w:style w:type="paragraph" w:customStyle="1" w:styleId="630">
    <w:name w:val="Char2 Char Char Char Char Char Char Char Char Char Char Char Char"/>
    <w:basedOn w:val="1"/>
    <w:qFormat/>
    <w:uiPriority w:val="0"/>
    <w:pPr>
      <w:spacing w:line="560" w:lineRule="exact"/>
      <w:ind w:firstLine="200" w:firstLineChars="200"/>
    </w:pPr>
    <w:rPr>
      <w:sz w:val="28"/>
      <w:szCs w:val="28"/>
    </w:rPr>
  </w:style>
  <w:style w:type="paragraph" w:customStyle="1" w:styleId="631">
    <w:name w:val="1文章"/>
    <w:basedOn w:val="1"/>
    <w:qFormat/>
    <w:uiPriority w:val="0"/>
    <w:pPr>
      <w:snapToGrid w:val="0"/>
      <w:spacing w:line="400" w:lineRule="atLeast"/>
      <w:ind w:firstLine="573"/>
      <w:outlineLvl w:val="4"/>
    </w:pPr>
  </w:style>
  <w:style w:type="character" w:customStyle="1" w:styleId="632">
    <w:name w:val="hong f-16"/>
    <w:basedOn w:val="132"/>
    <w:qFormat/>
    <w:uiPriority w:val="0"/>
  </w:style>
  <w:style w:type="paragraph" w:customStyle="1" w:styleId="633">
    <w:name w:val="样式 宋体 行距: 1.5 倍行距2"/>
    <w:basedOn w:val="1"/>
    <w:qFormat/>
    <w:uiPriority w:val="0"/>
    <w:pPr>
      <w:spacing w:line="360" w:lineRule="auto"/>
      <w:ind w:firstLine="441" w:firstLineChars="210"/>
    </w:pPr>
    <w:rPr>
      <w:szCs w:val="20"/>
    </w:rPr>
  </w:style>
  <w:style w:type="paragraph" w:customStyle="1" w:styleId="634">
    <w:name w:val="样式 宋体 行距: 1.5 倍行距"/>
    <w:basedOn w:val="1"/>
    <w:qFormat/>
    <w:uiPriority w:val="0"/>
    <w:pPr>
      <w:spacing w:line="360" w:lineRule="auto"/>
      <w:ind w:firstLine="420" w:firstLineChars="200"/>
    </w:pPr>
    <w:rPr>
      <w:szCs w:val="20"/>
    </w:rPr>
  </w:style>
  <w:style w:type="paragraph" w:customStyle="1" w:styleId="635">
    <w:name w:val="样式 表头 + 段前: 0.5 行 段后: 0.5 行"/>
    <w:basedOn w:val="201"/>
    <w:qFormat/>
    <w:uiPriority w:val="0"/>
    <w:pPr>
      <w:autoSpaceDE w:val="0"/>
      <w:autoSpaceDN w:val="0"/>
      <w:adjustRightInd w:val="0"/>
      <w:spacing w:beforeLines="0" w:beforeAutospacing="1" w:after="100" w:afterAutospacing="1" w:line="480" w:lineRule="exact"/>
    </w:pPr>
    <w:rPr>
      <w:b/>
      <w:bCs/>
      <w:lang w:val="zh-CN"/>
    </w:rPr>
  </w:style>
  <w:style w:type="paragraph" w:customStyle="1" w:styleId="636">
    <w:name w:val="样式 仿宋_GB2312 小四 紧缩量  0.1 磅 行距: 固定值 22 磅 首行缩进:  2 字符"/>
    <w:basedOn w:val="1"/>
    <w:next w:val="1"/>
    <w:qFormat/>
    <w:uiPriority w:val="0"/>
    <w:pPr>
      <w:spacing w:line="440" w:lineRule="exact"/>
      <w:ind w:firstLine="200" w:firstLineChars="200"/>
    </w:pPr>
    <w:rPr>
      <w:rFonts w:ascii="仿宋_GB2312" w:eastAsia="仿宋_GB2312"/>
      <w:spacing w:val="-2"/>
      <w:szCs w:val="20"/>
    </w:rPr>
  </w:style>
  <w:style w:type="character" w:customStyle="1" w:styleId="637">
    <w:name w:val="样式 宋体"/>
    <w:qFormat/>
    <w:uiPriority w:val="0"/>
    <w:rPr>
      <w:rFonts w:ascii="宋体" w:hAnsi="宋体"/>
      <w:sz w:val="24"/>
    </w:rPr>
  </w:style>
  <w:style w:type="paragraph" w:customStyle="1" w:styleId="638">
    <w:name w:val="8"/>
    <w:basedOn w:val="1"/>
    <w:qFormat/>
    <w:uiPriority w:val="0"/>
    <w:pPr>
      <w:spacing w:line="360" w:lineRule="auto"/>
      <w:ind w:firstLine="480" w:firstLineChars="200"/>
    </w:pPr>
    <w:rPr>
      <w:kern w:val="10"/>
      <w:szCs w:val="20"/>
    </w:rPr>
  </w:style>
  <w:style w:type="paragraph" w:customStyle="1" w:styleId="639">
    <w:name w:val="8 Char1 Char Char"/>
    <w:basedOn w:val="1"/>
    <w:qFormat/>
    <w:uiPriority w:val="0"/>
    <w:pPr>
      <w:spacing w:line="360" w:lineRule="auto"/>
      <w:ind w:firstLine="480" w:firstLineChars="200"/>
    </w:pPr>
    <w:rPr>
      <w:kern w:val="10"/>
      <w:szCs w:val="20"/>
    </w:rPr>
  </w:style>
  <w:style w:type="paragraph" w:customStyle="1" w:styleId="640">
    <w:name w:val="8 Char"/>
    <w:basedOn w:val="1"/>
    <w:qFormat/>
    <w:uiPriority w:val="0"/>
    <w:pPr>
      <w:spacing w:line="360" w:lineRule="auto"/>
      <w:ind w:firstLine="480" w:firstLineChars="200"/>
    </w:pPr>
    <w:rPr>
      <w:kern w:val="10"/>
    </w:rPr>
  </w:style>
  <w:style w:type="character" w:customStyle="1" w:styleId="641">
    <w:name w:val="标题 Char"/>
    <w:qFormat/>
    <w:uiPriority w:val="0"/>
    <w:rPr>
      <w:rFonts w:ascii="Cambria" w:hAnsi="Cambria"/>
      <w:b/>
      <w:bCs/>
      <w:kern w:val="2"/>
      <w:sz w:val="32"/>
      <w:szCs w:val="32"/>
      <w:lang w:bidi="ar-SA"/>
    </w:rPr>
  </w:style>
  <w:style w:type="character" w:customStyle="1" w:styleId="642">
    <w:name w:val="标题 5 Char1"/>
    <w:qFormat/>
    <w:uiPriority w:val="0"/>
    <w:rPr>
      <w:rFonts w:eastAsia="宋体"/>
      <w:b/>
      <w:kern w:val="2"/>
      <w:sz w:val="28"/>
      <w:lang w:val="en-US" w:eastAsia="zh-CN"/>
    </w:rPr>
  </w:style>
  <w:style w:type="character" w:customStyle="1" w:styleId="643">
    <w:name w:val="章节 Char1"/>
    <w:qFormat/>
    <w:uiPriority w:val="0"/>
    <w:rPr>
      <w:rFonts w:eastAsia="宋体"/>
      <w:b/>
      <w:bCs/>
      <w:kern w:val="44"/>
      <w:sz w:val="44"/>
      <w:szCs w:val="44"/>
      <w:lang w:val="en-US" w:eastAsia="zh-CN" w:bidi="ar-SA"/>
    </w:rPr>
  </w:style>
  <w:style w:type="character" w:customStyle="1" w:styleId="644">
    <w:name w:val="标题节 Char1"/>
    <w:qFormat/>
    <w:uiPriority w:val="0"/>
    <w:rPr>
      <w:rFonts w:ascii="Arial" w:hAnsi="Arial" w:eastAsia="黑体"/>
      <w:b/>
      <w:bCs/>
      <w:kern w:val="2"/>
      <w:sz w:val="32"/>
      <w:szCs w:val="32"/>
      <w:lang w:val="en-US" w:eastAsia="zh-CN" w:bidi="ar-SA"/>
    </w:rPr>
  </w:style>
  <w:style w:type="character" w:customStyle="1" w:styleId="645">
    <w:name w:val="Section Char1"/>
    <w:qFormat/>
    <w:uiPriority w:val="0"/>
    <w:rPr>
      <w:rFonts w:eastAsia="宋体"/>
      <w:b/>
      <w:bCs/>
      <w:kern w:val="2"/>
      <w:sz w:val="32"/>
      <w:szCs w:val="32"/>
      <w:lang w:val="en-US" w:eastAsia="zh-CN" w:bidi="ar-SA"/>
    </w:rPr>
  </w:style>
  <w:style w:type="character" w:customStyle="1" w:styleId="646">
    <w:name w:val="款标题1.1.1.1 Char"/>
    <w:qFormat/>
    <w:uiPriority w:val="0"/>
    <w:rPr>
      <w:rFonts w:ascii="Arial" w:hAnsi="Arial" w:eastAsia="黑体"/>
      <w:b/>
      <w:bCs/>
      <w:kern w:val="2"/>
      <w:sz w:val="28"/>
      <w:szCs w:val="28"/>
      <w:lang w:val="en-US" w:eastAsia="zh-CN" w:bidi="ar-SA"/>
    </w:rPr>
  </w:style>
  <w:style w:type="paragraph" w:customStyle="1" w:styleId="647">
    <w:name w:val="样式 题注题注 Char Char Char + (中文) 宋体 四号 红色 Char Char Char Char Char Char"/>
    <w:basedOn w:val="22"/>
    <w:qFormat/>
    <w:uiPriority w:val="0"/>
    <w:pPr>
      <w:tabs>
        <w:tab w:val="left" w:pos="0"/>
      </w:tabs>
      <w:jc w:val="center"/>
    </w:pPr>
    <w:rPr>
      <w:rFonts w:ascii="Times New Roman" w:hAnsi="Times New Roman" w:eastAsia="宋体"/>
      <w:b/>
      <w:spacing w:val="-6"/>
      <w:sz w:val="28"/>
      <w:szCs w:val="28"/>
    </w:rPr>
  </w:style>
  <w:style w:type="paragraph" w:customStyle="1" w:styleId="648">
    <w:name w:val="样式 题注题注 Char Char Char + (中文) 宋体 四号 红色 Char Char"/>
    <w:basedOn w:val="22"/>
    <w:qFormat/>
    <w:uiPriority w:val="0"/>
    <w:pPr>
      <w:tabs>
        <w:tab w:val="left" w:pos="0"/>
      </w:tabs>
      <w:ind w:left="284" w:hanging="284"/>
      <w:jc w:val="center"/>
    </w:pPr>
    <w:rPr>
      <w:rFonts w:ascii="Times New Roman" w:hAnsi="Times New Roman" w:eastAsia="宋体"/>
      <w:b/>
      <w:spacing w:val="-6"/>
      <w:sz w:val="28"/>
      <w:szCs w:val="28"/>
    </w:rPr>
  </w:style>
  <w:style w:type="character" w:customStyle="1" w:styleId="649">
    <w:name w:val="正文段 Char2"/>
    <w:link w:val="650"/>
    <w:qFormat/>
    <w:uiPriority w:val="0"/>
    <w:rPr>
      <w:rFonts w:ascii="仿宋_GB2312" w:hAnsi="宋体" w:eastAsia="仿宋_GB2312" w:cs="宋体"/>
      <w:sz w:val="28"/>
      <w:szCs w:val="18"/>
      <w:lang w:val="en-US" w:eastAsia="zh-CN" w:bidi="ar-SA"/>
    </w:rPr>
  </w:style>
  <w:style w:type="paragraph" w:customStyle="1" w:styleId="650">
    <w:name w:val="正文段"/>
    <w:basedOn w:val="1"/>
    <w:link w:val="649"/>
    <w:qFormat/>
    <w:uiPriority w:val="0"/>
    <w:pPr>
      <w:ind w:firstLine="536" w:firstLineChars="200"/>
    </w:pPr>
    <w:rPr>
      <w:rFonts w:ascii="仿宋_GB2312" w:eastAsia="仿宋_GB2312"/>
      <w:sz w:val="28"/>
      <w:szCs w:val="18"/>
    </w:rPr>
  </w:style>
  <w:style w:type="paragraph" w:customStyle="1" w:styleId="651">
    <w:name w:val="样式 题注题注 Char Char Char + (中文) 宋体 四号 红色 Char Char Char Char Char"/>
    <w:basedOn w:val="22"/>
    <w:qFormat/>
    <w:uiPriority w:val="0"/>
    <w:pPr>
      <w:tabs>
        <w:tab w:val="left" w:pos="0"/>
      </w:tabs>
      <w:ind w:left="284" w:hanging="284"/>
      <w:jc w:val="center"/>
    </w:pPr>
    <w:rPr>
      <w:rFonts w:ascii="Times New Roman" w:hAnsi="Times New Roman" w:eastAsia="宋体"/>
      <w:b/>
      <w:spacing w:val="-6"/>
      <w:sz w:val="28"/>
      <w:szCs w:val="28"/>
    </w:rPr>
  </w:style>
  <w:style w:type="character" w:customStyle="1" w:styleId="652">
    <w:name w:val="三级标题 Char Char"/>
    <w:qFormat/>
    <w:uiPriority w:val="0"/>
    <w:rPr>
      <w:rFonts w:eastAsia="宋体"/>
      <w:b/>
      <w:kern w:val="2"/>
      <w:sz w:val="24"/>
      <w:szCs w:val="24"/>
      <w:lang w:val="en-US" w:eastAsia="zh-CN"/>
    </w:rPr>
  </w:style>
  <w:style w:type="paragraph" w:customStyle="1" w:styleId="653">
    <w:name w:val="样式 正文缩进 + 首行缩进:  2 字符"/>
    <w:basedOn w:val="8"/>
    <w:qFormat/>
    <w:uiPriority w:val="0"/>
    <w:pPr>
      <w:snapToGrid w:val="0"/>
      <w:spacing w:line="360" w:lineRule="auto"/>
      <w:ind w:firstLine="560"/>
    </w:pPr>
    <w:rPr>
      <w:sz w:val="28"/>
    </w:rPr>
  </w:style>
  <w:style w:type="character" w:customStyle="1" w:styleId="654">
    <w:name w:val="Char Char Char Char Char1"/>
    <w:qFormat/>
    <w:uiPriority w:val="0"/>
    <w:rPr>
      <w:kern w:val="2"/>
      <w:sz w:val="18"/>
      <w:szCs w:val="18"/>
    </w:rPr>
  </w:style>
  <w:style w:type="character" w:customStyle="1" w:styleId="655">
    <w:name w:val="con"/>
    <w:basedOn w:val="132"/>
    <w:qFormat/>
    <w:uiPriority w:val="0"/>
  </w:style>
  <w:style w:type="paragraph" w:customStyle="1" w:styleId="656">
    <w:name w:val="表格内容1"/>
    <w:basedOn w:val="1"/>
    <w:qFormat/>
    <w:uiPriority w:val="0"/>
    <w:pPr>
      <w:spacing w:line="0" w:lineRule="atLeast"/>
      <w:jc w:val="center"/>
    </w:pPr>
  </w:style>
  <w:style w:type="paragraph" w:customStyle="1" w:styleId="657">
    <w:name w:val="p2"/>
    <w:basedOn w:val="1"/>
    <w:qFormat/>
    <w:uiPriority w:val="0"/>
    <w:pPr>
      <w:spacing w:before="100" w:beforeAutospacing="1" w:after="100" w:afterAutospacing="1" w:line="360" w:lineRule="atLeast"/>
    </w:pPr>
    <w:rPr>
      <w:sz w:val="18"/>
      <w:szCs w:val="18"/>
    </w:rPr>
  </w:style>
  <w:style w:type="character" w:customStyle="1" w:styleId="658">
    <w:name w:val="批注框文本 Char"/>
    <w:qFormat/>
    <w:uiPriority w:val="99"/>
    <w:rPr>
      <w:kern w:val="2"/>
      <w:sz w:val="18"/>
      <w:szCs w:val="18"/>
    </w:rPr>
  </w:style>
  <w:style w:type="character" w:customStyle="1" w:styleId="659">
    <w:name w:val="正文首行缩进 2 Char"/>
    <w:qFormat/>
    <w:uiPriority w:val="0"/>
    <w:rPr>
      <w:rFonts w:eastAsia="宋体"/>
      <w:kern w:val="2"/>
      <w:sz w:val="24"/>
      <w:szCs w:val="24"/>
      <w:lang w:val="en-US" w:eastAsia="zh-CN" w:bidi="ar-SA"/>
    </w:rPr>
  </w:style>
  <w:style w:type="paragraph" w:customStyle="1" w:styleId="660">
    <w:name w:val="表文字"/>
    <w:basedOn w:val="1"/>
    <w:link w:val="962"/>
    <w:qFormat/>
    <w:uiPriority w:val="0"/>
    <w:pPr>
      <w:spacing w:line="320" w:lineRule="exact"/>
    </w:pPr>
    <w:rPr>
      <w:szCs w:val="20"/>
    </w:rPr>
  </w:style>
  <w:style w:type="character" w:customStyle="1" w:styleId="661">
    <w:name w:val="标题33 Char"/>
    <w:qFormat/>
    <w:uiPriority w:val="0"/>
    <w:rPr>
      <w:b/>
      <w:bCs/>
      <w:kern w:val="2"/>
      <w:sz w:val="32"/>
      <w:szCs w:val="32"/>
    </w:rPr>
  </w:style>
  <w:style w:type="character" w:customStyle="1" w:styleId="662">
    <w:name w:val="标题11 Char"/>
    <w:qFormat/>
    <w:uiPriority w:val="0"/>
    <w:rPr>
      <w:b/>
      <w:bCs/>
      <w:kern w:val="44"/>
      <w:sz w:val="44"/>
      <w:szCs w:val="44"/>
    </w:rPr>
  </w:style>
  <w:style w:type="character" w:customStyle="1" w:styleId="663">
    <w:name w:val="标题22 Char"/>
    <w:qFormat/>
    <w:uiPriority w:val="0"/>
    <w:rPr>
      <w:b/>
      <w:bCs/>
      <w:kern w:val="2"/>
      <w:sz w:val="32"/>
      <w:szCs w:val="32"/>
    </w:rPr>
  </w:style>
  <w:style w:type="paragraph" w:customStyle="1" w:styleId="664">
    <w:name w:val="1表格"/>
    <w:basedOn w:val="1"/>
    <w:qFormat/>
    <w:uiPriority w:val="0"/>
    <w:pPr>
      <w:spacing w:line="160" w:lineRule="atLeast"/>
      <w:jc w:val="center"/>
    </w:pPr>
    <w:rPr>
      <w:rFonts w:ascii="仿宋_GB2312" w:hAnsi="仿宋体" w:eastAsia="仿宋_GB2312"/>
      <w:szCs w:val="28"/>
    </w:rPr>
  </w:style>
  <w:style w:type="character" w:customStyle="1" w:styleId="665">
    <w:name w:val="Char Char17"/>
    <w:qFormat/>
    <w:uiPriority w:val="0"/>
    <w:rPr>
      <w:rFonts w:ascii="Times New Roman" w:hAnsi="Times New Roman" w:eastAsia="宋体" w:cs="Times New Roman"/>
      <w:b/>
      <w:kern w:val="28"/>
      <w:sz w:val="18"/>
      <w:szCs w:val="24"/>
    </w:rPr>
  </w:style>
  <w:style w:type="character" w:customStyle="1" w:styleId="666">
    <w:name w:val="Char Char15"/>
    <w:qFormat/>
    <w:uiPriority w:val="0"/>
    <w:rPr>
      <w:rFonts w:ascii="Times New Roman" w:hAnsi="Times New Roman" w:eastAsia="宋体" w:cs="Times New Roman"/>
      <w:b/>
      <w:i/>
      <w:kern w:val="28"/>
      <w:sz w:val="18"/>
      <w:szCs w:val="24"/>
    </w:rPr>
  </w:style>
  <w:style w:type="character" w:customStyle="1" w:styleId="667">
    <w:name w:val="Char Char14"/>
    <w:qFormat/>
    <w:uiPriority w:val="0"/>
    <w:rPr>
      <w:rFonts w:ascii="Cambria" w:hAnsi="Cambria" w:eastAsia="宋体"/>
      <w:b/>
      <w:bCs/>
      <w:kern w:val="28"/>
      <w:sz w:val="32"/>
      <w:szCs w:val="32"/>
    </w:rPr>
  </w:style>
  <w:style w:type="character" w:customStyle="1" w:styleId="668">
    <w:name w:val="副标题 Char1"/>
    <w:qFormat/>
    <w:uiPriority w:val="11"/>
    <w:rPr>
      <w:rFonts w:ascii="Cambria" w:hAnsi="Cambria" w:eastAsia="宋体" w:cs="Times New Roman"/>
      <w:b/>
      <w:bCs/>
      <w:kern w:val="28"/>
      <w:sz w:val="32"/>
      <w:szCs w:val="32"/>
    </w:rPr>
  </w:style>
  <w:style w:type="character" w:customStyle="1" w:styleId="669">
    <w:name w:val="Char Char13"/>
    <w:qFormat/>
    <w:uiPriority w:val="0"/>
    <w:rPr>
      <w:rFonts w:eastAsia="仿宋_GB2312"/>
      <w:b/>
      <w:sz w:val="32"/>
      <w:szCs w:val="24"/>
    </w:rPr>
  </w:style>
  <w:style w:type="character" w:customStyle="1" w:styleId="670">
    <w:name w:val="Char Char12"/>
    <w:qFormat/>
    <w:uiPriority w:val="0"/>
    <w:rPr>
      <w:rFonts w:eastAsia="宋体"/>
      <w:szCs w:val="24"/>
    </w:rPr>
  </w:style>
  <w:style w:type="character" w:customStyle="1" w:styleId="671">
    <w:name w:val="Char Char11"/>
    <w:qFormat/>
    <w:uiPriority w:val="0"/>
    <w:rPr>
      <w:rFonts w:eastAsia="宋体"/>
      <w:b/>
      <w:bCs/>
      <w:szCs w:val="24"/>
    </w:rPr>
  </w:style>
  <w:style w:type="character" w:customStyle="1" w:styleId="672">
    <w:name w:val="Char Char10"/>
    <w:qFormat/>
    <w:uiPriority w:val="0"/>
    <w:rPr>
      <w:rFonts w:ascii="Courier New" w:hAnsi="Courier New" w:eastAsia="宋体"/>
    </w:rPr>
  </w:style>
  <w:style w:type="character" w:customStyle="1" w:styleId="673">
    <w:name w:val="Char Char9"/>
    <w:qFormat/>
    <w:uiPriority w:val="0"/>
    <w:rPr>
      <w:rFonts w:ascii="Times New Roman" w:hAnsi="Times New Roman" w:eastAsia="宋体" w:cs="Times New Roman"/>
      <w:szCs w:val="24"/>
    </w:rPr>
  </w:style>
  <w:style w:type="paragraph" w:customStyle="1" w:styleId="674">
    <w:name w:val="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szCs w:val="20"/>
    </w:rPr>
  </w:style>
  <w:style w:type="paragraph" w:customStyle="1" w:styleId="675">
    <w:name w:val="纯文本21"/>
    <w:basedOn w:val="1"/>
    <w:qFormat/>
    <w:uiPriority w:val="0"/>
    <w:pPr>
      <w:adjustRightInd w:val="0"/>
      <w:textAlignment w:val="baseline"/>
    </w:pPr>
    <w:rPr>
      <w:rFonts w:hAnsi="Courier New"/>
      <w:szCs w:val="20"/>
    </w:rPr>
  </w:style>
  <w:style w:type="paragraph" w:customStyle="1" w:styleId="676">
    <w:name w:val="Char Char Char1 Char4"/>
    <w:basedOn w:val="1"/>
    <w:qFormat/>
    <w:uiPriority w:val="0"/>
  </w:style>
  <w:style w:type="paragraph" w:customStyle="1" w:styleId="677">
    <w:name w:val="Char Char Char Char Char Char Char Char Char Char Char Char Char Char Char Char Char Char Char1"/>
    <w:basedOn w:val="1"/>
    <w:qFormat/>
    <w:uiPriority w:val="0"/>
    <w:pPr>
      <w:spacing w:line="360" w:lineRule="auto"/>
      <w:ind w:firstLine="200" w:firstLineChars="200"/>
    </w:pPr>
  </w:style>
  <w:style w:type="paragraph" w:customStyle="1" w:styleId="678">
    <w:name w:val="Char Char Char1 Char Char Char Char Char Char Char Char Char Char Char Char Char Char Char Char1"/>
    <w:basedOn w:val="1"/>
    <w:qFormat/>
    <w:uiPriority w:val="0"/>
  </w:style>
  <w:style w:type="paragraph" w:customStyle="1" w:styleId="679">
    <w:name w:val="正文文本缩进11"/>
    <w:basedOn w:val="1"/>
    <w:qFormat/>
    <w:uiPriority w:val="0"/>
    <w:pPr>
      <w:ind w:firstLine="560" w:firstLineChars="200"/>
    </w:pPr>
    <w:rPr>
      <w:sz w:val="28"/>
      <w:szCs w:val="28"/>
    </w:rPr>
  </w:style>
  <w:style w:type="paragraph" w:customStyle="1" w:styleId="680">
    <w:name w:val="Char Char Char1 Char Char Char Char Char Char Char Char Char Char Char Char Char1"/>
    <w:basedOn w:val="1"/>
    <w:qFormat/>
    <w:uiPriority w:val="0"/>
  </w:style>
  <w:style w:type="paragraph" w:customStyle="1" w:styleId="681">
    <w:name w:val="字元 字元1"/>
    <w:basedOn w:val="1"/>
    <w:qFormat/>
    <w:uiPriority w:val="0"/>
    <w:pPr>
      <w:spacing w:line="360" w:lineRule="auto"/>
      <w:ind w:firstLine="200" w:firstLineChars="200"/>
    </w:pPr>
  </w:style>
  <w:style w:type="paragraph" w:customStyle="1" w:styleId="682">
    <w:name w:val="Char21"/>
    <w:basedOn w:val="1"/>
    <w:next w:val="1"/>
    <w:qFormat/>
    <w:uiPriority w:val="0"/>
    <w:pPr>
      <w:spacing w:line="360" w:lineRule="auto"/>
      <w:ind w:firstLine="200" w:firstLineChars="200"/>
    </w:pPr>
  </w:style>
  <w:style w:type="paragraph" w:customStyle="1" w:styleId="683">
    <w:name w:val="Char Char Char Char Char Char Char1"/>
    <w:basedOn w:val="5"/>
    <w:autoRedefine/>
    <w:qFormat/>
    <w:uiPriority w:val="0"/>
    <w:pPr>
      <w:keepLines/>
      <w:overflowPunct/>
      <w:autoSpaceDE/>
      <w:autoSpaceDN/>
      <w:adjustRightInd/>
      <w:spacing w:before="140" w:line="220" w:lineRule="atLeast"/>
      <w:ind w:left="720"/>
      <w:textAlignment w:val="auto"/>
    </w:pPr>
    <w:rPr>
      <w:rFonts w:ascii="Futura Bk BT" w:hAnsi="Futura Bk BT" w:eastAsia="Times New Roman"/>
      <w:b w:val="0"/>
      <w:i w:val="0"/>
      <w:spacing w:val="-4"/>
      <w:sz w:val="21"/>
      <w:szCs w:val="20"/>
      <w:lang w:val="en-AU" w:eastAsia="en-US"/>
    </w:rPr>
  </w:style>
  <w:style w:type="paragraph" w:customStyle="1" w:styleId="684">
    <w:name w:val="Char Char Char1 Char Char Char Char Char Char Char Char Char1 Char1"/>
    <w:basedOn w:val="1"/>
    <w:qFormat/>
    <w:uiPriority w:val="0"/>
  </w:style>
  <w:style w:type="character" w:customStyle="1" w:styleId="685">
    <w:name w:val="Char Char Char21"/>
    <w:qFormat/>
    <w:uiPriority w:val="0"/>
    <w:rPr>
      <w:rFonts w:eastAsia="宋体"/>
      <w:kern w:val="2"/>
      <w:sz w:val="21"/>
      <w:szCs w:val="24"/>
      <w:lang w:val="en-US" w:eastAsia="zh-CN" w:bidi="ar-SA"/>
    </w:rPr>
  </w:style>
  <w:style w:type="paragraph" w:customStyle="1" w:styleId="686">
    <w:name w:val="Char Char Char Char1 Char Char1"/>
    <w:basedOn w:val="5"/>
    <w:qFormat/>
    <w:uiPriority w:val="0"/>
    <w:pPr>
      <w:keepLines/>
      <w:widowControl w:val="0"/>
      <w:tabs>
        <w:tab w:val="left" w:pos="0"/>
      </w:tabs>
      <w:overflowPunct/>
      <w:autoSpaceDE/>
      <w:autoSpaceDN/>
      <w:jc w:val="center"/>
      <w:textAlignment w:val="auto"/>
    </w:pPr>
    <w:rPr>
      <w:rFonts w:ascii="Arial" w:hAnsi="Arial" w:eastAsia="仿宋_GB2312" w:cs="Arial"/>
      <w:i w:val="0"/>
      <w:color w:val="FF0000"/>
      <w:kern w:val="2"/>
    </w:rPr>
  </w:style>
  <w:style w:type="paragraph" w:customStyle="1" w:styleId="687">
    <w:name w:val="Char2 Char Char Char Char Char Char Char Char Char Char Char Char1"/>
    <w:basedOn w:val="1"/>
    <w:qFormat/>
    <w:uiPriority w:val="0"/>
    <w:pPr>
      <w:spacing w:line="560" w:lineRule="exact"/>
      <w:ind w:firstLine="200" w:firstLineChars="200"/>
    </w:pPr>
    <w:rPr>
      <w:sz w:val="28"/>
      <w:szCs w:val="28"/>
    </w:rPr>
  </w:style>
  <w:style w:type="character" w:customStyle="1" w:styleId="688">
    <w:name w:val="标题22 Char Char"/>
    <w:qFormat/>
    <w:uiPriority w:val="0"/>
    <w:rPr>
      <w:b/>
      <w:bCs/>
      <w:kern w:val="2"/>
      <w:sz w:val="32"/>
      <w:szCs w:val="32"/>
    </w:rPr>
  </w:style>
  <w:style w:type="character" w:customStyle="1" w:styleId="689">
    <w:name w:val="标题33 Char Char"/>
    <w:qFormat/>
    <w:uiPriority w:val="0"/>
    <w:rPr>
      <w:b/>
      <w:bCs/>
      <w:kern w:val="2"/>
      <w:sz w:val="32"/>
      <w:szCs w:val="32"/>
    </w:rPr>
  </w:style>
  <w:style w:type="paragraph" w:customStyle="1" w:styleId="690">
    <w:name w:val="Char Char15 Char Char"/>
    <w:basedOn w:val="1"/>
    <w:qFormat/>
    <w:uiPriority w:val="0"/>
    <w:pPr>
      <w:spacing w:line="360" w:lineRule="auto"/>
      <w:ind w:firstLine="200" w:firstLineChars="200"/>
    </w:pPr>
  </w:style>
  <w:style w:type="paragraph" w:customStyle="1" w:styleId="691">
    <w:name w:val="Char Char7 Char Char"/>
    <w:basedOn w:val="1"/>
    <w:qFormat/>
    <w:uiPriority w:val="0"/>
    <w:pPr>
      <w:spacing w:line="360" w:lineRule="auto"/>
      <w:ind w:firstLine="200" w:firstLineChars="200"/>
    </w:pPr>
  </w:style>
  <w:style w:type="paragraph" w:customStyle="1" w:styleId="692">
    <w:name w:val="Char Char Char Char Char Char Char Char Char5"/>
    <w:basedOn w:val="1"/>
    <w:autoRedefine/>
    <w:qFormat/>
    <w:uiPriority w:val="0"/>
    <w:pPr>
      <w:spacing w:after="160" w:line="240" w:lineRule="exact"/>
    </w:pPr>
    <w:rPr>
      <w:rFonts w:ascii="Verdana" w:hAnsi="Verdana" w:eastAsia="仿宋_GB2312"/>
      <w:szCs w:val="20"/>
      <w:lang w:eastAsia="en-US"/>
    </w:rPr>
  </w:style>
  <w:style w:type="paragraph" w:customStyle="1" w:styleId="693">
    <w:name w:val="Char Char151"/>
    <w:basedOn w:val="1"/>
    <w:qFormat/>
    <w:uiPriority w:val="0"/>
    <w:pPr>
      <w:spacing w:line="360" w:lineRule="auto"/>
      <w:ind w:firstLine="200" w:firstLineChars="200"/>
    </w:pPr>
  </w:style>
  <w:style w:type="paragraph" w:customStyle="1" w:styleId="694">
    <w:name w:val="标题111"/>
    <w:basedOn w:val="1"/>
    <w:qFormat/>
    <w:uiPriority w:val="0"/>
    <w:pPr>
      <w:spacing w:beforeLines="50" w:afterLines="50" w:line="360" w:lineRule="auto"/>
      <w:outlineLvl w:val="0"/>
    </w:pPr>
    <w:rPr>
      <w:b/>
      <w:sz w:val="36"/>
      <w:szCs w:val="36"/>
    </w:rPr>
  </w:style>
  <w:style w:type="paragraph" w:customStyle="1" w:styleId="695">
    <w:name w:val="Char Char7 Char Char1"/>
    <w:basedOn w:val="1"/>
    <w:qFormat/>
    <w:uiPriority w:val="0"/>
    <w:pPr>
      <w:spacing w:line="360" w:lineRule="auto"/>
      <w:ind w:firstLine="200" w:firstLineChars="200"/>
    </w:pPr>
  </w:style>
  <w:style w:type="paragraph" w:customStyle="1" w:styleId="696">
    <w:name w:val="Char Char7 Char Char1 Char Char"/>
    <w:basedOn w:val="1"/>
    <w:qFormat/>
    <w:uiPriority w:val="0"/>
    <w:pPr>
      <w:spacing w:line="360" w:lineRule="auto"/>
      <w:ind w:firstLine="200" w:firstLineChars="200"/>
    </w:pPr>
  </w:style>
  <w:style w:type="paragraph" w:customStyle="1" w:styleId="697">
    <w:name w:val="表格03"/>
    <w:basedOn w:val="1"/>
    <w:qFormat/>
    <w:uiPriority w:val="0"/>
    <w:pPr>
      <w:spacing w:line="400" w:lineRule="exact"/>
      <w:jc w:val="center"/>
    </w:pPr>
    <w:rPr>
      <w:szCs w:val="21"/>
    </w:rPr>
  </w:style>
  <w:style w:type="paragraph" w:customStyle="1" w:styleId="698">
    <w:name w:val="Char Char7 Char Char1 Char Char Char Char"/>
    <w:basedOn w:val="1"/>
    <w:qFormat/>
    <w:uiPriority w:val="0"/>
    <w:pPr>
      <w:spacing w:line="360" w:lineRule="auto"/>
      <w:ind w:firstLine="200" w:firstLineChars="200"/>
    </w:pPr>
  </w:style>
  <w:style w:type="table" w:customStyle="1" w:styleId="699">
    <w:name w:val="网格型1"/>
    <w:basedOn w:val="87"/>
    <w:qFormat/>
    <w:uiPriority w:val="0"/>
    <w:pPr>
      <w:widowControl w:val="0"/>
      <w:adjustRightInd w:val="0"/>
      <w:snapToGrid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0">
    <w:name w:val="文档结构图 Char"/>
    <w:link w:val="26"/>
    <w:uiPriority w:val="99"/>
    <w:rPr>
      <w:kern w:val="2"/>
      <w:sz w:val="21"/>
      <w:szCs w:val="24"/>
      <w:shd w:val="clear" w:color="auto" w:fill="000080"/>
    </w:rPr>
  </w:style>
  <w:style w:type="character" w:customStyle="1" w:styleId="701">
    <w:name w:val="正文文本缩进 3 Char"/>
    <w:link w:val="69"/>
    <w:uiPriority w:val="0"/>
    <w:rPr>
      <w:sz w:val="28"/>
      <w:szCs w:val="24"/>
    </w:rPr>
  </w:style>
  <w:style w:type="character" w:customStyle="1" w:styleId="702">
    <w:name w:val="正文文本 2 Char"/>
    <w:link w:val="75"/>
    <w:qFormat/>
    <w:uiPriority w:val="0"/>
    <w:rPr>
      <w:kern w:val="2"/>
      <w:sz w:val="24"/>
      <w:szCs w:val="24"/>
    </w:rPr>
  </w:style>
  <w:style w:type="paragraph" w:customStyle="1" w:styleId="703">
    <w:name w:val="正文文字"/>
    <w:basedOn w:val="1"/>
    <w:qFormat/>
    <w:uiPriority w:val="0"/>
    <w:pPr>
      <w:spacing w:after="200" w:line="360" w:lineRule="auto"/>
      <w:ind w:left="539" w:firstLine="200" w:firstLineChars="200"/>
    </w:pPr>
    <w:rPr>
      <w:rFonts w:ascii="Arial" w:cs="Arial"/>
      <w:szCs w:val="22"/>
      <w:lang w:bidi="en-US"/>
    </w:rPr>
  </w:style>
  <w:style w:type="paragraph" w:customStyle="1" w:styleId="704">
    <w:name w:val="徐-报告正文"/>
    <w:basedOn w:val="1"/>
    <w:qFormat/>
    <w:uiPriority w:val="0"/>
    <w:pPr>
      <w:spacing w:line="360" w:lineRule="auto"/>
      <w:ind w:firstLine="200" w:firstLineChars="200"/>
    </w:pPr>
  </w:style>
  <w:style w:type="paragraph" w:customStyle="1" w:styleId="705">
    <w:name w:val="cucd-TB"/>
    <w:qFormat/>
    <w:uiPriority w:val="0"/>
    <w:pPr>
      <w:spacing w:line="360" w:lineRule="auto"/>
      <w:jc w:val="center"/>
    </w:pPr>
    <w:rPr>
      <w:rFonts w:ascii="Times New Roman" w:hAnsi="Times New Roman" w:eastAsia="宋体" w:cs="Times New Roman"/>
      <w:kern w:val="2"/>
      <w:sz w:val="21"/>
      <w:szCs w:val="24"/>
      <w:lang w:val="en-US" w:eastAsia="zh-CN" w:bidi="ar-SA"/>
    </w:rPr>
  </w:style>
  <w:style w:type="character" w:customStyle="1" w:styleId="706">
    <w:name w:val="日期 Char1"/>
    <w:semiHidden/>
    <w:uiPriority w:val="0"/>
    <w:rPr>
      <w:kern w:val="2"/>
      <w:sz w:val="21"/>
      <w:szCs w:val="22"/>
    </w:rPr>
  </w:style>
  <w:style w:type="character" w:customStyle="1" w:styleId="707">
    <w:name w:val="批注文字 Char1"/>
    <w:uiPriority w:val="0"/>
    <w:rPr>
      <w:kern w:val="2"/>
      <w:sz w:val="21"/>
      <w:szCs w:val="22"/>
    </w:rPr>
  </w:style>
  <w:style w:type="character" w:customStyle="1" w:styleId="708">
    <w:name w:val="正文文本缩进 2 Char1"/>
    <w:semiHidden/>
    <w:uiPriority w:val="0"/>
    <w:rPr>
      <w:kern w:val="2"/>
      <w:sz w:val="21"/>
      <w:szCs w:val="22"/>
    </w:rPr>
  </w:style>
  <w:style w:type="character" w:customStyle="1" w:styleId="709">
    <w:name w:val="批注主题 Char1"/>
    <w:qFormat/>
    <w:uiPriority w:val="0"/>
    <w:rPr>
      <w:b/>
      <w:bCs/>
      <w:kern w:val="2"/>
      <w:sz w:val="21"/>
      <w:szCs w:val="22"/>
    </w:rPr>
  </w:style>
  <w:style w:type="character" w:customStyle="1" w:styleId="710">
    <w:name w:val="HTML 预设格式 Char1"/>
    <w:semiHidden/>
    <w:qFormat/>
    <w:uiPriority w:val="99"/>
    <w:rPr>
      <w:rFonts w:ascii="Courier New" w:hAnsi="Courier New" w:cs="Courier New"/>
      <w:kern w:val="2"/>
    </w:rPr>
  </w:style>
  <w:style w:type="character" w:customStyle="1" w:styleId="711">
    <w:name w:val="正文文本 3 Char"/>
    <w:link w:val="32"/>
    <w:qFormat/>
    <w:uiPriority w:val="0"/>
    <w:rPr>
      <w:kern w:val="2"/>
      <w:sz w:val="24"/>
      <w:szCs w:val="24"/>
    </w:rPr>
  </w:style>
  <w:style w:type="table" w:customStyle="1" w:styleId="712">
    <w:name w:val="网格型11"/>
    <w:basedOn w:val="8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3">
    <w:name w:val="Char Char7 Char Char Char Char"/>
    <w:basedOn w:val="1"/>
    <w:qFormat/>
    <w:uiPriority w:val="0"/>
    <w:pPr>
      <w:spacing w:line="360" w:lineRule="auto"/>
      <w:ind w:firstLine="200" w:firstLineChars="200"/>
    </w:pPr>
  </w:style>
  <w:style w:type="paragraph" w:customStyle="1" w:styleId="714">
    <w:name w:val="Char Char7 Char Char1 Char Char Char Char Char Char"/>
    <w:basedOn w:val="1"/>
    <w:qFormat/>
    <w:uiPriority w:val="0"/>
    <w:pPr>
      <w:spacing w:line="360" w:lineRule="auto"/>
      <w:ind w:firstLine="200" w:firstLineChars="200"/>
    </w:pPr>
  </w:style>
  <w:style w:type="character" w:customStyle="1" w:styleId="715">
    <w:name w:val="页脚 Char1"/>
    <w:semiHidden/>
    <w:qFormat/>
    <w:uiPriority w:val="0"/>
    <w:rPr>
      <w:sz w:val="18"/>
      <w:szCs w:val="18"/>
    </w:rPr>
  </w:style>
  <w:style w:type="character" w:customStyle="1" w:styleId="716">
    <w:name w:val="注释标题 Char"/>
    <w:link w:val="17"/>
    <w:qFormat/>
    <w:uiPriority w:val="0"/>
    <w:rPr>
      <w:rFonts w:ascii="宋体"/>
      <w:kern w:val="2"/>
      <w:sz w:val="21"/>
    </w:rPr>
  </w:style>
  <w:style w:type="character" w:customStyle="1" w:styleId="717">
    <w:name w:val="称呼 Char"/>
    <w:link w:val="30"/>
    <w:qFormat/>
    <w:uiPriority w:val="0"/>
    <w:rPr>
      <w:rFonts w:ascii="宋体" w:hAnsi="Courier New" w:cs="Courier New"/>
      <w:kern w:val="2"/>
      <w:sz w:val="24"/>
      <w:szCs w:val="21"/>
    </w:rPr>
  </w:style>
  <w:style w:type="table" w:customStyle="1" w:styleId="718">
    <w:name w:val="网格型!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9">
    <w:name w:val="精巧型 21"/>
    <w:basedOn w:val="87"/>
    <w:semiHidden/>
    <w:uiPriority w:val="0"/>
    <w:pPr>
      <w:widowControl w:val="0"/>
      <w:spacing w:line="360" w:lineRule="auto"/>
      <w:jc w:val="both"/>
    </w:pPr>
    <w:tblPr>
      <w:tblBorders>
        <w:left w:val="single" w:color="000000" w:sz="6" w:space="0"/>
        <w:right w:val="single" w:color="000000" w:sz="6" w:space="0"/>
      </w:tblBorders>
    </w:tblPr>
    <w:tblStylePr w:type="firstRow">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firstCol">
      <w:tcPr>
        <w:tcBorders>
          <w:right w:val="single" w:color="000000" w:sz="12" w:space="0"/>
          <w:tl2br w:val="nil"/>
          <w:tr2bl w:val="nil"/>
        </w:tcBorders>
        <w:shd w:val="pct25" w:color="008000" w:fill="FFFFFF"/>
      </w:tcPr>
    </w:tblStylePr>
    <w:tblStylePr w:type="lastCol">
      <w:tcPr>
        <w:tcBorders>
          <w:left w:val="single" w:color="000000" w:sz="12" w:space="0"/>
          <w:tl2br w:val="nil"/>
          <w:tr2bl w:val="nil"/>
        </w:tcBorders>
        <w:shd w:val="pct25" w:color="808000" w:fill="FFFFFF"/>
      </w:tcPr>
    </w:tblStylePr>
    <w:tblStylePr w:type="neCell">
      <w:rPr>
        <w:b/>
        <w:bCs/>
      </w:rPr>
      <w:tcPr>
        <w:tcBorders>
          <w:tl2br w:val="nil"/>
          <w:tr2bl w:val="nil"/>
        </w:tcBorders>
      </w:tcPr>
    </w:tblStylePr>
    <w:tblStylePr w:type="swCell">
      <w:rPr>
        <w:b/>
        <w:bCs/>
      </w:rPr>
      <w:tcPr>
        <w:tcBorders>
          <w:tl2br w:val="nil"/>
          <w:tr2bl w:val="nil"/>
        </w:tcBorders>
      </w:tcPr>
    </w:tblStylePr>
  </w:style>
  <w:style w:type="character" w:customStyle="1" w:styleId="720">
    <w:name w:val="Char Char16"/>
    <w:uiPriority w:val="0"/>
    <w:rPr>
      <w:rFonts w:eastAsia="宋体"/>
      <w:b/>
      <w:kern w:val="28"/>
      <w:sz w:val="18"/>
      <w:szCs w:val="24"/>
      <w:lang w:val="en-US" w:eastAsia="zh-CN" w:bidi="ar-SA"/>
    </w:rPr>
  </w:style>
  <w:style w:type="paragraph" w:customStyle="1" w:styleId="721">
    <w:name w:val="Char Char7"/>
    <w:basedOn w:val="1"/>
    <w:qFormat/>
    <w:uiPriority w:val="0"/>
    <w:pPr>
      <w:spacing w:line="360" w:lineRule="auto"/>
      <w:ind w:firstLine="200" w:firstLineChars="200"/>
    </w:pPr>
  </w:style>
  <w:style w:type="table" w:customStyle="1" w:styleId="722">
    <w:name w:val="网格型12"/>
    <w:basedOn w:val="87"/>
    <w:qFormat/>
    <w:uiPriority w:val="0"/>
    <w:pPr>
      <w:widowControl w:val="0"/>
      <w:adjustRightInd w:val="0"/>
      <w:snapToGrid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3">
    <w:name w:val="网格型111"/>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4">
    <w:name w:val="Char Char7 Char Char1 Char Char Char Char Char Char Char Char"/>
    <w:basedOn w:val="1"/>
    <w:qFormat/>
    <w:uiPriority w:val="0"/>
    <w:pPr>
      <w:spacing w:line="360" w:lineRule="auto"/>
      <w:ind w:firstLine="200" w:firstLineChars="200"/>
    </w:pPr>
  </w:style>
  <w:style w:type="paragraph" w:customStyle="1" w:styleId="725">
    <w:name w:val="正文 小四 行距: 1.5 倍行距"/>
    <w:basedOn w:val="1"/>
    <w:link w:val="726"/>
    <w:qFormat/>
    <w:uiPriority w:val="0"/>
    <w:pPr>
      <w:spacing w:line="360" w:lineRule="auto"/>
      <w:ind w:firstLine="480" w:firstLineChars="200"/>
    </w:pPr>
    <w:rPr>
      <w:szCs w:val="20"/>
    </w:rPr>
  </w:style>
  <w:style w:type="character" w:customStyle="1" w:styleId="726">
    <w:name w:val="正文 小四 行距: 1.5 倍行距 Char"/>
    <w:link w:val="725"/>
    <w:qFormat/>
    <w:uiPriority w:val="0"/>
    <w:rPr>
      <w:kern w:val="2"/>
      <w:sz w:val="24"/>
    </w:rPr>
  </w:style>
  <w:style w:type="paragraph" w:customStyle="1" w:styleId="727">
    <w:name w:val="Char Char Char Char Char Char Char Char Char Char Char Char Char"/>
    <w:basedOn w:val="1"/>
    <w:next w:val="1"/>
    <w:qFormat/>
    <w:uiPriority w:val="0"/>
    <w:pPr>
      <w:spacing w:line="360" w:lineRule="auto"/>
      <w:ind w:firstLine="200" w:firstLineChars="200"/>
    </w:pPr>
  </w:style>
  <w:style w:type="paragraph" w:customStyle="1" w:styleId="728">
    <w:name w:val="表体"/>
    <w:basedOn w:val="1"/>
    <w:link w:val="2454"/>
    <w:autoRedefine/>
    <w:qFormat/>
    <w:uiPriority w:val="0"/>
    <w:pPr>
      <w:overflowPunct w:val="0"/>
      <w:adjustRightInd w:val="0"/>
      <w:spacing w:line="200" w:lineRule="exact"/>
      <w:jc w:val="center"/>
      <w:textAlignment w:val="baseline"/>
    </w:pPr>
    <w:rPr>
      <w:spacing w:val="-28"/>
      <w:kern w:val="24"/>
      <w:sz w:val="18"/>
      <w:szCs w:val="18"/>
    </w:rPr>
  </w:style>
  <w:style w:type="paragraph" w:customStyle="1" w:styleId="729">
    <w:name w:val="_Style 22"/>
    <w:basedOn w:val="1"/>
    <w:next w:val="6"/>
    <w:qFormat/>
    <w:uiPriority w:val="0"/>
    <w:pPr>
      <w:spacing w:line="240" w:lineRule="exact"/>
      <w:jc w:val="center"/>
    </w:pPr>
    <w:rPr>
      <w:rFonts w:eastAsia="方正仿宋简体"/>
      <w:w w:val="80"/>
    </w:rPr>
  </w:style>
  <w:style w:type="paragraph" w:customStyle="1" w:styleId="730">
    <w:name w:val="标准"/>
    <w:basedOn w:val="1"/>
    <w:qFormat/>
    <w:uiPriority w:val="0"/>
    <w:pPr>
      <w:adjustRightInd w:val="0"/>
      <w:spacing w:line="480" w:lineRule="exact"/>
      <w:textAlignment w:val="baseline"/>
    </w:pPr>
    <w:rPr>
      <w:sz w:val="28"/>
      <w:szCs w:val="20"/>
      <w:lang w:val="en-GB"/>
    </w:rPr>
  </w:style>
  <w:style w:type="paragraph" w:customStyle="1" w:styleId="731">
    <w:name w:val="表格04"/>
    <w:basedOn w:val="1"/>
    <w:qFormat/>
    <w:uiPriority w:val="0"/>
    <w:pPr>
      <w:adjustRightInd w:val="0"/>
      <w:spacing w:line="360" w:lineRule="exact"/>
      <w:jc w:val="center"/>
      <w:textAlignment w:val="baseline"/>
    </w:pPr>
    <w:rPr>
      <w:snapToGrid w:val="0"/>
      <w:spacing w:val="-2"/>
      <w:sz w:val="18"/>
      <w:szCs w:val="18"/>
    </w:rPr>
  </w:style>
  <w:style w:type="paragraph" w:customStyle="1" w:styleId="732">
    <w:name w:val="表格04左"/>
    <w:basedOn w:val="731"/>
    <w:qFormat/>
    <w:uiPriority w:val="0"/>
    <w:pPr>
      <w:snapToGrid w:val="0"/>
      <w:jc w:val="left"/>
    </w:pPr>
    <w:rPr>
      <w:spacing w:val="0"/>
    </w:rPr>
  </w:style>
  <w:style w:type="paragraph" w:customStyle="1" w:styleId="733">
    <w:name w:val="表内"/>
    <w:basedOn w:val="1"/>
    <w:qFormat/>
    <w:uiPriority w:val="0"/>
    <w:pPr>
      <w:adjustRightInd w:val="0"/>
      <w:ind w:left="-78" w:leftChars="-38" w:hanging="2" w:hangingChars="1"/>
      <w:jc w:val="center"/>
      <w:textAlignment w:val="baseline"/>
    </w:pPr>
    <w:rPr>
      <w:color w:val="FF0000"/>
      <w:szCs w:val="21"/>
    </w:rPr>
  </w:style>
  <w:style w:type="paragraph" w:customStyle="1" w:styleId="734">
    <w:name w:val="[正文格式]"/>
    <w:basedOn w:val="1"/>
    <w:link w:val="735"/>
    <w:qFormat/>
    <w:uiPriority w:val="0"/>
    <w:pPr>
      <w:spacing w:line="440" w:lineRule="exact"/>
      <w:ind w:firstLine="480" w:firstLineChars="200"/>
    </w:pPr>
  </w:style>
  <w:style w:type="character" w:customStyle="1" w:styleId="735">
    <w:name w:val="[正文格式] Char"/>
    <w:link w:val="734"/>
    <w:qFormat/>
    <w:uiPriority w:val="0"/>
    <w:rPr>
      <w:kern w:val="2"/>
      <w:sz w:val="24"/>
      <w:szCs w:val="24"/>
    </w:rPr>
  </w:style>
  <w:style w:type="character" w:customStyle="1" w:styleId="736">
    <w:name w:val="表头 Char2"/>
    <w:qFormat/>
    <w:uiPriority w:val="0"/>
    <w:rPr>
      <w:rFonts w:eastAsia="黑体"/>
      <w:kern w:val="2"/>
      <w:sz w:val="21"/>
      <w:szCs w:val="24"/>
      <w:lang w:val="en-US" w:eastAsia="zh-CN" w:bidi="ar-SA"/>
    </w:rPr>
  </w:style>
  <w:style w:type="paragraph" w:customStyle="1" w:styleId="737">
    <w:name w:val="1正文段落"/>
    <w:basedOn w:val="1"/>
    <w:link w:val="738"/>
    <w:qFormat/>
    <w:uiPriority w:val="0"/>
    <w:pPr>
      <w:spacing w:line="360" w:lineRule="auto"/>
      <w:ind w:firstLine="480" w:firstLineChars="200"/>
    </w:pPr>
    <w:rPr>
      <w:snapToGrid w:val="0"/>
    </w:rPr>
  </w:style>
  <w:style w:type="character" w:customStyle="1" w:styleId="738">
    <w:name w:val="1正文段落 Char"/>
    <w:link w:val="737"/>
    <w:qFormat/>
    <w:uiPriority w:val="0"/>
    <w:rPr>
      <w:snapToGrid w:val="0"/>
      <w:sz w:val="24"/>
      <w:szCs w:val="24"/>
    </w:rPr>
  </w:style>
  <w:style w:type="character" w:customStyle="1" w:styleId="739">
    <w:name w:val="页眉 Char3"/>
    <w:qFormat/>
    <w:uiPriority w:val="0"/>
    <w:rPr>
      <w:rFonts w:eastAsia="宋体"/>
      <w:kern w:val="2"/>
      <w:sz w:val="18"/>
      <w:szCs w:val="18"/>
      <w:lang w:val="en-US" w:eastAsia="zh-CN" w:bidi="ar-SA"/>
    </w:rPr>
  </w:style>
  <w:style w:type="paragraph" w:customStyle="1" w:styleId="740">
    <w:name w:val="标题4"/>
    <w:basedOn w:val="1"/>
    <w:next w:val="1"/>
    <w:link w:val="2524"/>
    <w:qFormat/>
    <w:uiPriority w:val="0"/>
    <w:pPr>
      <w:keepNext/>
      <w:keepLines/>
      <w:adjustRightInd w:val="0"/>
      <w:spacing w:before="40" w:after="40" w:line="376" w:lineRule="atLeast"/>
      <w:outlineLvl w:val="3"/>
    </w:pPr>
    <w:rPr>
      <w:rFonts w:ascii="新宋体" w:hAnsi="新宋体" w:eastAsia="仿宋_GB2312"/>
      <w:sz w:val="28"/>
      <w:szCs w:val="20"/>
    </w:rPr>
  </w:style>
  <w:style w:type="paragraph" w:customStyle="1" w:styleId="741">
    <w:name w:val="标题样式2"/>
    <w:basedOn w:val="1"/>
    <w:qFormat/>
    <w:uiPriority w:val="0"/>
    <w:pPr>
      <w:adjustRightInd w:val="0"/>
      <w:spacing w:line="480" w:lineRule="atLeast"/>
      <w:textAlignment w:val="baseline"/>
    </w:pPr>
    <w:rPr>
      <w:rFonts w:ascii="新宋体" w:hAnsi="新宋体" w:eastAsia="仿宋_GB2312"/>
      <w:sz w:val="28"/>
      <w:szCs w:val="20"/>
    </w:rPr>
  </w:style>
  <w:style w:type="character" w:customStyle="1" w:styleId="742">
    <w:name w:val="mainfirst1"/>
    <w:qFormat/>
    <w:uiPriority w:val="0"/>
    <w:rPr>
      <w:b/>
      <w:bCs/>
      <w:color w:val="FF0000"/>
      <w:sz w:val="36"/>
      <w:szCs w:val="36"/>
    </w:rPr>
  </w:style>
  <w:style w:type="character" w:customStyle="1" w:styleId="743">
    <w:name w:val="普通文字 Char Char Char Char Char C Char Char Char Char Char Char Char"/>
    <w:qFormat/>
    <w:uiPriority w:val="0"/>
    <w:rPr>
      <w:rFonts w:ascii="宋体" w:hAnsi="Courier New" w:eastAsia="宋体"/>
      <w:kern w:val="2"/>
      <w:sz w:val="28"/>
      <w:lang w:val="en-US" w:eastAsia="zh-CN" w:bidi="ar-SA"/>
    </w:rPr>
  </w:style>
  <w:style w:type="character" w:customStyle="1" w:styleId="744">
    <w:name w:val="redfont"/>
    <w:basedOn w:val="132"/>
    <w:qFormat/>
    <w:uiPriority w:val="0"/>
  </w:style>
  <w:style w:type="paragraph" w:customStyle="1" w:styleId="745">
    <w:name w:val="正文样式一"/>
    <w:basedOn w:val="1"/>
    <w:qFormat/>
    <w:uiPriority w:val="0"/>
    <w:pPr>
      <w:adjustRightInd w:val="0"/>
      <w:spacing w:line="400" w:lineRule="atLeast"/>
      <w:ind w:firstLine="510"/>
      <w:textAlignment w:val="baseline"/>
    </w:pPr>
    <w:rPr>
      <w:szCs w:val="20"/>
    </w:rPr>
  </w:style>
  <w:style w:type="paragraph" w:customStyle="1" w:styleId="746">
    <w:name w:val="表格内文字"/>
    <w:autoRedefine/>
    <w:qFormat/>
    <w:uiPriority w:val="0"/>
    <w:pPr>
      <w:keepNext/>
      <w:widowControl w:val="0"/>
      <w:ind w:left="-105" w:leftChars="-50" w:right="-105" w:rightChars="-50"/>
      <w:jc w:val="center"/>
    </w:pPr>
    <w:rPr>
      <w:rFonts w:ascii="宋体" w:hAnsi="宋体" w:eastAsia="宋体" w:cs="Times New Roman"/>
      <w:w w:val="90"/>
      <w:sz w:val="21"/>
      <w:szCs w:val="21"/>
      <w:lang w:val="en-US" w:eastAsia="zh-CN" w:bidi="ar-SA"/>
    </w:rPr>
  </w:style>
  <w:style w:type="character" w:customStyle="1" w:styleId="747">
    <w:name w:val="表头 Char1"/>
    <w:uiPriority w:val="0"/>
    <w:rPr>
      <w:rFonts w:ascii="宋体" w:eastAsia="宋体"/>
      <w:kern w:val="2"/>
      <w:sz w:val="24"/>
      <w:szCs w:val="24"/>
      <w:lang w:val="en-US" w:eastAsia="zh-CN" w:bidi="ar-SA"/>
    </w:rPr>
  </w:style>
  <w:style w:type="paragraph" w:customStyle="1" w:styleId="748">
    <w:name w:val="图表名"/>
    <w:basedOn w:val="1"/>
    <w:qFormat/>
    <w:uiPriority w:val="0"/>
    <w:pPr>
      <w:adjustRightInd w:val="0"/>
      <w:snapToGrid w:val="0"/>
      <w:spacing w:line="360" w:lineRule="auto"/>
      <w:jc w:val="center"/>
    </w:pPr>
    <w:rPr>
      <w:rFonts w:eastAsia="黑体"/>
      <w:snapToGrid w:val="0"/>
      <w:color w:val="000000"/>
      <w:sz w:val="28"/>
      <w:szCs w:val="28"/>
    </w:rPr>
  </w:style>
  <w:style w:type="paragraph" w:customStyle="1" w:styleId="749">
    <w:name w:val="表号"/>
    <w:basedOn w:val="1"/>
    <w:link w:val="1122"/>
    <w:qFormat/>
    <w:uiPriority w:val="0"/>
    <w:pPr>
      <w:adjustRightInd w:val="0"/>
      <w:snapToGrid w:val="0"/>
      <w:ind w:firstLine="480" w:firstLineChars="200"/>
    </w:pPr>
    <w:rPr>
      <w:snapToGrid w:val="0"/>
      <w:color w:val="000000"/>
    </w:rPr>
  </w:style>
  <w:style w:type="paragraph" w:customStyle="1" w:styleId="750">
    <w:name w:val="样式 样式 表格 + (符号) 宋体 五号 居中 + 小五"/>
    <w:basedOn w:val="1"/>
    <w:link w:val="1053"/>
    <w:qFormat/>
    <w:uiPriority w:val="0"/>
    <w:pPr>
      <w:kinsoku w:val="0"/>
      <w:overflowPunct w:val="0"/>
      <w:adjustRightInd w:val="0"/>
      <w:snapToGrid w:val="0"/>
      <w:jc w:val="center"/>
    </w:pPr>
    <w:rPr>
      <w:snapToGrid w:val="0"/>
      <w:sz w:val="18"/>
      <w:szCs w:val="21"/>
    </w:rPr>
  </w:style>
  <w:style w:type="paragraph" w:customStyle="1" w:styleId="751">
    <w:name w:val="样式 表格 + 居中"/>
    <w:basedOn w:val="1"/>
    <w:qFormat/>
    <w:uiPriority w:val="0"/>
    <w:pPr>
      <w:kinsoku w:val="0"/>
      <w:overflowPunct w:val="0"/>
      <w:adjustRightInd w:val="0"/>
      <w:snapToGrid w:val="0"/>
      <w:jc w:val="center"/>
    </w:pPr>
    <w:rPr>
      <w:snapToGrid w:val="0"/>
      <w:color w:val="000000"/>
    </w:rPr>
  </w:style>
  <w:style w:type="paragraph" w:customStyle="1" w:styleId="752">
    <w:name w:val="注×："/>
    <w:qFormat/>
    <w:uiPriority w:val="0"/>
    <w:pPr>
      <w:widowControl w:val="0"/>
      <w:tabs>
        <w:tab w:val="left" w:pos="570"/>
        <w:tab w:val="left" w:pos="630"/>
      </w:tabs>
      <w:autoSpaceDE w:val="0"/>
      <w:autoSpaceDN w:val="0"/>
      <w:ind w:left="570" w:hanging="570"/>
      <w:jc w:val="both"/>
    </w:pPr>
    <w:rPr>
      <w:rFonts w:ascii="宋体" w:hAnsi="Times New Roman" w:eastAsia="宋体" w:cs="Times New Roman"/>
      <w:sz w:val="18"/>
      <w:lang w:val="en-US" w:eastAsia="zh-CN" w:bidi="ar-SA"/>
    </w:rPr>
  </w:style>
  <w:style w:type="paragraph" w:customStyle="1" w:styleId="753">
    <w:name w:val="样式"/>
    <w:basedOn w:val="1"/>
    <w:next w:val="69"/>
    <w:qFormat/>
    <w:uiPriority w:val="0"/>
    <w:pPr>
      <w:tabs>
        <w:tab w:val="left" w:pos="6720"/>
      </w:tabs>
      <w:spacing w:line="360" w:lineRule="auto"/>
      <w:ind w:firstLine="480" w:firstLineChars="200"/>
    </w:pPr>
    <w:rPr>
      <w:rFonts w:ascii="楷体_GB2312" w:eastAsia="楷体_GB2312"/>
    </w:rPr>
  </w:style>
  <w:style w:type="character" w:customStyle="1" w:styleId="754">
    <w:name w:val="结束语 Char"/>
    <w:link w:val="33"/>
    <w:qFormat/>
    <w:uiPriority w:val="0"/>
    <w:rPr>
      <w:rFonts w:ascii="仿宋_GB2312" w:eastAsia="仿宋_GB2312"/>
      <w:kern w:val="2"/>
      <w:sz w:val="32"/>
      <w:szCs w:val="32"/>
    </w:rPr>
  </w:style>
  <w:style w:type="character" w:customStyle="1" w:styleId="755">
    <w:name w:val="样式 样式5 + 宋体 Char"/>
    <w:link w:val="756"/>
    <w:qFormat/>
    <w:uiPriority w:val="0"/>
    <w:rPr>
      <w:b/>
      <w:bCs/>
      <w:kern w:val="2"/>
      <w:sz w:val="26"/>
      <w:szCs w:val="26"/>
    </w:rPr>
  </w:style>
  <w:style w:type="paragraph" w:customStyle="1" w:styleId="756">
    <w:name w:val="样式 样式5 + 宋体"/>
    <w:basedOn w:val="397"/>
    <w:link w:val="755"/>
    <w:qFormat/>
    <w:uiPriority w:val="0"/>
    <w:pPr>
      <w:spacing w:line="560" w:lineRule="exact"/>
      <w:ind w:firstLine="560" w:firstLineChars="0"/>
      <w:textAlignment w:val="baseline"/>
    </w:pPr>
    <w:rPr>
      <w:rFonts w:ascii="Times New Roman" w:hAnsi="Times New Roman"/>
      <w:b/>
      <w:bCs/>
      <w:color w:val="auto"/>
      <w:sz w:val="26"/>
      <w:szCs w:val="26"/>
    </w:rPr>
  </w:style>
  <w:style w:type="paragraph" w:customStyle="1" w:styleId="757">
    <w:name w:val="11"/>
    <w:basedOn w:val="1"/>
    <w:next w:val="80"/>
    <w:qFormat/>
    <w:uiPriority w:val="0"/>
    <w:rPr>
      <w:rFonts w:eastAsia="仿宋_GB2312"/>
    </w:rPr>
  </w:style>
  <w:style w:type="character" w:customStyle="1" w:styleId="758">
    <w:name w:val="正文1 Char"/>
    <w:qFormat/>
    <w:uiPriority w:val="0"/>
    <w:rPr>
      <w:rFonts w:ascii="Arial" w:hAnsi="Arial" w:eastAsia="宋体"/>
      <w:sz w:val="24"/>
      <w:lang w:val="en-US" w:eastAsia="zh-CN" w:bidi="ar-SA"/>
    </w:rPr>
  </w:style>
  <w:style w:type="character" w:customStyle="1" w:styleId="759">
    <w:name w:val="样式5 Char1"/>
    <w:link w:val="397"/>
    <w:qFormat/>
    <w:uiPriority w:val="0"/>
    <w:rPr>
      <w:rFonts w:ascii="宋体" w:hAnsi="宋体"/>
      <w:color w:val="000000"/>
      <w:kern w:val="2"/>
      <w:sz w:val="24"/>
      <w:szCs w:val="24"/>
    </w:rPr>
  </w:style>
  <w:style w:type="paragraph" w:customStyle="1" w:styleId="760">
    <w:name w:val="样式 正文格式 + 首行缩进:  2 字符1"/>
    <w:basedOn w:val="176"/>
    <w:qFormat/>
    <w:uiPriority w:val="0"/>
    <w:pPr>
      <w:adjustRightInd w:val="0"/>
      <w:snapToGrid w:val="0"/>
      <w:spacing w:line="480" w:lineRule="exact"/>
      <w:ind w:firstLine="560"/>
    </w:pPr>
    <w:rPr>
      <w:sz w:val="28"/>
      <w:szCs w:val="20"/>
    </w:rPr>
  </w:style>
  <w:style w:type="paragraph" w:customStyle="1" w:styleId="761">
    <w:name w:val="样式 样式 样式 标题4 + 加粗 首行缩进:  2.2 字符 + 首行缩进:  2.2 字符 + 首行缩进:  2 字符"/>
    <w:basedOn w:val="1"/>
    <w:qFormat/>
    <w:uiPriority w:val="0"/>
    <w:pPr>
      <w:adjustRightInd w:val="0"/>
      <w:snapToGrid w:val="0"/>
      <w:spacing w:beforeLines="50" w:line="360" w:lineRule="auto"/>
      <w:ind w:firstLine="200" w:firstLineChars="200"/>
    </w:pPr>
    <w:rPr>
      <w:rFonts w:eastAsia="黑体"/>
      <w:b/>
      <w:bCs/>
      <w:snapToGrid w:val="0"/>
      <w:szCs w:val="20"/>
    </w:rPr>
  </w:style>
  <w:style w:type="paragraph" w:customStyle="1" w:styleId="762">
    <w:name w:val="图表名 Char"/>
    <w:basedOn w:val="1"/>
    <w:qFormat/>
    <w:uiPriority w:val="0"/>
    <w:pPr>
      <w:adjustRightInd w:val="0"/>
      <w:snapToGrid w:val="0"/>
      <w:spacing w:line="360" w:lineRule="auto"/>
      <w:ind w:firstLine="200" w:firstLineChars="200"/>
      <w:jc w:val="center"/>
    </w:pPr>
    <w:rPr>
      <w:rFonts w:eastAsia="黑体"/>
      <w:snapToGrid w:val="0"/>
    </w:rPr>
  </w:style>
  <w:style w:type="character" w:customStyle="1" w:styleId="763">
    <w:name w:val="普通文字 Char Char Char Char Char C Char Char Char Char Ch"/>
    <w:qFormat/>
    <w:uiPriority w:val="0"/>
    <w:rPr>
      <w:rFonts w:ascii="宋体" w:hAnsi="Courier New" w:eastAsia="宋体"/>
      <w:kern w:val="2"/>
      <w:sz w:val="28"/>
      <w:lang w:val="en-US" w:eastAsia="zh-CN" w:bidi="ar-SA"/>
    </w:rPr>
  </w:style>
  <w:style w:type="character" w:customStyle="1" w:styleId="764">
    <w:name w:val="普通文字 Char3"/>
    <w:qFormat/>
    <w:uiPriority w:val="0"/>
    <w:rPr>
      <w:rFonts w:ascii="宋体" w:hAnsi="Courier New" w:eastAsia="宋体"/>
      <w:color w:val="000000"/>
      <w:kern w:val="2"/>
      <w:sz w:val="28"/>
      <w:lang w:val="en-US" w:eastAsia="zh-CN" w:bidi="ar-SA"/>
    </w:rPr>
  </w:style>
  <w:style w:type="paragraph" w:customStyle="1" w:styleId="765">
    <w:name w:val="样式 四号 加粗 左 行距: 固定值 25 磅"/>
    <w:basedOn w:val="4"/>
    <w:autoRedefine/>
    <w:qFormat/>
    <w:uiPriority w:val="0"/>
    <w:pPr>
      <w:spacing w:beforeLines="0" w:afterLines="0" w:line="400" w:lineRule="exact"/>
      <w:ind w:firstLine="180" w:firstLineChars="64"/>
    </w:pPr>
    <w:rPr>
      <w:rFonts w:ascii="仿宋_GB2312" w:eastAsia="仿宋_GB2312"/>
      <w:bCs w:val="0"/>
      <w:sz w:val="28"/>
      <w:szCs w:val="20"/>
      <w:lang w:val="zh-CN"/>
    </w:rPr>
  </w:style>
  <w:style w:type="paragraph" w:customStyle="1" w:styleId="766">
    <w:name w:val="7"/>
    <w:basedOn w:val="1"/>
    <w:next w:val="8"/>
    <w:qFormat/>
    <w:uiPriority w:val="0"/>
    <w:pPr>
      <w:ind w:firstLine="420" w:firstLineChars="200"/>
    </w:pPr>
  </w:style>
  <w:style w:type="paragraph" w:customStyle="1" w:styleId="767">
    <w:name w:val="样式 小四 首行缩进:  1.01 厘米 行距: 1.5 倍行距"/>
    <w:basedOn w:val="1"/>
    <w:link w:val="768"/>
    <w:qFormat/>
    <w:uiPriority w:val="0"/>
    <w:pPr>
      <w:adjustRightInd w:val="0"/>
      <w:spacing w:line="360" w:lineRule="auto"/>
      <w:ind w:firstLine="570"/>
      <w:textAlignment w:val="baseline"/>
    </w:pPr>
    <w:rPr>
      <w:szCs w:val="20"/>
    </w:rPr>
  </w:style>
  <w:style w:type="character" w:customStyle="1" w:styleId="768">
    <w:name w:val="样式 小四 首行缩进:  1.01 厘米 行距: 1.5 倍行距 Char"/>
    <w:link w:val="767"/>
    <w:qFormat/>
    <w:uiPriority w:val="0"/>
    <w:rPr>
      <w:rFonts w:cs="宋体"/>
      <w:sz w:val="24"/>
    </w:rPr>
  </w:style>
  <w:style w:type="paragraph" w:customStyle="1" w:styleId="769">
    <w:name w:val="标题3-3"/>
    <w:basedOn w:val="4"/>
    <w:qFormat/>
    <w:uiPriority w:val="0"/>
    <w:pPr>
      <w:keepNext w:val="0"/>
      <w:keepLines w:val="0"/>
      <w:tabs>
        <w:tab w:val="left" w:pos="1260"/>
      </w:tabs>
      <w:adjustRightInd w:val="0"/>
      <w:spacing w:before="50" w:afterLines="25"/>
      <w:ind w:left="1260" w:hanging="420"/>
      <w:textAlignment w:val="baseline"/>
    </w:pPr>
    <w:rPr>
      <w:rFonts w:ascii="Arial" w:hAnsi="Arial" w:eastAsia="黑体"/>
      <w:b w:val="0"/>
      <w:bCs w:val="0"/>
      <w:color w:val="000000"/>
      <w:sz w:val="24"/>
      <w:szCs w:val="24"/>
    </w:rPr>
  </w:style>
  <w:style w:type="character" w:customStyle="1" w:styleId="770">
    <w:name w:val="表中文字 Char1"/>
    <w:link w:val="456"/>
    <w:qFormat/>
    <w:uiPriority w:val="0"/>
    <w:rPr>
      <w:kern w:val="2"/>
      <w:sz w:val="21"/>
    </w:rPr>
  </w:style>
  <w:style w:type="paragraph" w:customStyle="1" w:styleId="771">
    <w:name w:val="表名"/>
    <w:basedOn w:val="1"/>
    <w:link w:val="772"/>
    <w:qFormat/>
    <w:uiPriority w:val="0"/>
    <w:pPr>
      <w:keepNext/>
      <w:spacing w:line="360" w:lineRule="auto"/>
      <w:jc w:val="center"/>
    </w:pPr>
    <w:rPr>
      <w:b/>
      <w:szCs w:val="20"/>
    </w:rPr>
  </w:style>
  <w:style w:type="character" w:customStyle="1" w:styleId="772">
    <w:name w:val="表名 Char"/>
    <w:link w:val="771"/>
    <w:qFormat/>
    <w:uiPriority w:val="0"/>
    <w:rPr>
      <w:rFonts w:ascii="宋体"/>
      <w:b/>
      <w:sz w:val="24"/>
    </w:rPr>
  </w:style>
  <w:style w:type="paragraph" w:customStyle="1" w:styleId="773">
    <w:name w:val="xl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Cs w:val="21"/>
    </w:rPr>
  </w:style>
  <w:style w:type="character" w:customStyle="1" w:styleId="774">
    <w:name w:val="个人撰写风格"/>
    <w:qFormat/>
    <w:uiPriority w:val="0"/>
    <w:rPr>
      <w:rFonts w:ascii="Arial" w:hAnsi="Arial" w:eastAsia="宋体" w:cs="Arial"/>
      <w:color w:val="auto"/>
      <w:sz w:val="20"/>
    </w:rPr>
  </w:style>
  <w:style w:type="paragraph" w:customStyle="1" w:styleId="775">
    <w:name w:val="9"/>
    <w:basedOn w:val="1"/>
    <w:next w:val="35"/>
    <w:qFormat/>
    <w:uiPriority w:val="0"/>
    <w:pPr>
      <w:spacing w:line="460" w:lineRule="exact"/>
      <w:ind w:firstLine="480" w:firstLineChars="200"/>
    </w:pPr>
    <w:rPr>
      <w:bCs/>
    </w:rPr>
  </w:style>
  <w:style w:type="character" w:customStyle="1" w:styleId="776">
    <w:name w:val="普通文字 Char Char Char Char Char C Char Char Char Char Char Char"/>
    <w:qFormat/>
    <w:uiPriority w:val="0"/>
    <w:rPr>
      <w:rFonts w:ascii="宋体" w:hAnsi="Courier New" w:eastAsia="宋体"/>
      <w:kern w:val="2"/>
      <w:sz w:val="21"/>
      <w:szCs w:val="24"/>
      <w:lang w:val="en-US" w:eastAsia="zh-CN" w:bidi="ar-SA"/>
    </w:rPr>
  </w:style>
  <w:style w:type="character" w:customStyle="1" w:styleId="777">
    <w:name w:val="普通文字 Char4"/>
    <w:qFormat/>
    <w:uiPriority w:val="0"/>
    <w:rPr>
      <w:rFonts w:ascii="宋体" w:hAnsi="Courier New" w:eastAsia="宋体"/>
      <w:color w:val="000000"/>
      <w:kern w:val="2"/>
      <w:sz w:val="28"/>
      <w:lang w:val="en-US" w:eastAsia="zh-CN" w:bidi="ar-SA"/>
    </w:rPr>
  </w:style>
  <w:style w:type="character" w:customStyle="1" w:styleId="778">
    <w:name w:val="纯文本3 Char"/>
    <w:uiPriority w:val="0"/>
    <w:rPr>
      <w:rFonts w:ascii="宋体" w:hAnsi="Courier New" w:eastAsia="宋体"/>
      <w:color w:val="000000"/>
      <w:kern w:val="2"/>
      <w:sz w:val="28"/>
      <w:lang w:val="en-US" w:eastAsia="zh-CN" w:bidi="ar-SA"/>
    </w:rPr>
  </w:style>
  <w:style w:type="character" w:customStyle="1" w:styleId="779">
    <w:name w:val="样式 小四 首行缩进:  1.01 厘米 行距: 1.5 倍行距 Char Char"/>
    <w:qFormat/>
    <w:uiPriority w:val="0"/>
    <w:rPr>
      <w:rFonts w:eastAsia="宋体" w:cs="宋体"/>
      <w:sz w:val="24"/>
      <w:lang w:val="en-US" w:eastAsia="zh-CN" w:bidi="ar-SA"/>
    </w:rPr>
  </w:style>
  <w:style w:type="paragraph" w:customStyle="1" w:styleId="780">
    <w:name w:val="表文"/>
    <w:qFormat/>
    <w:uiPriority w:val="0"/>
    <w:pPr>
      <w:spacing w:line="500" w:lineRule="exact"/>
      <w:jc w:val="both"/>
    </w:pPr>
    <w:rPr>
      <w:rFonts w:ascii="Times New Roman" w:hAnsi="Times New Roman" w:eastAsia="楷体_GB2312" w:cs="Times New Roman"/>
      <w:sz w:val="28"/>
      <w:lang w:val="en-US" w:eastAsia="zh-CN" w:bidi="ar-SA"/>
    </w:rPr>
  </w:style>
  <w:style w:type="paragraph" w:customStyle="1" w:styleId="781">
    <w:name w:val="正文111"/>
    <w:basedOn w:val="8"/>
    <w:qFormat/>
    <w:uiPriority w:val="0"/>
    <w:pPr>
      <w:spacing w:afterLines="25" w:line="360" w:lineRule="auto"/>
      <w:ind w:firstLine="200"/>
    </w:pPr>
    <w:rPr>
      <w:szCs w:val="24"/>
    </w:rPr>
  </w:style>
  <w:style w:type="paragraph" w:customStyle="1" w:styleId="782">
    <w:name w:val="图表头"/>
    <w:basedOn w:val="1"/>
    <w:qFormat/>
    <w:uiPriority w:val="0"/>
    <w:pPr>
      <w:spacing w:beforeLines="50" w:afterLines="25"/>
      <w:jc w:val="center"/>
    </w:pPr>
    <w:rPr>
      <w:rFonts w:eastAsia="黑体"/>
      <w:color w:val="000000"/>
      <w:szCs w:val="21"/>
    </w:rPr>
  </w:style>
  <w:style w:type="character" w:customStyle="1" w:styleId="783">
    <w:name w:val="表内 Char"/>
    <w:qFormat/>
    <w:locked/>
    <w:uiPriority w:val="0"/>
    <w:rPr>
      <w:rFonts w:ascii="宋体" w:hAnsi="Courier New" w:eastAsia="宋体"/>
      <w:color w:val="000000"/>
      <w:kern w:val="2"/>
      <w:sz w:val="28"/>
      <w:lang w:val="en-US" w:eastAsia="zh-CN" w:bidi="ar-SA"/>
    </w:rPr>
  </w:style>
  <w:style w:type="paragraph" w:customStyle="1" w:styleId="78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785">
    <w:name w:val="表、图名"/>
    <w:basedOn w:val="1"/>
    <w:link w:val="1963"/>
    <w:autoRedefine/>
    <w:qFormat/>
    <w:uiPriority w:val="0"/>
    <w:pPr>
      <w:adjustRightInd w:val="0"/>
      <w:snapToGrid w:val="0"/>
      <w:spacing w:line="400" w:lineRule="exact"/>
      <w:ind w:left="-6" w:firstLine="482"/>
    </w:pPr>
    <w:rPr>
      <w:b/>
      <w:color w:val="000000"/>
    </w:rPr>
  </w:style>
  <w:style w:type="paragraph" w:customStyle="1" w:styleId="786">
    <w:name w:val="6 Char"/>
    <w:basedOn w:val="1"/>
    <w:qFormat/>
    <w:uiPriority w:val="0"/>
  </w:style>
  <w:style w:type="paragraph" w:customStyle="1" w:styleId="787">
    <w:name w:val="正文(首行缩进)"/>
    <w:basedOn w:val="1"/>
    <w:link w:val="788"/>
    <w:qFormat/>
    <w:uiPriority w:val="0"/>
    <w:pPr>
      <w:tabs>
        <w:tab w:val="left" w:pos="4584"/>
      </w:tabs>
      <w:adjustRightInd w:val="0"/>
      <w:snapToGrid w:val="0"/>
      <w:spacing w:line="360" w:lineRule="auto"/>
      <w:ind w:firstLine="200" w:firstLineChars="200"/>
    </w:pPr>
    <w:rPr>
      <w:bCs/>
      <w:snapToGrid w:val="0"/>
    </w:rPr>
  </w:style>
  <w:style w:type="character" w:customStyle="1" w:styleId="788">
    <w:name w:val="正文(首行缩进) Char"/>
    <w:link w:val="787"/>
    <w:qFormat/>
    <w:uiPriority w:val="0"/>
    <w:rPr>
      <w:bCs/>
      <w:snapToGrid w:val="0"/>
      <w:sz w:val="24"/>
      <w:szCs w:val="24"/>
    </w:rPr>
  </w:style>
  <w:style w:type="paragraph" w:customStyle="1" w:styleId="789">
    <w:name w:val="6 Char Char Char Char Char Char1 Char"/>
    <w:basedOn w:val="1"/>
    <w:qFormat/>
    <w:uiPriority w:val="0"/>
    <w:rPr>
      <w:szCs w:val="21"/>
    </w:rPr>
  </w:style>
  <w:style w:type="paragraph" w:customStyle="1" w:styleId="790">
    <w:name w:val="样式6"/>
    <w:basedOn w:val="1"/>
    <w:link w:val="1010"/>
    <w:qFormat/>
    <w:uiPriority w:val="0"/>
    <w:pPr>
      <w:ind w:firstLine="527" w:firstLineChars="197"/>
    </w:pPr>
    <w:rPr>
      <w:color w:val="FF0000"/>
    </w:rPr>
  </w:style>
  <w:style w:type="paragraph" w:customStyle="1" w:styleId="791">
    <w:name w:val="默认段落字体 Para Char Char Char Char Char"/>
    <w:basedOn w:val="1"/>
    <w:qFormat/>
    <w:uiPriority w:val="0"/>
  </w:style>
  <w:style w:type="paragraph" w:customStyle="1" w:styleId="792">
    <w:name w:val="Char Char Char Char Char Char Char Char Char Char Char Char Char Char Char Char Char Char Char Char Char Char"/>
    <w:basedOn w:val="1"/>
    <w:qFormat/>
    <w:uiPriority w:val="0"/>
    <w:pPr>
      <w:spacing w:line="240" w:lineRule="exact"/>
      <w:ind w:firstLine="200" w:firstLineChars="200"/>
    </w:pPr>
  </w:style>
  <w:style w:type="paragraph" w:customStyle="1" w:styleId="793">
    <w:name w:val="L正文"/>
    <w:basedOn w:val="1"/>
    <w:link w:val="935"/>
    <w:qFormat/>
    <w:uiPriority w:val="0"/>
    <w:pPr>
      <w:autoSpaceDE w:val="0"/>
      <w:autoSpaceDN w:val="0"/>
      <w:adjustRightInd w:val="0"/>
      <w:snapToGrid w:val="0"/>
      <w:spacing w:line="360" w:lineRule="auto"/>
      <w:ind w:firstLine="200" w:firstLineChars="200"/>
    </w:pPr>
    <w:rPr>
      <w:bCs/>
      <w:snapToGrid w:val="0"/>
      <w:sz w:val="26"/>
      <w:szCs w:val="26"/>
    </w:rPr>
  </w:style>
  <w:style w:type="character" w:customStyle="1" w:styleId="794">
    <w:name w:val="批注主题 Char2"/>
    <w:qFormat/>
    <w:uiPriority w:val="0"/>
    <w:rPr>
      <w:rFonts w:eastAsia="宋体"/>
      <w:kern w:val="2"/>
      <w:sz w:val="18"/>
      <w:szCs w:val="18"/>
      <w:lang w:val="en-US" w:eastAsia="zh-CN" w:bidi="ar-SA"/>
    </w:rPr>
  </w:style>
  <w:style w:type="paragraph" w:customStyle="1" w:styleId="795">
    <w:name w:val="热电厂正文"/>
    <w:basedOn w:val="1"/>
    <w:link w:val="796"/>
    <w:qFormat/>
    <w:uiPriority w:val="0"/>
    <w:pPr>
      <w:spacing w:line="440" w:lineRule="exact"/>
      <w:ind w:firstLine="480" w:firstLineChars="200"/>
    </w:pPr>
  </w:style>
  <w:style w:type="character" w:customStyle="1" w:styleId="796">
    <w:name w:val="热电厂正文 Char"/>
    <w:link w:val="795"/>
    <w:qFormat/>
    <w:uiPriority w:val="0"/>
    <w:rPr>
      <w:kern w:val="2"/>
      <w:sz w:val="24"/>
      <w:szCs w:val="24"/>
    </w:rPr>
  </w:style>
  <w:style w:type="paragraph" w:customStyle="1" w:styleId="797">
    <w:name w:val="报告正文"/>
    <w:basedOn w:val="1"/>
    <w:link w:val="798"/>
    <w:qFormat/>
    <w:uiPriority w:val="0"/>
    <w:pPr>
      <w:ind w:firstLine="538" w:firstLineChars="192"/>
    </w:pPr>
    <w:rPr>
      <w:rFonts w:eastAsia="仿宋_GB2312"/>
      <w:sz w:val="28"/>
    </w:rPr>
  </w:style>
  <w:style w:type="character" w:customStyle="1" w:styleId="798">
    <w:name w:val="报告正文 Char"/>
    <w:link w:val="797"/>
    <w:qFormat/>
    <w:uiPriority w:val="0"/>
    <w:rPr>
      <w:rFonts w:eastAsia="仿宋_GB2312"/>
      <w:kern w:val="2"/>
      <w:sz w:val="28"/>
      <w:szCs w:val="24"/>
    </w:rPr>
  </w:style>
  <w:style w:type="paragraph" w:customStyle="1" w:styleId="799">
    <w:name w:val="008"/>
    <w:basedOn w:val="1"/>
    <w:link w:val="800"/>
    <w:qFormat/>
    <w:uiPriority w:val="0"/>
    <w:pPr>
      <w:adjustRightInd w:val="0"/>
      <w:spacing w:line="360" w:lineRule="auto"/>
      <w:ind w:firstLine="560" w:firstLineChars="200"/>
    </w:pPr>
    <w:rPr>
      <w:sz w:val="28"/>
      <w:szCs w:val="20"/>
    </w:rPr>
  </w:style>
  <w:style w:type="character" w:customStyle="1" w:styleId="800">
    <w:name w:val="008 Char"/>
    <w:link w:val="799"/>
    <w:qFormat/>
    <w:uiPriority w:val="0"/>
    <w:rPr>
      <w:rFonts w:ascii="宋体" w:hAnsi="宋体"/>
      <w:kern w:val="2"/>
      <w:sz w:val="28"/>
    </w:rPr>
  </w:style>
  <w:style w:type="paragraph" w:customStyle="1" w:styleId="801">
    <w:name w:val="表题"/>
    <w:basedOn w:val="22"/>
    <w:link w:val="802"/>
    <w:qFormat/>
    <w:uiPriority w:val="0"/>
    <w:pPr>
      <w:tabs>
        <w:tab w:val="left" w:pos="720"/>
      </w:tabs>
      <w:spacing w:line="360" w:lineRule="auto"/>
      <w:jc w:val="center"/>
    </w:pPr>
    <w:rPr>
      <w:rFonts w:ascii="Times New Roman" w:hAnsi="Times New Roman" w:eastAsia="宋体"/>
      <w:b/>
      <w:bCs/>
      <w:sz w:val="21"/>
      <w:szCs w:val="21"/>
    </w:rPr>
  </w:style>
  <w:style w:type="character" w:customStyle="1" w:styleId="802">
    <w:name w:val="表题 Char"/>
    <w:link w:val="801"/>
    <w:qFormat/>
    <w:uiPriority w:val="0"/>
    <w:rPr>
      <w:b/>
      <w:bCs/>
      <w:kern w:val="2"/>
      <w:sz w:val="21"/>
      <w:szCs w:val="21"/>
    </w:rPr>
  </w:style>
  <w:style w:type="paragraph" w:customStyle="1" w:styleId="803">
    <w:name w:val="xl23"/>
    <w:basedOn w:val="1"/>
    <w:qFormat/>
    <w:uiPriority w:val="0"/>
    <w:pPr>
      <w:spacing w:before="100" w:beforeAutospacing="1" w:after="100" w:afterAutospacing="1"/>
      <w:jc w:val="center"/>
    </w:pPr>
  </w:style>
  <w:style w:type="character" w:customStyle="1" w:styleId="804">
    <w:name w:val="正文样式 Char"/>
    <w:uiPriority w:val="0"/>
    <w:rPr>
      <w:rFonts w:ascii="宋体" w:hAnsi="宋体" w:eastAsia="宋体" w:cs="宋体"/>
      <w:kern w:val="2"/>
      <w:sz w:val="24"/>
      <w:szCs w:val="24"/>
      <w:lang w:val="en-US" w:eastAsia="zh-CN" w:bidi="ar-SA"/>
    </w:rPr>
  </w:style>
  <w:style w:type="paragraph" w:customStyle="1" w:styleId="805">
    <w:name w:val="报告文字"/>
    <w:basedOn w:val="1"/>
    <w:link w:val="861"/>
    <w:qFormat/>
    <w:uiPriority w:val="0"/>
    <w:pPr>
      <w:adjustRightInd w:val="0"/>
      <w:snapToGrid w:val="0"/>
      <w:spacing w:line="360" w:lineRule="auto"/>
      <w:ind w:firstLine="560" w:firstLineChars="200"/>
      <w:outlineLvl w:val="2"/>
    </w:pPr>
    <w:rPr>
      <w:rFonts w:ascii="仿宋_GB2312" w:eastAsia="仿宋_GB2312"/>
      <w:bCs/>
      <w:snapToGrid w:val="0"/>
      <w:sz w:val="28"/>
    </w:rPr>
  </w:style>
  <w:style w:type="paragraph" w:customStyle="1" w:styleId="806">
    <w:name w:val="12 Char Char Char Char"/>
    <w:basedOn w:val="1"/>
    <w:qFormat/>
    <w:uiPriority w:val="0"/>
    <w:pPr>
      <w:spacing w:line="360" w:lineRule="auto"/>
      <w:ind w:firstLine="200" w:firstLineChars="200"/>
    </w:pPr>
    <w:rPr>
      <w:position w:val="-6"/>
      <w:sz w:val="28"/>
      <w:szCs w:val="20"/>
      <w:u w:val="single"/>
    </w:rPr>
  </w:style>
  <w:style w:type="character" w:customStyle="1" w:styleId="807">
    <w:name w:val="表格右"/>
    <w:qFormat/>
    <w:uiPriority w:val="0"/>
    <w:rPr>
      <w:rFonts w:ascii="宋体" w:hAnsi="宋体" w:eastAsia="宋体"/>
      <w:color w:val="000080"/>
      <w:kern w:val="2"/>
      <w:sz w:val="18"/>
      <w:szCs w:val="24"/>
      <w:lang w:val="en-US" w:eastAsia="zh-CN"/>
    </w:rPr>
  </w:style>
  <w:style w:type="paragraph" w:customStyle="1" w:styleId="808">
    <w:name w:val="icsp_text"/>
    <w:basedOn w:val="1"/>
    <w:autoRedefine/>
    <w:qFormat/>
    <w:uiPriority w:val="0"/>
    <w:pPr>
      <w:adjustRightInd w:val="0"/>
      <w:snapToGrid w:val="0"/>
      <w:spacing w:line="480" w:lineRule="exact"/>
      <w:ind w:firstLine="540" w:firstLineChars="225"/>
    </w:pPr>
    <w:rPr>
      <w:rFonts w:cs="Arial Unicode MS"/>
    </w:rPr>
  </w:style>
  <w:style w:type="paragraph" w:customStyle="1" w:styleId="809">
    <w:name w:val="L表格文字"/>
    <w:basedOn w:val="1"/>
    <w:qFormat/>
    <w:uiPriority w:val="0"/>
    <w:pPr>
      <w:adjustRightInd w:val="0"/>
      <w:snapToGrid w:val="0"/>
      <w:jc w:val="center"/>
    </w:pPr>
    <w:rPr>
      <w:snapToGrid w:val="0"/>
      <w:sz w:val="26"/>
      <w:szCs w:val="26"/>
    </w:rPr>
  </w:style>
  <w:style w:type="paragraph" w:customStyle="1" w:styleId="810">
    <w:name w:val="6 Char Char Char Char Char Char Char Char Char Char Char Char Char"/>
    <w:basedOn w:val="1"/>
    <w:qFormat/>
    <w:uiPriority w:val="0"/>
  </w:style>
  <w:style w:type="paragraph" w:customStyle="1" w:styleId="811">
    <w:name w:val="Char Char Char Char Char Char Char Char Char1 Char Char Char Char"/>
    <w:basedOn w:val="1"/>
    <w:semiHidden/>
    <w:qFormat/>
    <w:uiPriority w:val="0"/>
    <w:pPr>
      <w:spacing w:line="360" w:lineRule="auto"/>
      <w:ind w:firstLine="200" w:firstLineChars="200"/>
    </w:pPr>
    <w:rPr>
      <w:szCs w:val="26"/>
    </w:rPr>
  </w:style>
  <w:style w:type="paragraph" w:customStyle="1" w:styleId="812">
    <w:name w:val="Char Char Char1 Char Char Char Char Char Char Char Char Char Char Char Char1 Char Char Char Char Char Char Char Char Char Char"/>
    <w:basedOn w:val="1"/>
    <w:qFormat/>
    <w:uiPriority w:val="0"/>
  </w:style>
  <w:style w:type="paragraph" w:customStyle="1" w:styleId="813">
    <w:name w:val="表格内正文"/>
    <w:autoRedefine/>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814">
    <w:name w:val="样式8"/>
    <w:basedOn w:val="1"/>
    <w:link w:val="998"/>
    <w:qFormat/>
    <w:uiPriority w:val="0"/>
    <w:pPr>
      <w:ind w:firstLine="499"/>
    </w:pPr>
    <w:rPr>
      <w:szCs w:val="20"/>
    </w:rPr>
  </w:style>
  <w:style w:type="paragraph" w:customStyle="1" w:styleId="815">
    <w:name w:val="样式 左侧:  -0.23 厘米 首行缩进:  2 字符"/>
    <w:basedOn w:val="1"/>
    <w:qFormat/>
    <w:uiPriority w:val="0"/>
    <w:pPr>
      <w:adjustRightInd w:val="0"/>
      <w:snapToGrid w:val="0"/>
      <w:spacing w:line="360" w:lineRule="auto"/>
      <w:ind w:firstLine="200" w:firstLineChars="200"/>
    </w:pPr>
    <w:rPr>
      <w:snapToGrid w:val="0"/>
      <w:sz w:val="28"/>
      <w:szCs w:val="28"/>
    </w:rPr>
  </w:style>
  <w:style w:type="paragraph" w:customStyle="1" w:styleId="816">
    <w:name w:val="Char Char Char Char1 Char Char Char"/>
    <w:basedOn w:val="1"/>
    <w:qFormat/>
    <w:uiPriority w:val="0"/>
    <w:rPr>
      <w:szCs w:val="20"/>
    </w:rPr>
  </w:style>
  <w:style w:type="character" w:customStyle="1" w:styleId="817">
    <w:name w:val="正文(首行缩进) Char1"/>
    <w:qFormat/>
    <w:uiPriority w:val="0"/>
    <w:rPr>
      <w:rFonts w:ascii="宋体" w:hAnsi="宋体" w:eastAsia="宋体" w:cs="宋体"/>
      <w:snapToGrid w:val="0"/>
      <w:spacing w:val="2"/>
      <w:kern w:val="2"/>
      <w:sz w:val="24"/>
      <w:szCs w:val="21"/>
      <w:lang w:val="en-US" w:eastAsia="zh-CN" w:bidi="ar-SA"/>
    </w:rPr>
  </w:style>
  <w:style w:type="character" w:customStyle="1" w:styleId="818">
    <w:name w:val="样式2 Char"/>
    <w:link w:val="480"/>
    <w:qFormat/>
    <w:uiPriority w:val="0"/>
    <w:rPr>
      <w:rFonts w:eastAsia="仿宋_GB2312"/>
      <w:b/>
      <w:kern w:val="2"/>
      <w:sz w:val="28"/>
      <w:szCs w:val="24"/>
    </w:rPr>
  </w:style>
  <w:style w:type="paragraph" w:customStyle="1" w:styleId="819">
    <w:name w:val="12 Char Char Char Char Char Char Char"/>
    <w:basedOn w:val="1"/>
    <w:qFormat/>
    <w:uiPriority w:val="0"/>
    <w:pPr>
      <w:spacing w:line="360" w:lineRule="auto"/>
      <w:ind w:firstLine="200" w:firstLineChars="200"/>
    </w:pPr>
    <w:rPr>
      <w:position w:val="-6"/>
      <w:sz w:val="28"/>
      <w:szCs w:val="20"/>
      <w:u w:val="single"/>
    </w:rPr>
  </w:style>
  <w:style w:type="paragraph" w:customStyle="1" w:styleId="820">
    <w:name w:val="gchh"/>
    <w:autoRedefine/>
    <w:qFormat/>
    <w:uiPriority w:val="0"/>
    <w:pPr>
      <w:widowControl w:val="0"/>
      <w:tabs>
        <w:tab w:val="left" w:pos="567"/>
      </w:tabs>
      <w:adjustRightInd w:val="0"/>
      <w:snapToGrid w:val="0"/>
      <w:spacing w:line="400" w:lineRule="atLeast"/>
      <w:jc w:val="both"/>
    </w:pPr>
    <w:rPr>
      <w:rFonts w:hint="eastAsia" w:ascii="宋体" w:hAnsi="Times New Roman" w:eastAsia="宋体" w:cs="Times New Roman"/>
      <w:color w:val="000000"/>
      <w:kern w:val="2"/>
      <w:sz w:val="24"/>
      <w:lang w:val="en-US" w:eastAsia="zh-CN" w:bidi="ar-SA"/>
    </w:rPr>
  </w:style>
  <w:style w:type="character" w:customStyle="1" w:styleId="821">
    <w:name w:val="black_141"/>
    <w:uiPriority w:val="0"/>
    <w:rPr>
      <w:color w:val="000000"/>
      <w:spacing w:val="480"/>
      <w:sz w:val="28"/>
      <w:szCs w:val="28"/>
    </w:rPr>
  </w:style>
  <w:style w:type="character" w:customStyle="1" w:styleId="822">
    <w:name w:val="b14241"/>
    <w:uiPriority w:val="0"/>
    <w:rPr>
      <w:color w:val="222222"/>
      <w:sz w:val="28"/>
      <w:szCs w:val="28"/>
      <w:u w:val="none"/>
    </w:rPr>
  </w:style>
  <w:style w:type="paragraph" w:customStyle="1" w:styleId="823">
    <w:name w:val="正文0"/>
    <w:basedOn w:val="1"/>
    <w:next w:val="1"/>
    <w:qFormat/>
    <w:uiPriority w:val="0"/>
    <w:pPr>
      <w:spacing w:line="360" w:lineRule="auto"/>
      <w:ind w:firstLine="200" w:firstLineChars="200"/>
    </w:pPr>
  </w:style>
  <w:style w:type="character" w:customStyle="1" w:styleId="824">
    <w:name w:val="正文0 Char Char"/>
    <w:uiPriority w:val="0"/>
    <w:rPr>
      <w:rFonts w:eastAsia="宋体"/>
      <w:kern w:val="2"/>
      <w:sz w:val="24"/>
      <w:szCs w:val="24"/>
      <w:lang w:val="en-US" w:eastAsia="zh-CN" w:bidi="ar-SA"/>
    </w:rPr>
  </w:style>
  <w:style w:type="paragraph" w:customStyle="1" w:styleId="825">
    <w:name w:val="正文样板"/>
    <w:basedOn w:val="1"/>
    <w:link w:val="826"/>
    <w:autoRedefine/>
    <w:qFormat/>
    <w:uiPriority w:val="0"/>
    <w:pPr>
      <w:adjustRightInd w:val="0"/>
      <w:snapToGrid w:val="0"/>
      <w:spacing w:line="326" w:lineRule="auto"/>
      <w:ind w:firstLine="578" w:firstLineChars="198"/>
    </w:pPr>
    <w:rPr>
      <w:snapToGrid w:val="0"/>
      <w:color w:val="000000"/>
      <w:spacing w:val="6"/>
      <w:sz w:val="28"/>
      <w:szCs w:val="28"/>
    </w:rPr>
  </w:style>
  <w:style w:type="character" w:customStyle="1" w:styleId="826">
    <w:name w:val="正文样板 Char"/>
    <w:link w:val="825"/>
    <w:uiPriority w:val="0"/>
    <w:rPr>
      <w:snapToGrid w:val="0"/>
      <w:color w:val="000000"/>
      <w:spacing w:val="6"/>
      <w:sz w:val="28"/>
      <w:szCs w:val="28"/>
    </w:rPr>
  </w:style>
  <w:style w:type="paragraph" w:customStyle="1" w:styleId="827">
    <w:name w:val="Char Char Char3"/>
    <w:basedOn w:val="1"/>
    <w:qFormat/>
    <w:uiPriority w:val="0"/>
  </w:style>
  <w:style w:type="paragraph" w:customStyle="1" w:styleId="828">
    <w:name w:val="标题三"/>
    <w:basedOn w:val="1"/>
    <w:autoRedefine/>
    <w:qFormat/>
    <w:uiPriority w:val="0"/>
    <w:pPr>
      <w:outlineLvl w:val="0"/>
    </w:pPr>
    <w:rPr>
      <w:rFonts w:eastAsia="黑体"/>
      <w:snapToGrid w:val="0"/>
      <w:color w:val="000000"/>
      <w:sz w:val="30"/>
      <w:szCs w:val="32"/>
    </w:rPr>
  </w:style>
  <w:style w:type="paragraph" w:customStyle="1" w:styleId="829">
    <w:name w:val="Char Char Char1 Char Char Char"/>
    <w:basedOn w:val="1"/>
    <w:qFormat/>
    <w:uiPriority w:val="0"/>
  </w:style>
  <w:style w:type="paragraph" w:customStyle="1" w:styleId="830">
    <w:name w:val="Char 正文"/>
    <w:basedOn w:val="2"/>
    <w:qFormat/>
    <w:uiPriority w:val="0"/>
    <w:pPr>
      <w:snapToGrid w:val="0"/>
      <w:spacing w:beforeLines="0" w:afterLines="0" w:line="348" w:lineRule="auto"/>
    </w:pPr>
    <w:rPr>
      <w:rFonts w:ascii="Tahoma" w:hAnsi="Tahoma"/>
      <w:bCs w:val="0"/>
      <w:sz w:val="24"/>
      <w:szCs w:val="20"/>
    </w:rPr>
  </w:style>
  <w:style w:type="paragraph" w:customStyle="1" w:styleId="831">
    <w:name w:val="样式 标题 2节标题 1.11.1标题2h2l22nd levelTitre2Header 2H2UNDERR..."/>
    <w:basedOn w:val="3"/>
    <w:qFormat/>
    <w:uiPriority w:val="0"/>
    <w:pPr>
      <w:keepNext w:val="0"/>
      <w:keepLines w:val="0"/>
      <w:tabs>
        <w:tab w:val="left" w:pos="0"/>
      </w:tabs>
      <w:adjustRightInd w:val="0"/>
      <w:snapToGrid w:val="0"/>
      <w:spacing w:beforeLines="0" w:afterLines="0" w:line="440" w:lineRule="atLeast"/>
    </w:pPr>
    <w:rPr>
      <w:rFonts w:hint="eastAsia" w:ascii="黑体" w:eastAsia="黑体"/>
      <w:b w:val="0"/>
      <w:bCs w:val="0"/>
      <w:snapToGrid w:val="0"/>
      <w:sz w:val="24"/>
      <w:szCs w:val="20"/>
    </w:rPr>
  </w:style>
  <w:style w:type="paragraph" w:customStyle="1" w:styleId="832">
    <w:name w:val="12 Char"/>
    <w:basedOn w:val="1"/>
    <w:qFormat/>
    <w:uiPriority w:val="0"/>
    <w:pPr>
      <w:spacing w:line="360" w:lineRule="auto"/>
      <w:ind w:firstLine="200" w:firstLineChars="200"/>
    </w:pPr>
    <w:rPr>
      <w:position w:val="-6"/>
      <w:sz w:val="28"/>
      <w:szCs w:val="20"/>
      <w:u w:val="single"/>
    </w:rPr>
  </w:style>
  <w:style w:type="character" w:customStyle="1" w:styleId="833">
    <w:name w:val="样式 正文A + (中文) PMingLiU Char Char"/>
    <w:uiPriority w:val="0"/>
    <w:rPr>
      <w:rFonts w:eastAsia="宋体"/>
      <w:kern w:val="2"/>
      <w:sz w:val="24"/>
      <w:lang w:val="en-US" w:eastAsia="zh-CN"/>
    </w:rPr>
  </w:style>
  <w:style w:type="character" w:customStyle="1" w:styleId="834">
    <w:name w:val="纯文本 Char Char Char Char"/>
    <w:uiPriority w:val="0"/>
    <w:rPr>
      <w:rFonts w:ascii="宋体" w:hAnsi="Courier New" w:eastAsia="宋体"/>
      <w:kern w:val="2"/>
      <w:sz w:val="21"/>
      <w:lang w:val="en-US" w:eastAsia="zh-CN"/>
    </w:rPr>
  </w:style>
  <w:style w:type="paragraph" w:customStyle="1" w:styleId="835">
    <w:name w:val="Definition Term"/>
    <w:basedOn w:val="1"/>
    <w:next w:val="836"/>
    <w:qFormat/>
    <w:uiPriority w:val="0"/>
    <w:pPr>
      <w:autoSpaceDE w:val="0"/>
      <w:autoSpaceDN w:val="0"/>
      <w:adjustRightInd w:val="0"/>
    </w:pPr>
    <w:rPr>
      <w:szCs w:val="20"/>
    </w:rPr>
  </w:style>
  <w:style w:type="paragraph" w:customStyle="1" w:styleId="836">
    <w:name w:val="Definition List"/>
    <w:basedOn w:val="1"/>
    <w:next w:val="835"/>
    <w:qFormat/>
    <w:uiPriority w:val="0"/>
    <w:pPr>
      <w:autoSpaceDE w:val="0"/>
      <w:autoSpaceDN w:val="0"/>
      <w:adjustRightInd w:val="0"/>
      <w:ind w:left="360"/>
    </w:pPr>
    <w:rPr>
      <w:szCs w:val="20"/>
    </w:rPr>
  </w:style>
  <w:style w:type="paragraph" w:customStyle="1" w:styleId="837">
    <w:name w:val="节正文"/>
    <w:basedOn w:val="1"/>
    <w:qFormat/>
    <w:uiPriority w:val="0"/>
    <w:pPr>
      <w:spacing w:beforeLines="20" w:afterLines="20" w:line="360" w:lineRule="auto"/>
      <w:ind w:left="100" w:leftChars="100" w:firstLine="200" w:firstLineChars="200"/>
    </w:pPr>
    <w:rPr>
      <w:szCs w:val="20"/>
    </w:rPr>
  </w:style>
  <w:style w:type="paragraph" w:customStyle="1" w:styleId="838">
    <w:name w:val="样式 样式 正文缩进s4 + 首行缩进:  2 字符 + 首行缩进:  2 字符"/>
    <w:basedOn w:val="1"/>
    <w:qFormat/>
    <w:uiPriority w:val="0"/>
    <w:pPr>
      <w:adjustRightInd w:val="0"/>
      <w:snapToGrid w:val="0"/>
      <w:spacing w:line="336" w:lineRule="auto"/>
      <w:ind w:firstLine="545" w:firstLineChars="227"/>
    </w:pPr>
    <w:rPr>
      <w:color w:val="000000"/>
      <w:sz w:val="28"/>
      <w:szCs w:val="20"/>
    </w:rPr>
  </w:style>
  <w:style w:type="paragraph" w:customStyle="1" w:styleId="839">
    <w:name w:val="Char Char Char1 Char Char Char Char Char Char Char"/>
    <w:basedOn w:val="1"/>
    <w:qFormat/>
    <w:uiPriority w:val="0"/>
    <w:rPr>
      <w:szCs w:val="20"/>
    </w:rPr>
  </w:style>
  <w:style w:type="paragraph" w:customStyle="1" w:styleId="840">
    <w:name w:val="表内式样"/>
    <w:qFormat/>
    <w:uiPriority w:val="0"/>
    <w:pPr>
      <w:keepLines/>
      <w:widowControl w:val="0"/>
      <w:kinsoku w:val="0"/>
      <w:overflowPunct w:val="0"/>
      <w:adjustRightInd w:val="0"/>
      <w:jc w:val="center"/>
    </w:pPr>
    <w:rPr>
      <w:rFonts w:ascii="宋体" w:hAnsi="Times New Roman" w:eastAsia="宋体" w:cs="Times New Roman"/>
      <w:sz w:val="21"/>
      <w:lang w:val="en-US" w:eastAsia="zh-CN" w:bidi="ar-SA"/>
    </w:rPr>
  </w:style>
  <w:style w:type="paragraph" w:customStyle="1" w:styleId="841">
    <w:name w:val="分目录1"/>
    <w:basedOn w:val="1"/>
    <w:link w:val="945"/>
    <w:qFormat/>
    <w:uiPriority w:val="0"/>
    <w:pPr>
      <w:tabs>
        <w:tab w:val="right" w:leader="dot" w:pos="8304"/>
      </w:tabs>
      <w:adjustRightInd w:val="0"/>
      <w:snapToGrid w:val="0"/>
      <w:spacing w:line="360" w:lineRule="auto"/>
    </w:pPr>
    <w:rPr>
      <w:snapToGrid w:val="0"/>
      <w:sz w:val="28"/>
      <w:szCs w:val="20"/>
    </w:rPr>
  </w:style>
  <w:style w:type="paragraph" w:customStyle="1" w:styleId="842">
    <w:name w:val="样式 首行缩进:  8 字符"/>
    <w:basedOn w:val="1"/>
    <w:next w:val="1"/>
    <w:qFormat/>
    <w:uiPriority w:val="0"/>
    <w:pPr>
      <w:ind w:firstLine="800" w:firstLineChars="800"/>
    </w:pPr>
    <w:rPr>
      <w:b/>
      <w:szCs w:val="20"/>
    </w:rPr>
  </w:style>
  <w:style w:type="paragraph" w:customStyle="1" w:styleId="843">
    <w:name w:val="6 Char Char Char Char Char Char1 Char Char Char Char Char Char Char"/>
    <w:basedOn w:val="1"/>
    <w:qFormat/>
    <w:uiPriority w:val="0"/>
    <w:rPr>
      <w:szCs w:val="20"/>
    </w:rPr>
  </w:style>
  <w:style w:type="paragraph" w:customStyle="1" w:styleId="844">
    <w:name w:val="0"/>
    <w:basedOn w:val="1"/>
    <w:link w:val="2005"/>
    <w:qFormat/>
    <w:uiPriority w:val="0"/>
    <w:pPr>
      <w:spacing w:line="425" w:lineRule="atLeast"/>
      <w:textAlignment w:val="baseline"/>
    </w:pPr>
    <w:rPr>
      <w:color w:val="000000"/>
      <w:szCs w:val="20"/>
    </w:rPr>
  </w:style>
  <w:style w:type="paragraph" w:customStyle="1" w:styleId="845">
    <w:name w:val="样式 标题 4 + 首行缩进:  2 字符"/>
    <w:basedOn w:val="5"/>
    <w:autoRedefine/>
    <w:qFormat/>
    <w:uiPriority w:val="0"/>
    <w:pPr>
      <w:keepNext w:val="0"/>
      <w:widowControl w:val="0"/>
      <w:overflowPunct/>
      <w:topLinePunct/>
      <w:autoSpaceDE/>
      <w:autoSpaceDN/>
      <w:snapToGrid w:val="0"/>
      <w:spacing w:before="163" w:afterLines="0" w:line="460" w:lineRule="exact"/>
      <w:textAlignment w:val="auto"/>
    </w:pPr>
    <w:rPr>
      <w:rFonts w:eastAsia="黑体"/>
      <w:bCs/>
      <w:i w:val="0"/>
      <w:kern w:val="2"/>
      <w:sz w:val="26"/>
      <w:szCs w:val="20"/>
    </w:rPr>
  </w:style>
  <w:style w:type="paragraph" w:customStyle="1" w:styleId="846">
    <w:name w:val="Char Char Char Char Char2"/>
    <w:basedOn w:val="1"/>
    <w:qFormat/>
    <w:uiPriority w:val="0"/>
  </w:style>
  <w:style w:type="paragraph" w:customStyle="1" w:styleId="847">
    <w:name w:val="样式 四号 首行缩进:  1 厘米 行距: 1.5 倍行距"/>
    <w:basedOn w:val="1"/>
    <w:qFormat/>
    <w:uiPriority w:val="0"/>
    <w:pPr>
      <w:spacing w:line="360" w:lineRule="auto"/>
      <w:ind w:firstLine="200" w:firstLineChars="200"/>
    </w:pPr>
    <w:rPr>
      <w:sz w:val="28"/>
      <w:szCs w:val="20"/>
    </w:rPr>
  </w:style>
  <w:style w:type="paragraph" w:customStyle="1" w:styleId="848">
    <w:name w:val="表头111"/>
    <w:basedOn w:val="479"/>
    <w:qFormat/>
    <w:uiPriority w:val="0"/>
    <w:pPr>
      <w:spacing w:line="500" w:lineRule="exact"/>
      <w:ind w:firstLine="420" w:firstLineChars="200"/>
    </w:pPr>
    <w:rPr>
      <w:color w:val="000000"/>
      <w:sz w:val="21"/>
    </w:rPr>
  </w:style>
  <w:style w:type="paragraph" w:customStyle="1" w:styleId="849">
    <w:name w:val="格格"/>
    <w:basedOn w:val="479"/>
    <w:qFormat/>
    <w:uiPriority w:val="0"/>
    <w:pPr>
      <w:snapToGrid w:val="0"/>
      <w:spacing w:line="280" w:lineRule="exact"/>
      <w:ind w:left="-50" w:leftChars="-50" w:right="-50" w:rightChars="-50" w:firstLine="0" w:firstLineChars="0"/>
      <w:jc w:val="center"/>
    </w:pPr>
    <w:rPr>
      <w:color w:val="000000"/>
      <w:sz w:val="21"/>
      <w:szCs w:val="21"/>
    </w:rPr>
  </w:style>
  <w:style w:type="paragraph" w:customStyle="1" w:styleId="850">
    <w:name w:val="插图1"/>
    <w:basedOn w:val="1"/>
    <w:qFormat/>
    <w:uiPriority w:val="0"/>
    <w:pPr>
      <w:jc w:val="center"/>
    </w:pPr>
    <w:rPr>
      <w:sz w:val="32"/>
    </w:rPr>
  </w:style>
  <w:style w:type="paragraph" w:customStyle="1" w:styleId="851">
    <w:name w:val="样式 标题3 + 小四 加粗 黑色 左侧:  1.8 字符"/>
    <w:basedOn w:val="476"/>
    <w:autoRedefine/>
    <w:qFormat/>
    <w:uiPriority w:val="0"/>
    <w:pPr>
      <w:snapToGrid/>
      <w:spacing w:line="480" w:lineRule="exact"/>
      <w:ind w:left="504" w:leftChars="180" w:firstLine="0"/>
      <w:outlineLvl w:val="9"/>
    </w:pPr>
    <w:rPr>
      <w:rFonts w:eastAsia="黑体"/>
      <w:b w:val="0"/>
      <w:bCs/>
      <w:snapToGrid w:val="0"/>
      <w:color w:val="000000"/>
      <w:sz w:val="30"/>
    </w:rPr>
  </w:style>
  <w:style w:type="paragraph" w:customStyle="1" w:styleId="852">
    <w:name w:val="表下注："/>
    <w:basedOn w:val="1"/>
    <w:qFormat/>
    <w:uiPriority w:val="0"/>
    <w:pPr>
      <w:keepNext/>
      <w:adjustRightInd w:val="0"/>
      <w:snapToGrid w:val="0"/>
      <w:spacing w:line="360" w:lineRule="auto"/>
    </w:pPr>
  </w:style>
  <w:style w:type="character" w:customStyle="1" w:styleId="853">
    <w:name w:val="19号令"/>
    <w:basedOn w:val="132"/>
    <w:uiPriority w:val="0"/>
  </w:style>
  <w:style w:type="paragraph" w:customStyle="1" w:styleId="854">
    <w:name w:val="审签页 审签字"/>
    <w:basedOn w:val="1"/>
    <w:qFormat/>
    <w:uiPriority w:val="0"/>
    <w:pPr>
      <w:adjustRightInd w:val="0"/>
      <w:snapToGrid w:val="0"/>
      <w:spacing w:beforeLines="100" w:line="360" w:lineRule="auto"/>
      <w:ind w:left="3080" w:leftChars="1100"/>
    </w:pPr>
    <w:rPr>
      <w:rFonts w:eastAsia="楷体_GB2312"/>
      <w:sz w:val="30"/>
      <w:szCs w:val="20"/>
    </w:rPr>
  </w:style>
  <w:style w:type="paragraph" w:customStyle="1" w:styleId="855">
    <w:name w:val="标题样式1"/>
    <w:basedOn w:val="6"/>
    <w:qFormat/>
    <w:uiPriority w:val="0"/>
    <w:pPr>
      <w:widowControl w:val="0"/>
      <w:adjustRightInd w:val="0"/>
      <w:spacing w:line="360" w:lineRule="auto"/>
      <w:ind w:firstLine="539"/>
      <w:jc w:val="both"/>
      <w:textAlignment w:val="baseline"/>
    </w:pPr>
    <w:rPr>
      <w:szCs w:val="20"/>
    </w:rPr>
  </w:style>
  <w:style w:type="paragraph" w:customStyle="1" w:styleId="856">
    <w:name w:val="正文样式3"/>
    <w:basedOn w:val="1"/>
    <w:qFormat/>
    <w:uiPriority w:val="0"/>
    <w:pPr>
      <w:keepLines/>
      <w:adjustRightInd w:val="0"/>
      <w:spacing w:line="20" w:lineRule="atLeast"/>
      <w:jc w:val="center"/>
      <w:textAlignment w:val="baseline"/>
    </w:pPr>
    <w:rPr>
      <w:szCs w:val="20"/>
    </w:rPr>
  </w:style>
  <w:style w:type="paragraph" w:customStyle="1" w:styleId="857">
    <w:name w:val="正文样式2"/>
    <w:basedOn w:val="1"/>
    <w:qFormat/>
    <w:uiPriority w:val="0"/>
    <w:pPr>
      <w:adjustRightInd w:val="0"/>
      <w:snapToGrid w:val="0"/>
      <w:spacing w:line="360" w:lineRule="auto"/>
      <w:ind w:firstLine="510"/>
      <w:textAlignment w:val="baseline"/>
    </w:pPr>
    <w:rPr>
      <w:kern w:val="24"/>
      <w:szCs w:val="20"/>
    </w:rPr>
  </w:style>
  <w:style w:type="paragraph" w:customStyle="1" w:styleId="858">
    <w:name w:val="报告一"/>
    <w:basedOn w:val="1"/>
    <w:next w:val="1"/>
    <w:qFormat/>
    <w:uiPriority w:val="0"/>
    <w:pPr>
      <w:spacing w:line="360" w:lineRule="auto"/>
      <w:ind w:firstLine="539" w:firstLineChars="198"/>
      <w:outlineLvl w:val="3"/>
    </w:pPr>
    <w:rPr>
      <w:rFonts w:ascii="仿宋_GB2312" w:eastAsia="仿宋_GB2312"/>
      <w:spacing w:val="-4"/>
      <w:sz w:val="28"/>
      <w:szCs w:val="20"/>
    </w:rPr>
  </w:style>
  <w:style w:type="paragraph" w:customStyle="1" w:styleId="859">
    <w:name w:val="样式 小四 加粗 左侧:  0.85 厘米 行距: 1.5 倍行距"/>
    <w:basedOn w:val="1"/>
    <w:qFormat/>
    <w:uiPriority w:val="0"/>
    <w:pPr>
      <w:adjustRightInd w:val="0"/>
      <w:snapToGrid w:val="0"/>
      <w:spacing w:line="360" w:lineRule="auto"/>
      <w:ind w:firstLine="200" w:firstLineChars="200"/>
    </w:pPr>
    <w:rPr>
      <w:b/>
      <w:szCs w:val="20"/>
    </w:rPr>
  </w:style>
  <w:style w:type="paragraph" w:customStyle="1" w:styleId="860">
    <w:name w:val="Char Char Char Char Char Char Char Char Char1 Char Char Char Char1"/>
    <w:basedOn w:val="1"/>
    <w:semiHidden/>
    <w:qFormat/>
    <w:uiPriority w:val="0"/>
    <w:pPr>
      <w:spacing w:line="360" w:lineRule="auto"/>
      <w:ind w:firstLine="200" w:firstLineChars="200"/>
    </w:pPr>
    <w:rPr>
      <w:szCs w:val="26"/>
    </w:rPr>
  </w:style>
  <w:style w:type="character" w:customStyle="1" w:styleId="861">
    <w:name w:val="报告文字 Char2"/>
    <w:link w:val="805"/>
    <w:uiPriority w:val="0"/>
    <w:rPr>
      <w:rFonts w:ascii="仿宋_GB2312" w:eastAsia="仿宋_GB2312"/>
      <w:bCs/>
      <w:snapToGrid w:val="0"/>
      <w:kern w:val="2"/>
      <w:sz w:val="28"/>
      <w:szCs w:val="24"/>
    </w:rPr>
  </w:style>
  <w:style w:type="character" w:customStyle="1" w:styleId="862">
    <w:name w:val="text08"/>
    <w:basedOn w:val="132"/>
    <w:uiPriority w:val="0"/>
  </w:style>
  <w:style w:type="character" w:customStyle="1" w:styleId="863">
    <w:name w:val="r1"/>
    <w:uiPriority w:val="0"/>
    <w:rPr>
      <w:spacing w:val="300"/>
      <w:sz w:val="20"/>
      <w:szCs w:val="20"/>
    </w:rPr>
  </w:style>
  <w:style w:type="character" w:customStyle="1" w:styleId="864">
    <w:name w:val="正文(首行缩进) Char Char"/>
    <w:uiPriority w:val="0"/>
    <w:rPr>
      <w:rFonts w:eastAsia="宋体"/>
      <w:bCs/>
      <w:snapToGrid w:val="0"/>
      <w:sz w:val="24"/>
      <w:szCs w:val="24"/>
      <w:lang w:val="en-US" w:eastAsia="zh-CN" w:bidi="ar-SA"/>
    </w:rPr>
  </w:style>
  <w:style w:type="character" w:customStyle="1" w:styleId="865">
    <w:name w:val="Char5 Char Char"/>
    <w:uiPriority w:val="0"/>
    <w:rPr>
      <w:kern w:val="2"/>
      <w:sz w:val="28"/>
      <w:lang w:bidi="ar-SA"/>
    </w:rPr>
  </w:style>
  <w:style w:type="character" w:customStyle="1" w:styleId="866">
    <w:name w:val="样式 小四 首行缩进:  1.01 厘米 行距: 1.5 倍行距 Char Char Char"/>
    <w:uiPriority w:val="0"/>
    <w:rPr>
      <w:rFonts w:eastAsia="宋体" w:cs="宋体"/>
      <w:sz w:val="24"/>
      <w:lang w:val="en-US" w:eastAsia="zh-CN" w:bidi="ar-SA"/>
    </w:rPr>
  </w:style>
  <w:style w:type="character" w:customStyle="1" w:styleId="867">
    <w:name w:val="表中文字 Char"/>
    <w:uiPriority w:val="0"/>
    <w:rPr>
      <w:rFonts w:eastAsia="宋体"/>
      <w:kern w:val="2"/>
      <w:sz w:val="21"/>
      <w:lang w:val="en-US" w:eastAsia="zh-CN" w:bidi="ar-SA"/>
    </w:rPr>
  </w:style>
  <w:style w:type="character" w:customStyle="1" w:styleId="868">
    <w:name w:val="表名 Char Char"/>
    <w:uiPriority w:val="0"/>
    <w:rPr>
      <w:rFonts w:ascii="宋体" w:eastAsia="宋体"/>
      <w:b/>
      <w:sz w:val="24"/>
      <w:lang w:val="en-US" w:eastAsia="zh-CN" w:bidi="ar-SA"/>
    </w:rPr>
  </w:style>
  <w:style w:type="character" w:customStyle="1" w:styleId="869">
    <w:name w:val="Char4 Char Char"/>
    <w:uiPriority w:val="0"/>
    <w:rPr>
      <w:rFonts w:ascii="宋体" w:hAnsi="宋体"/>
      <w:color w:val="000000"/>
      <w:kern w:val="2"/>
      <w:sz w:val="24"/>
      <w:szCs w:val="24"/>
      <w:lang w:bidi="ar-SA"/>
    </w:rPr>
  </w:style>
  <w:style w:type="character" w:customStyle="1" w:styleId="870">
    <w:name w:val="Char3 Char Char"/>
    <w:uiPriority w:val="0"/>
    <w:rPr>
      <w:rFonts w:ascii="宋体" w:hAnsi="宋体"/>
      <w:b/>
      <w:bCs/>
      <w:color w:val="000000"/>
      <w:kern w:val="2"/>
      <w:sz w:val="24"/>
      <w:szCs w:val="24"/>
      <w:lang w:bidi="ar-SA"/>
    </w:rPr>
  </w:style>
  <w:style w:type="character" w:customStyle="1" w:styleId="871">
    <w:name w:val="正文样板 Char Char"/>
    <w:uiPriority w:val="0"/>
    <w:rPr>
      <w:rFonts w:eastAsia="宋体"/>
      <w:snapToGrid w:val="0"/>
      <w:color w:val="000000"/>
      <w:spacing w:val="6"/>
      <w:sz w:val="28"/>
      <w:szCs w:val="28"/>
      <w:lang w:val="en-US" w:eastAsia="zh-CN" w:bidi="ar-SA"/>
    </w:rPr>
  </w:style>
  <w:style w:type="character" w:customStyle="1" w:styleId="872">
    <w:name w:val="样式5 Char"/>
    <w:uiPriority w:val="0"/>
    <w:rPr>
      <w:rFonts w:eastAsia="宋体"/>
      <w:kern w:val="2"/>
      <w:sz w:val="24"/>
      <w:szCs w:val="24"/>
      <w:lang w:val="en-US" w:eastAsia="zh-CN" w:bidi="ar-SA"/>
    </w:rPr>
  </w:style>
  <w:style w:type="character" w:customStyle="1" w:styleId="873">
    <w:name w:val="热电厂正文 Char Char"/>
    <w:uiPriority w:val="0"/>
    <w:rPr>
      <w:rFonts w:eastAsia="宋体"/>
      <w:kern w:val="2"/>
      <w:sz w:val="24"/>
      <w:szCs w:val="24"/>
      <w:lang w:val="en-US" w:eastAsia="zh-CN" w:bidi="ar-SA"/>
    </w:rPr>
  </w:style>
  <w:style w:type="character" w:customStyle="1" w:styleId="874">
    <w:name w:val="bt Char"/>
    <w:uiPriority w:val="0"/>
    <w:rPr>
      <w:rFonts w:ascii="宋体" w:hAnsi="宋体" w:eastAsia="宋体"/>
      <w:kern w:val="2"/>
      <w:position w:val="-6"/>
      <w:sz w:val="21"/>
      <w:u w:val="single"/>
      <w:lang w:val="en-US" w:eastAsia="zh-CN" w:bidi="ar-SA"/>
    </w:rPr>
  </w:style>
  <w:style w:type="character" w:customStyle="1" w:styleId="875">
    <w:name w:val="3rd leve Char"/>
    <w:locked/>
    <w:uiPriority w:val="0"/>
    <w:rPr>
      <w:rFonts w:ascii="宋体" w:hAnsi="宋体" w:eastAsia="宋体"/>
      <w:b/>
      <w:kern w:val="24"/>
      <w:position w:val="-6"/>
      <w:sz w:val="28"/>
      <w:u w:val="single"/>
      <w:lang w:val="zh-CN" w:eastAsia="zh-CN" w:bidi="ar-SA"/>
    </w:rPr>
  </w:style>
  <w:style w:type="paragraph" w:customStyle="1" w:styleId="876">
    <w:name w:val="样式 (符号) 宋体 首行缩进:  0.85 厘米"/>
    <w:basedOn w:val="1"/>
    <w:qFormat/>
    <w:uiPriority w:val="0"/>
    <w:pPr>
      <w:spacing w:line="500" w:lineRule="exact"/>
      <w:ind w:firstLine="200" w:firstLineChars="200"/>
    </w:pPr>
    <w:rPr>
      <w:szCs w:val="20"/>
    </w:rPr>
  </w:style>
  <w:style w:type="paragraph" w:customStyle="1" w:styleId="877">
    <w:name w:val="12 Char Char Char Char Char Char Char Char Char Char"/>
    <w:basedOn w:val="1"/>
    <w:qFormat/>
    <w:uiPriority w:val="0"/>
    <w:pPr>
      <w:spacing w:line="360" w:lineRule="auto"/>
      <w:ind w:firstLine="200" w:firstLineChars="200"/>
    </w:pPr>
    <w:rPr>
      <w:position w:val="-6"/>
      <w:sz w:val="28"/>
      <w:szCs w:val="20"/>
      <w:u w:val="single"/>
    </w:rPr>
  </w:style>
  <w:style w:type="character" w:customStyle="1" w:styleId="878">
    <w:name w:val="纯文本 Char Char Char Char Char Char"/>
    <w:uiPriority w:val="0"/>
    <w:rPr>
      <w:rFonts w:ascii="宋体" w:hAnsi="Courier New" w:eastAsia="宋体"/>
      <w:kern w:val="2"/>
      <w:sz w:val="21"/>
      <w:lang w:val="en-US" w:eastAsia="zh-CN" w:bidi="ar-SA"/>
    </w:rPr>
  </w:style>
  <w:style w:type="paragraph" w:customStyle="1" w:styleId="879">
    <w:name w:val="Char Char Char Char Char Char Char Char Char Char Char"/>
    <w:basedOn w:val="35"/>
    <w:qFormat/>
    <w:uiPriority w:val="0"/>
    <w:pPr>
      <w:ind w:left="0"/>
    </w:pPr>
  </w:style>
  <w:style w:type="paragraph" w:customStyle="1" w:styleId="880">
    <w:name w:val="表格小"/>
    <w:basedOn w:val="1"/>
    <w:qFormat/>
    <w:uiPriority w:val="0"/>
    <w:pPr>
      <w:jc w:val="center"/>
    </w:pPr>
    <w:rPr>
      <w:sz w:val="18"/>
    </w:rPr>
  </w:style>
  <w:style w:type="paragraph" w:customStyle="1" w:styleId="881">
    <w:name w:val="表格注"/>
    <w:basedOn w:val="1"/>
    <w:next w:val="1"/>
    <w:qFormat/>
    <w:uiPriority w:val="0"/>
    <w:pPr>
      <w:spacing w:line="240" w:lineRule="exact"/>
    </w:pPr>
    <w:rPr>
      <w:sz w:val="18"/>
    </w:rPr>
  </w:style>
  <w:style w:type="paragraph" w:customStyle="1" w:styleId="882">
    <w:name w:val="缩进"/>
    <w:basedOn w:val="1"/>
    <w:link w:val="884"/>
    <w:qFormat/>
    <w:uiPriority w:val="0"/>
    <w:pPr>
      <w:spacing w:line="360" w:lineRule="auto"/>
      <w:ind w:firstLine="200" w:firstLineChars="200"/>
    </w:pPr>
  </w:style>
  <w:style w:type="paragraph" w:customStyle="1" w:styleId="883">
    <w:name w:val="5级正文"/>
    <w:basedOn w:val="882"/>
    <w:next w:val="882"/>
    <w:link w:val="885"/>
    <w:qFormat/>
    <w:uiPriority w:val="0"/>
    <w:pPr>
      <w:numPr>
        <w:ilvl w:val="0"/>
        <w:numId w:val="8"/>
      </w:numPr>
      <w:tabs>
        <w:tab w:val="left" w:pos="360"/>
        <w:tab w:val="left" w:pos="1200"/>
        <w:tab w:val="clear" w:pos="420"/>
      </w:tabs>
      <w:ind w:left="0" w:firstLine="200"/>
      <w:outlineLvl w:val="4"/>
    </w:pPr>
    <w:rPr>
      <w:b/>
    </w:rPr>
  </w:style>
  <w:style w:type="character" w:customStyle="1" w:styleId="884">
    <w:name w:val="缩进 Char"/>
    <w:link w:val="882"/>
    <w:uiPriority w:val="0"/>
    <w:rPr>
      <w:kern w:val="2"/>
      <w:sz w:val="24"/>
      <w:szCs w:val="24"/>
    </w:rPr>
  </w:style>
  <w:style w:type="character" w:customStyle="1" w:styleId="885">
    <w:name w:val="5级正文 Char"/>
    <w:link w:val="883"/>
    <w:uiPriority w:val="0"/>
    <w:rPr>
      <w:rFonts w:ascii="宋体" w:hAnsi="宋体" w:cs="宋体"/>
      <w:b/>
      <w:sz w:val="24"/>
      <w:szCs w:val="24"/>
    </w:rPr>
  </w:style>
  <w:style w:type="paragraph" w:customStyle="1" w:styleId="886">
    <w:name w:val="Char6"/>
    <w:basedOn w:val="1"/>
    <w:qFormat/>
    <w:uiPriority w:val="0"/>
    <w:pPr>
      <w:spacing w:line="360" w:lineRule="auto"/>
      <w:ind w:firstLine="200" w:firstLineChars="200"/>
    </w:pPr>
  </w:style>
  <w:style w:type="paragraph" w:customStyle="1" w:styleId="887">
    <w:name w:val="Char Char Char Char Char Char1 Char"/>
    <w:basedOn w:val="1"/>
    <w:qFormat/>
    <w:uiPriority w:val="0"/>
  </w:style>
  <w:style w:type="character" w:customStyle="1" w:styleId="888">
    <w:name w:val="页脚 Char2"/>
    <w:uiPriority w:val="0"/>
    <w:rPr>
      <w:rFonts w:eastAsia="宋体"/>
      <w:kern w:val="2"/>
      <w:sz w:val="18"/>
      <w:szCs w:val="18"/>
      <w:lang w:val="en-US" w:eastAsia="zh-CN" w:bidi="ar-SA"/>
    </w:rPr>
  </w:style>
  <w:style w:type="paragraph" w:customStyle="1" w:styleId="889">
    <w:name w:val="水利部"/>
    <w:basedOn w:val="1"/>
    <w:link w:val="1042"/>
    <w:qFormat/>
    <w:uiPriority w:val="0"/>
    <w:pPr>
      <w:adjustRightInd w:val="0"/>
      <w:snapToGrid w:val="0"/>
      <w:spacing w:line="500" w:lineRule="exact"/>
      <w:ind w:firstLine="1205" w:firstLineChars="400"/>
    </w:pPr>
    <w:rPr>
      <w:b/>
      <w:snapToGrid w:val="0"/>
      <w:sz w:val="30"/>
      <w:szCs w:val="20"/>
    </w:rPr>
  </w:style>
  <w:style w:type="paragraph" w:customStyle="1" w:styleId="890">
    <w:name w:val="正文13"/>
    <w:basedOn w:val="1"/>
    <w:link w:val="891"/>
    <w:autoRedefine/>
    <w:qFormat/>
    <w:uiPriority w:val="0"/>
    <w:pPr>
      <w:adjustRightInd w:val="0"/>
      <w:snapToGrid w:val="0"/>
      <w:ind w:firstLine="510"/>
    </w:pPr>
  </w:style>
  <w:style w:type="character" w:customStyle="1" w:styleId="891">
    <w:name w:val="正文13 Char Char"/>
    <w:link w:val="890"/>
    <w:uiPriority w:val="0"/>
    <w:rPr>
      <w:rFonts w:ascii="宋体" w:hAnsi="宋体" w:cs="宋体"/>
      <w:kern w:val="2"/>
      <w:sz w:val="24"/>
      <w:szCs w:val="24"/>
    </w:rPr>
  </w:style>
  <w:style w:type="paragraph" w:customStyle="1" w:styleId="892">
    <w:name w:val="L图表名"/>
    <w:basedOn w:val="1"/>
    <w:next w:val="1"/>
    <w:qFormat/>
    <w:uiPriority w:val="0"/>
    <w:pPr>
      <w:keepNext/>
      <w:adjustRightInd w:val="0"/>
      <w:snapToGrid w:val="0"/>
      <w:spacing w:beforeLines="50" w:line="360" w:lineRule="auto"/>
      <w:jc w:val="center"/>
    </w:pPr>
    <w:rPr>
      <w:rFonts w:eastAsia="黑体"/>
      <w:b/>
      <w:snapToGrid w:val="0"/>
      <w:sz w:val="28"/>
      <w:szCs w:val="28"/>
    </w:rPr>
  </w:style>
  <w:style w:type="paragraph" w:customStyle="1" w:styleId="893">
    <w:name w:val="默认段落字体 Para"/>
    <w:basedOn w:val="1"/>
    <w:qFormat/>
    <w:uiPriority w:val="0"/>
  </w:style>
  <w:style w:type="paragraph" w:customStyle="1" w:styleId="894">
    <w:name w:val="Char1 Char Char Char Char Char"/>
    <w:basedOn w:val="1"/>
    <w:qFormat/>
    <w:uiPriority w:val="0"/>
    <w:pPr>
      <w:spacing w:beforeLines="1000" w:afterLines="1000" w:line="400" w:lineRule="exact"/>
    </w:pPr>
  </w:style>
  <w:style w:type="character" w:customStyle="1" w:styleId="895">
    <w:name w:val="Re Char Char"/>
    <w:uiPriority w:val="0"/>
    <w:rPr>
      <w:rFonts w:eastAsia="黑体"/>
      <w:bCs/>
      <w:kern w:val="2"/>
      <w:sz w:val="24"/>
      <w:szCs w:val="24"/>
      <w:lang w:val="en-US" w:eastAsia="zh-CN" w:bidi="ar-SA"/>
    </w:rPr>
  </w:style>
  <w:style w:type="character" w:customStyle="1" w:styleId="896">
    <w:name w:val="标题 3 Char Char1"/>
    <w:uiPriority w:val="0"/>
    <w:rPr>
      <w:rFonts w:ascii="宋体" w:hAnsi="宋体" w:eastAsia="宋体"/>
      <w:b/>
      <w:bCs/>
      <w:color w:val="000000"/>
      <w:kern w:val="24"/>
      <w:sz w:val="24"/>
      <w:szCs w:val="24"/>
      <w:lang w:val="zh-CN" w:eastAsia="zh-CN" w:bidi="ar-SA"/>
    </w:rPr>
  </w:style>
  <w:style w:type="paragraph" w:customStyle="1" w:styleId="897">
    <w:name w:val="Char Char Char Char Char Char Char Char Char1 Char Char Char Char Char Char"/>
    <w:basedOn w:val="1"/>
    <w:qFormat/>
    <w:uiPriority w:val="0"/>
    <w:pPr>
      <w:adjustRightInd w:val="0"/>
      <w:spacing w:line="360" w:lineRule="auto"/>
    </w:pPr>
    <w:rPr>
      <w:szCs w:val="20"/>
    </w:rPr>
  </w:style>
  <w:style w:type="paragraph" w:customStyle="1" w:styleId="898">
    <w:name w:val="Char Char7 Char"/>
    <w:basedOn w:val="1"/>
    <w:semiHidden/>
    <w:qFormat/>
    <w:uiPriority w:val="0"/>
    <w:pPr>
      <w:spacing w:after="160" w:line="240" w:lineRule="exact"/>
    </w:pPr>
    <w:rPr>
      <w:rFonts w:ascii="Verdana" w:hAnsi="Verdana"/>
      <w:sz w:val="20"/>
      <w:szCs w:val="20"/>
      <w:lang w:eastAsia="en-US"/>
    </w:rPr>
  </w:style>
  <w:style w:type="paragraph" w:customStyle="1" w:styleId="899">
    <w:name w:val="文本框小四"/>
    <w:basedOn w:val="1"/>
    <w:qFormat/>
    <w:uiPriority w:val="0"/>
    <w:pPr>
      <w:jc w:val="center"/>
    </w:pPr>
    <w:rPr>
      <w:szCs w:val="21"/>
    </w:rPr>
  </w:style>
  <w:style w:type="paragraph" w:customStyle="1" w:styleId="900">
    <w:name w:val="样式 目录 1 + 两端对齐 左侧:  0.85 厘米 首行缩进:  2 字符 段前: 7.8 磅 段后: 7.8 磅"/>
    <w:basedOn w:val="58"/>
    <w:autoRedefine/>
    <w:qFormat/>
    <w:uiPriority w:val="0"/>
    <w:pPr>
      <w:tabs>
        <w:tab w:val="right" w:leader="dot" w:pos="8834"/>
      </w:tabs>
      <w:spacing w:before="0" w:after="0" w:line="360" w:lineRule="auto"/>
      <w:jc w:val="both"/>
    </w:pPr>
    <w:rPr>
      <w:rFonts w:cs="宋体"/>
      <w:caps w:val="0"/>
    </w:rPr>
  </w:style>
  <w:style w:type="paragraph" w:customStyle="1" w:styleId="901">
    <w:name w:val="流程图文字"/>
    <w:basedOn w:val="1"/>
    <w:autoRedefine/>
    <w:qFormat/>
    <w:uiPriority w:val="0"/>
    <w:pPr>
      <w:adjustRightInd w:val="0"/>
      <w:snapToGrid w:val="0"/>
      <w:spacing w:line="360" w:lineRule="auto"/>
      <w:jc w:val="center"/>
    </w:pPr>
    <w:rPr>
      <w:color w:val="000000"/>
      <w:szCs w:val="21"/>
    </w:rPr>
  </w:style>
  <w:style w:type="paragraph" w:customStyle="1" w:styleId="902">
    <w:name w:val="1 Char Char Char Char Char Char Char"/>
    <w:basedOn w:val="1"/>
    <w:qFormat/>
    <w:uiPriority w:val="0"/>
    <w:pPr>
      <w:spacing w:line="360" w:lineRule="auto"/>
      <w:ind w:firstLine="200" w:firstLineChars="200"/>
    </w:pPr>
  </w:style>
  <w:style w:type="paragraph" w:customStyle="1" w:styleId="903">
    <w:name w:val="样式 样式 设计正文 + 首行缩进:  2 字符 + 首行缩进:  2 字符"/>
    <w:basedOn w:val="1"/>
    <w:qFormat/>
    <w:uiPriority w:val="0"/>
    <w:pPr>
      <w:tabs>
        <w:tab w:val="left" w:pos="-360"/>
        <w:tab w:val="left" w:pos="0"/>
      </w:tabs>
      <w:autoSpaceDE w:val="0"/>
      <w:autoSpaceDN w:val="0"/>
      <w:spacing w:line="360" w:lineRule="auto"/>
      <w:ind w:firstLine="480" w:firstLineChars="200"/>
    </w:pPr>
  </w:style>
  <w:style w:type="paragraph" w:customStyle="1" w:styleId="904">
    <w:name w:val="ÕýÎÄ"/>
    <w:link w:val="905"/>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character" w:customStyle="1" w:styleId="905">
    <w:name w:val="ÕýÎÄ Char"/>
    <w:link w:val="904"/>
    <w:uiPriority w:val="0"/>
    <w:rPr>
      <w:color w:val="000000"/>
      <w:sz w:val="21"/>
      <w:lang w:bidi="ar-SA"/>
    </w:rPr>
  </w:style>
  <w:style w:type="paragraph" w:customStyle="1" w:styleId="906">
    <w:name w:val="样式 表头 + 小五"/>
    <w:basedOn w:val="201"/>
    <w:link w:val="907"/>
    <w:autoRedefine/>
    <w:qFormat/>
    <w:uiPriority w:val="0"/>
    <w:pPr>
      <w:spacing w:beforeLines="0"/>
      <w:ind w:firstLine="240" w:firstLineChars="100"/>
      <w:jc w:val="right"/>
    </w:pPr>
    <w:rPr>
      <w:b/>
      <w:bCs/>
      <w:sz w:val="18"/>
      <w:szCs w:val="21"/>
    </w:rPr>
  </w:style>
  <w:style w:type="character" w:customStyle="1" w:styleId="907">
    <w:name w:val="样式 表头 + 小五 Char"/>
    <w:link w:val="906"/>
    <w:uiPriority w:val="0"/>
    <w:rPr>
      <w:rFonts w:ascii="宋体" w:cs="宋体"/>
      <w:b/>
      <w:bCs/>
      <w:kern w:val="2"/>
      <w:sz w:val="18"/>
      <w:szCs w:val="21"/>
    </w:rPr>
  </w:style>
  <w:style w:type="paragraph" w:customStyle="1" w:styleId="908">
    <w:name w:val="样式 设计正文 + 首行缩进:  2 字符"/>
    <w:basedOn w:val="1"/>
    <w:link w:val="909"/>
    <w:qFormat/>
    <w:uiPriority w:val="0"/>
    <w:pPr>
      <w:tabs>
        <w:tab w:val="left" w:pos="-360"/>
        <w:tab w:val="left" w:pos="0"/>
      </w:tabs>
      <w:autoSpaceDE w:val="0"/>
      <w:autoSpaceDN w:val="0"/>
      <w:spacing w:line="360" w:lineRule="auto"/>
      <w:ind w:firstLine="480" w:firstLineChars="200"/>
    </w:pPr>
  </w:style>
  <w:style w:type="character" w:customStyle="1" w:styleId="909">
    <w:name w:val="样式 设计正文 + 首行缩进:  2 字符 Char Char"/>
    <w:link w:val="908"/>
    <w:uiPriority w:val="0"/>
    <w:rPr>
      <w:rFonts w:ascii="宋体" w:hAnsi="宋体" w:cs="宋体"/>
      <w:sz w:val="24"/>
      <w:szCs w:val="24"/>
    </w:rPr>
  </w:style>
  <w:style w:type="character" w:customStyle="1" w:styleId="910">
    <w:name w:val="样式3 Char"/>
    <w:link w:val="563"/>
    <w:uiPriority w:val="0"/>
    <w:rPr>
      <w:rFonts w:ascii="宋体"/>
      <w:kern w:val="2"/>
      <w:sz w:val="24"/>
    </w:rPr>
  </w:style>
  <w:style w:type="paragraph" w:customStyle="1" w:styleId="911">
    <w:name w:val="样式 标题 1章标题 1章节标题b1封面大标题H11标题 1otesTITULO-1河石1H11H12章..."/>
    <w:basedOn w:val="2"/>
    <w:qFormat/>
    <w:uiPriority w:val="0"/>
    <w:pPr>
      <w:keepLines w:val="0"/>
      <w:spacing w:beforeLines="0" w:afterLines="0"/>
    </w:pPr>
    <w:rPr>
      <w:kern w:val="0"/>
      <w:sz w:val="32"/>
      <w:szCs w:val="20"/>
    </w:rPr>
  </w:style>
  <w:style w:type="paragraph" w:customStyle="1" w:styleId="912">
    <w:name w:val="样式 标题 2节标题 1.11.1标题2例如：1.1 内容标题 2 Charb2W2H2标题 2 Char Ch..."/>
    <w:basedOn w:val="3"/>
    <w:link w:val="913"/>
    <w:qFormat/>
    <w:uiPriority w:val="0"/>
    <w:pPr>
      <w:spacing w:beforeLines="0" w:afterLines="0"/>
    </w:pPr>
    <w:rPr>
      <w:sz w:val="30"/>
    </w:rPr>
  </w:style>
  <w:style w:type="character" w:customStyle="1" w:styleId="913">
    <w:name w:val="样式 标题 2节标题 1.11.1标题2例如：1.1 内容标题 2 Charb2W2H2标题 2 Char Ch... Char"/>
    <w:link w:val="912"/>
    <w:uiPriority w:val="0"/>
    <w:rPr>
      <w:rFonts w:ascii="宋体" w:hAnsi="宋体"/>
      <w:b/>
      <w:bCs/>
      <w:kern w:val="2"/>
      <w:sz w:val="30"/>
      <w:szCs w:val="32"/>
    </w:rPr>
  </w:style>
  <w:style w:type="paragraph" w:customStyle="1" w:styleId="914">
    <w:name w:val="样式 标题 2节标题 1.11.1标题2例如：1.1 内容标题 2 Charb2W2H2标题 2 Char Ch...1"/>
    <w:basedOn w:val="3"/>
    <w:link w:val="915"/>
    <w:qFormat/>
    <w:uiPriority w:val="0"/>
    <w:pPr>
      <w:spacing w:beforeLines="0" w:afterLines="0"/>
    </w:pPr>
    <w:rPr>
      <w:sz w:val="30"/>
    </w:rPr>
  </w:style>
  <w:style w:type="character" w:customStyle="1" w:styleId="915">
    <w:name w:val="样式 标题 2节标题 1.11.1标题2例如：1.1 内容标题 2 Charb2W2H2标题 2 Char Ch...1 Char"/>
    <w:link w:val="914"/>
    <w:uiPriority w:val="0"/>
    <w:rPr>
      <w:rFonts w:ascii="宋体" w:hAnsi="宋体"/>
      <w:b/>
      <w:bCs/>
      <w:kern w:val="2"/>
      <w:sz w:val="30"/>
      <w:szCs w:val="32"/>
    </w:rPr>
  </w:style>
  <w:style w:type="paragraph" w:customStyle="1" w:styleId="916">
    <w:name w:val="样式 标题 1章标题 1章节标题b1封面大标题H11标题 1otesTITULO-1河石1H11H12章...1"/>
    <w:basedOn w:val="2"/>
    <w:qFormat/>
    <w:uiPriority w:val="0"/>
    <w:pPr>
      <w:keepLines w:val="0"/>
      <w:spacing w:beforeLines="0" w:afterLines="0"/>
    </w:pPr>
    <w:rPr>
      <w:rFonts w:ascii="黑体"/>
      <w:kern w:val="0"/>
      <w:sz w:val="32"/>
      <w:szCs w:val="20"/>
    </w:rPr>
  </w:style>
  <w:style w:type="paragraph" w:customStyle="1" w:styleId="917">
    <w:name w:val="样式 标题 1章标题 1章节标题b1封面大标题H11标题 1otesTITULO-1河石1H11H12章...2"/>
    <w:basedOn w:val="2"/>
    <w:qFormat/>
    <w:uiPriority w:val="0"/>
    <w:pPr>
      <w:keepLines w:val="0"/>
      <w:spacing w:beforeLines="0" w:afterLines="0"/>
    </w:pPr>
    <w:rPr>
      <w:rFonts w:ascii="黑体" w:eastAsia="黑体"/>
      <w:kern w:val="0"/>
      <w:sz w:val="32"/>
      <w:szCs w:val="20"/>
    </w:rPr>
  </w:style>
  <w:style w:type="paragraph" w:customStyle="1" w:styleId="918">
    <w:name w:val="标准条文"/>
    <w:qFormat/>
    <w:uiPriority w:val="0"/>
    <w:pPr>
      <w:spacing w:beforeLines="20" w:afterLines="20"/>
      <w:ind w:firstLine="200" w:firstLineChars="200"/>
    </w:pPr>
    <w:rPr>
      <w:rFonts w:ascii="Times New Roman" w:hAnsi="Times New Roman" w:eastAsia="宋体" w:cs="Times New Roman"/>
      <w:kern w:val="2"/>
      <w:sz w:val="21"/>
      <w:lang w:val="en-US" w:eastAsia="zh-CN" w:bidi="ar-SA"/>
    </w:rPr>
  </w:style>
  <w:style w:type="character" w:customStyle="1" w:styleId="919">
    <w:name w:val="陈表格中内容 Char"/>
    <w:link w:val="920"/>
    <w:uiPriority w:val="0"/>
    <w:rPr>
      <w:rFonts w:ascii="宋体" w:hAnsi="宋体"/>
      <w:spacing w:val="-6"/>
      <w:sz w:val="21"/>
    </w:rPr>
  </w:style>
  <w:style w:type="paragraph" w:customStyle="1" w:styleId="920">
    <w:name w:val="陈表格中内容"/>
    <w:basedOn w:val="1"/>
    <w:next w:val="1"/>
    <w:link w:val="919"/>
    <w:qFormat/>
    <w:uiPriority w:val="0"/>
    <w:pPr>
      <w:jc w:val="center"/>
    </w:pPr>
    <w:rPr>
      <w:spacing w:val="-6"/>
      <w:szCs w:val="20"/>
    </w:rPr>
  </w:style>
  <w:style w:type="character" w:customStyle="1" w:styleId="921">
    <w:name w:val="准 正文 左侧:  2 字符 + 首行缩进:  2 字符 Char"/>
    <w:link w:val="922"/>
    <w:uiPriority w:val="0"/>
    <w:rPr>
      <w:sz w:val="24"/>
    </w:rPr>
  </w:style>
  <w:style w:type="paragraph" w:customStyle="1" w:styleId="922">
    <w:name w:val="准 正文 左侧:  2 字符 + 首行缩进:  2 字符"/>
    <w:basedOn w:val="1"/>
    <w:link w:val="921"/>
    <w:qFormat/>
    <w:uiPriority w:val="0"/>
    <w:pPr>
      <w:spacing w:line="360" w:lineRule="auto"/>
      <w:ind w:firstLine="480" w:firstLineChars="200"/>
    </w:pPr>
    <w:rPr>
      <w:szCs w:val="20"/>
    </w:rPr>
  </w:style>
  <w:style w:type="paragraph" w:customStyle="1" w:styleId="923">
    <w:name w:val="列出段落1"/>
    <w:basedOn w:val="1"/>
    <w:qFormat/>
    <w:uiPriority w:val="0"/>
    <w:pPr>
      <w:ind w:firstLine="420" w:firstLineChars="200"/>
    </w:pPr>
    <w:rPr>
      <w:rFonts w:ascii="Calibri" w:hAnsi="Calibri"/>
      <w:szCs w:val="20"/>
    </w:rPr>
  </w:style>
  <w:style w:type="character" w:customStyle="1" w:styleId="924">
    <w:name w:val="脚注文本 Char"/>
    <w:link w:val="66"/>
    <w:uiPriority w:val="0"/>
    <w:rPr>
      <w:kern w:val="2"/>
      <w:sz w:val="21"/>
      <w:szCs w:val="18"/>
    </w:rPr>
  </w:style>
  <w:style w:type="paragraph" w:customStyle="1" w:styleId="925">
    <w:name w:val="14"/>
    <w:basedOn w:val="1"/>
    <w:next w:val="31"/>
    <w:qFormat/>
    <w:uiPriority w:val="0"/>
    <w:rPr>
      <w:rFonts w:hAnsi="Courier New"/>
      <w:szCs w:val="20"/>
    </w:rPr>
  </w:style>
  <w:style w:type="paragraph" w:customStyle="1" w:styleId="926">
    <w:name w:val="nilo_正文 Char Char Char Char"/>
    <w:basedOn w:val="1"/>
    <w:qFormat/>
    <w:uiPriority w:val="0"/>
    <w:pPr>
      <w:spacing w:line="360" w:lineRule="auto"/>
      <w:ind w:left="1031" w:hanging="851"/>
    </w:pPr>
    <w:rPr>
      <w:rFonts w:ascii="Arial" w:hAnsi="Arial"/>
      <w:szCs w:val="21"/>
    </w:rPr>
  </w:style>
  <w:style w:type="character" w:customStyle="1" w:styleId="927">
    <w:name w:val="普通文字 Char Char Char Char Char C Char Char Char Char Char"/>
    <w:uiPriority w:val="0"/>
    <w:rPr>
      <w:rFonts w:ascii="宋体" w:hAnsi="Courier New" w:eastAsia="宋体"/>
      <w:kern w:val="2"/>
      <w:sz w:val="28"/>
      <w:lang w:val="en-US" w:eastAsia="zh-CN" w:bidi="ar-SA"/>
    </w:rPr>
  </w:style>
  <w:style w:type="character" w:customStyle="1" w:styleId="928">
    <w:name w:val="ak1"/>
    <w:uiPriority w:val="0"/>
    <w:rPr>
      <w:spacing w:val="270"/>
      <w:sz w:val="18"/>
      <w:szCs w:val="18"/>
    </w:rPr>
  </w:style>
  <w:style w:type="paragraph" w:customStyle="1" w:styleId="929">
    <w:name w:val="样式 标题 2 + 段前: 0.5 行"/>
    <w:basedOn w:val="3"/>
    <w:autoRedefine/>
    <w:qFormat/>
    <w:uiPriority w:val="0"/>
    <w:pPr>
      <w:adjustRightInd w:val="0"/>
      <w:snapToGrid w:val="0"/>
      <w:spacing w:before="50" w:afterLines="0" w:line="415" w:lineRule="auto"/>
      <w:ind w:firstLine="200" w:firstLineChars="200"/>
    </w:pPr>
    <w:rPr>
      <w:rFonts w:ascii="Arial" w:hAnsi="Arial" w:eastAsia="黑体"/>
      <w:szCs w:val="20"/>
    </w:rPr>
  </w:style>
  <w:style w:type="character" w:customStyle="1" w:styleId="930">
    <w:name w:val="表格文字 Char Char"/>
    <w:uiPriority w:val="0"/>
    <w:rPr>
      <w:rFonts w:ascii="宋体" w:hAnsi="Courier New" w:eastAsia="宋体"/>
      <w:kern w:val="2"/>
      <w:sz w:val="21"/>
      <w:lang w:val="en-US" w:eastAsia="zh-CN" w:bidi="ar-SA"/>
    </w:rPr>
  </w:style>
  <w:style w:type="paragraph" w:customStyle="1" w:styleId="931">
    <w:name w:val="样式 普通文字 + (符号) 宋体 小四"/>
    <w:basedOn w:val="31"/>
    <w:qFormat/>
    <w:uiPriority w:val="0"/>
    <w:rPr>
      <w:rFonts w:cs="Times New Roman"/>
      <w:szCs w:val="20"/>
    </w:rPr>
  </w:style>
  <w:style w:type="paragraph" w:customStyle="1" w:styleId="932">
    <w:name w:val="表格五号修"/>
    <w:basedOn w:val="1"/>
    <w:qFormat/>
    <w:uiPriority w:val="0"/>
    <w:pPr>
      <w:spacing w:line="360" w:lineRule="exact"/>
    </w:pPr>
    <w:rPr>
      <w:color w:val="000000"/>
    </w:rPr>
  </w:style>
  <w:style w:type="paragraph" w:customStyle="1" w:styleId="933">
    <w:name w:val="报告名"/>
    <w:basedOn w:val="1"/>
    <w:qFormat/>
    <w:uiPriority w:val="0"/>
    <w:pPr>
      <w:adjustRightInd w:val="0"/>
      <w:snapToGrid w:val="0"/>
      <w:spacing w:line="300" w:lineRule="auto"/>
      <w:jc w:val="center"/>
    </w:pPr>
    <w:rPr>
      <w:b/>
      <w:bCs/>
      <w:sz w:val="56"/>
      <w:szCs w:val="56"/>
    </w:rPr>
  </w:style>
  <w:style w:type="paragraph" w:customStyle="1" w:styleId="934">
    <w:name w:val="Char Char Char Char Char Char Char Char"/>
    <w:basedOn w:val="1"/>
    <w:qFormat/>
    <w:uiPriority w:val="0"/>
  </w:style>
  <w:style w:type="character" w:customStyle="1" w:styleId="935">
    <w:name w:val="L正文 Char"/>
    <w:link w:val="793"/>
    <w:uiPriority w:val="0"/>
    <w:rPr>
      <w:bCs/>
      <w:snapToGrid w:val="0"/>
      <w:sz w:val="26"/>
      <w:szCs w:val="26"/>
    </w:rPr>
  </w:style>
  <w:style w:type="character" w:customStyle="1" w:styleId="936">
    <w:name w:val="样式4 Char"/>
    <w:link w:val="530"/>
    <w:uiPriority w:val="0"/>
    <w:rPr>
      <w:rFonts w:ascii="Arial" w:hAnsi="Arial"/>
      <w:b/>
      <w:kern w:val="2"/>
      <w:sz w:val="24"/>
      <w:szCs w:val="28"/>
    </w:rPr>
  </w:style>
  <w:style w:type="paragraph" w:customStyle="1" w:styleId="937">
    <w:name w:val="Char3 Char Char Char"/>
    <w:basedOn w:val="1"/>
    <w:qFormat/>
    <w:uiPriority w:val="0"/>
  </w:style>
  <w:style w:type="paragraph" w:customStyle="1" w:styleId="938">
    <w:name w:val="样式 样式 审签页 审签字 + 20 磅 非加粗 左侧:  8 字符 段前: 1 行 + 左侧:  10 字符 段前: 1 行"/>
    <w:basedOn w:val="1"/>
    <w:qFormat/>
    <w:uiPriority w:val="0"/>
    <w:pPr>
      <w:adjustRightInd w:val="0"/>
      <w:snapToGrid w:val="0"/>
      <w:spacing w:beforeLines="100" w:line="700" w:lineRule="exact"/>
      <w:ind w:left="1100" w:leftChars="1100" w:firstLine="200" w:firstLineChars="200"/>
    </w:pPr>
    <w:rPr>
      <w:rFonts w:eastAsia="楷体_GB2312"/>
      <w:b/>
      <w:snapToGrid w:val="0"/>
      <w:sz w:val="32"/>
      <w:szCs w:val="32"/>
    </w:rPr>
  </w:style>
  <w:style w:type="paragraph" w:customStyle="1" w:styleId="939">
    <w:name w:val="报告大标题"/>
    <w:basedOn w:val="2"/>
    <w:autoRedefine/>
    <w:qFormat/>
    <w:uiPriority w:val="0"/>
    <w:pPr>
      <w:spacing w:beforeLines="0" w:afterLines="0" w:line="240" w:lineRule="auto"/>
      <w:jc w:val="center"/>
      <w:textAlignment w:val="baseline"/>
      <w:outlineLvl w:val="9"/>
    </w:pPr>
    <w:rPr>
      <w:rFonts w:ascii="黑体" w:eastAsia="黑体" w:cs="Arial"/>
      <w:b w:val="0"/>
      <w:snapToGrid w:val="0"/>
      <w:spacing w:val="10"/>
      <w:kern w:val="56"/>
      <w:sz w:val="40"/>
      <w:szCs w:val="40"/>
    </w:rPr>
  </w:style>
  <w:style w:type="paragraph" w:customStyle="1" w:styleId="940">
    <w:name w:val="样式  Char + 宋体 小四"/>
    <w:basedOn w:val="1"/>
    <w:link w:val="941"/>
    <w:autoRedefine/>
    <w:qFormat/>
    <w:uiPriority w:val="0"/>
    <w:pPr>
      <w:snapToGrid w:val="0"/>
      <w:spacing w:line="360" w:lineRule="auto"/>
      <w:ind w:firstLine="480" w:firstLineChars="200"/>
    </w:pPr>
    <w:rPr>
      <w:snapToGrid w:val="0"/>
    </w:rPr>
  </w:style>
  <w:style w:type="character" w:customStyle="1" w:styleId="941">
    <w:name w:val="样式  Char + 宋体 小四 Char"/>
    <w:link w:val="940"/>
    <w:uiPriority w:val="0"/>
    <w:rPr>
      <w:rFonts w:ascii="宋体" w:hAnsi="宋体"/>
      <w:snapToGrid w:val="0"/>
      <w:sz w:val="24"/>
      <w:szCs w:val="24"/>
    </w:rPr>
  </w:style>
  <w:style w:type="paragraph" w:customStyle="1" w:styleId="942">
    <w:name w:val="Char Char Char Char Char Char Char Char Char Char Char Char"/>
    <w:basedOn w:val="1"/>
    <w:qFormat/>
    <w:uiPriority w:val="0"/>
  </w:style>
  <w:style w:type="character" w:customStyle="1" w:styleId="943">
    <w:name w:val="页眉 Char Char Char"/>
    <w:uiPriority w:val="0"/>
    <w:rPr>
      <w:kern w:val="2"/>
      <w:sz w:val="18"/>
      <w:szCs w:val="18"/>
    </w:rPr>
  </w:style>
  <w:style w:type="paragraph" w:customStyle="1" w:styleId="944">
    <w:name w:val="南郊正文"/>
    <w:basedOn w:val="1"/>
    <w:next w:val="1"/>
    <w:autoRedefine/>
    <w:qFormat/>
    <w:uiPriority w:val="0"/>
  </w:style>
  <w:style w:type="character" w:customStyle="1" w:styleId="945">
    <w:name w:val="分目录1 Char"/>
    <w:link w:val="841"/>
    <w:uiPriority w:val="0"/>
    <w:rPr>
      <w:snapToGrid w:val="0"/>
      <w:sz w:val="28"/>
      <w:lang w:val="en-US" w:eastAsia="zh-CN"/>
    </w:rPr>
  </w:style>
  <w:style w:type="character" w:customStyle="1" w:styleId="946">
    <w:name w:val="【图片】 Char"/>
    <w:link w:val="947"/>
    <w:uiPriority w:val="0"/>
    <w:rPr>
      <w:rFonts w:ascii="宋体" w:hAnsi="宋体"/>
      <w:kern w:val="2"/>
      <w:sz w:val="24"/>
      <w:lang w:val="en-US" w:eastAsia="zh-CN" w:bidi="ar-SA"/>
    </w:rPr>
  </w:style>
  <w:style w:type="paragraph" w:customStyle="1" w:styleId="947">
    <w:name w:val="【图片】"/>
    <w:next w:val="379"/>
    <w:link w:val="946"/>
    <w:qFormat/>
    <w:uiPriority w:val="0"/>
    <w:pPr>
      <w:jc w:val="center"/>
    </w:pPr>
    <w:rPr>
      <w:rFonts w:ascii="宋体" w:hAnsi="宋体" w:eastAsia="宋体" w:cs="Times New Roman"/>
      <w:kern w:val="2"/>
      <w:sz w:val="24"/>
      <w:lang w:val="en-US" w:eastAsia="zh-CN" w:bidi="ar-SA"/>
    </w:rPr>
  </w:style>
  <w:style w:type="paragraph" w:customStyle="1" w:styleId="948">
    <w:name w:val="表内容"/>
    <w:qFormat/>
    <w:uiPriority w:val="0"/>
    <w:pPr>
      <w:jc w:val="center"/>
    </w:pPr>
    <w:rPr>
      <w:rFonts w:ascii="Times New Roman" w:hAnsi="Times New Roman" w:eastAsia="宋体" w:cs="Times New Roman"/>
      <w:kern w:val="2"/>
      <w:sz w:val="21"/>
      <w:lang w:val="en-US" w:eastAsia="zh-CN" w:bidi="ar-SA"/>
    </w:rPr>
  </w:style>
  <w:style w:type="character" w:customStyle="1" w:styleId="949">
    <w:name w:val="Char Char26"/>
    <w:uiPriority w:val="0"/>
    <w:rPr>
      <w:rFonts w:ascii="宋体" w:hAnsi="宋体" w:eastAsia="宋体"/>
      <w:color w:val="000000"/>
      <w:kern w:val="2"/>
      <w:sz w:val="24"/>
      <w:lang w:val="en-US" w:eastAsia="zh-CN"/>
    </w:rPr>
  </w:style>
  <w:style w:type="character" w:customStyle="1" w:styleId="950">
    <w:name w:val="wwww Char"/>
    <w:link w:val="951"/>
    <w:uiPriority w:val="0"/>
    <w:rPr>
      <w:rFonts w:ascii="宋体" w:hAnsi="宋体"/>
      <w:kern w:val="2"/>
      <w:sz w:val="28"/>
      <w:lang w:val="en-US" w:eastAsia="zh-CN" w:bidi="ar-SA"/>
    </w:rPr>
  </w:style>
  <w:style w:type="paragraph" w:customStyle="1" w:styleId="951">
    <w:name w:val="wwww"/>
    <w:link w:val="950"/>
    <w:qFormat/>
    <w:uiPriority w:val="0"/>
    <w:pPr>
      <w:ind w:firstLine="200" w:firstLineChars="200"/>
    </w:pPr>
    <w:rPr>
      <w:rFonts w:ascii="宋体" w:hAnsi="宋体" w:eastAsia="宋体" w:cs="Times New Roman"/>
      <w:kern w:val="2"/>
      <w:sz w:val="28"/>
      <w:lang w:val="en-US" w:eastAsia="zh-CN" w:bidi="ar-SA"/>
    </w:rPr>
  </w:style>
  <w:style w:type="character" w:customStyle="1" w:styleId="952">
    <w:name w:val="样式 (西文) Times New Roman (符号) 华文中宋 Char"/>
    <w:link w:val="953"/>
    <w:uiPriority w:val="0"/>
    <w:rPr>
      <w:rFonts w:ascii="Calibri" w:hAnsi="华文中宋" w:eastAsia="华文中宋"/>
      <w:sz w:val="24"/>
    </w:rPr>
  </w:style>
  <w:style w:type="paragraph" w:customStyle="1" w:styleId="953">
    <w:name w:val="样式 (西文) Times New Roman (符号) 华文中宋"/>
    <w:basedOn w:val="1"/>
    <w:link w:val="952"/>
    <w:qFormat/>
    <w:uiPriority w:val="0"/>
    <w:pPr>
      <w:spacing w:line="500" w:lineRule="exact"/>
      <w:ind w:firstLine="200" w:firstLineChars="200"/>
    </w:pPr>
    <w:rPr>
      <w:rFonts w:ascii="Calibri" w:hAnsi="华文中宋" w:eastAsia="华文中宋"/>
      <w:szCs w:val="20"/>
    </w:rPr>
  </w:style>
  <w:style w:type="paragraph" w:customStyle="1" w:styleId="954">
    <w:name w:val="样式 纯文本普通文字 Char普通文字 Char Char Char普通文字 Char Char Char Char Ch..."/>
    <w:basedOn w:val="31"/>
    <w:autoRedefine/>
    <w:qFormat/>
    <w:uiPriority w:val="0"/>
    <w:pPr>
      <w:spacing w:line="360" w:lineRule="auto"/>
      <w:ind w:left="-14" w:firstLine="552" w:firstLineChars="230"/>
    </w:pPr>
    <w:rPr>
      <w:rFonts w:ascii="Times New Roman" w:hAnsi="Times New Roman" w:cs="宋体"/>
      <w:szCs w:val="24"/>
    </w:rPr>
  </w:style>
  <w:style w:type="paragraph" w:customStyle="1" w:styleId="955">
    <w:name w:val="样式 样式 样式 标题四 + 非加粗 + 段前: 0.3 行 段后: 0.3 行 + 段前: 0.3 行 段后: 0.3 行"/>
    <w:basedOn w:val="1"/>
    <w:autoRedefine/>
    <w:qFormat/>
    <w:uiPriority w:val="0"/>
    <w:pPr>
      <w:autoSpaceDE w:val="0"/>
      <w:autoSpaceDN w:val="0"/>
      <w:adjustRightInd w:val="0"/>
      <w:snapToGrid w:val="0"/>
      <w:textAlignment w:val="baseline"/>
    </w:pPr>
    <w:rPr>
      <w:b/>
      <w:snapToGrid w:val="0"/>
      <w:sz w:val="18"/>
      <w:szCs w:val="18"/>
    </w:rPr>
  </w:style>
  <w:style w:type="paragraph" w:customStyle="1" w:styleId="956">
    <w:name w:val="表标号"/>
    <w:link w:val="957"/>
    <w:autoRedefine/>
    <w:qFormat/>
    <w:uiPriority w:val="0"/>
    <w:pPr>
      <w:adjustRightInd w:val="0"/>
      <w:spacing w:beforeLines="10" w:afterLines="10" w:line="360" w:lineRule="auto"/>
      <w:ind w:firstLine="480" w:firstLineChars="200"/>
      <w:jc w:val="both"/>
    </w:pPr>
    <w:rPr>
      <w:rFonts w:ascii="Times New Roman" w:hAnsi="Times New Roman" w:eastAsia="黑体" w:cs="Times New Roman"/>
      <w:snapToGrid w:val="0"/>
      <w:sz w:val="24"/>
      <w:szCs w:val="24"/>
      <w:lang w:val="en-US" w:eastAsia="zh-CN" w:bidi="ar-SA"/>
    </w:rPr>
  </w:style>
  <w:style w:type="character" w:customStyle="1" w:styleId="957">
    <w:name w:val="表标号 Char"/>
    <w:link w:val="956"/>
    <w:uiPriority w:val="0"/>
    <w:rPr>
      <w:rFonts w:eastAsia="黑体"/>
      <w:snapToGrid w:val="0"/>
      <w:sz w:val="24"/>
      <w:szCs w:val="24"/>
      <w:lang w:bidi="ar-SA"/>
    </w:rPr>
  </w:style>
  <w:style w:type="character" w:customStyle="1" w:styleId="958">
    <w:name w:val="准 表头 Char"/>
    <w:link w:val="959"/>
    <w:uiPriority w:val="0"/>
    <w:rPr>
      <w:rFonts w:eastAsia="黑体"/>
      <w:szCs w:val="21"/>
      <w:lang w:val="en-US" w:eastAsia="zh-CN" w:bidi="ar-SA"/>
    </w:rPr>
  </w:style>
  <w:style w:type="paragraph" w:customStyle="1" w:styleId="959">
    <w:name w:val="准 表头"/>
    <w:link w:val="958"/>
    <w:qFormat/>
    <w:uiPriority w:val="0"/>
    <w:pPr>
      <w:spacing w:line="360" w:lineRule="auto"/>
      <w:jc w:val="center"/>
    </w:pPr>
    <w:rPr>
      <w:rFonts w:ascii="Times New Roman" w:hAnsi="Times New Roman" w:eastAsia="黑体" w:cs="Times New Roman"/>
      <w:szCs w:val="21"/>
      <w:lang w:val="en-US" w:eastAsia="zh-CN" w:bidi="ar-SA"/>
    </w:rPr>
  </w:style>
  <w:style w:type="paragraph" w:customStyle="1" w:styleId="960">
    <w:name w:val="Char Char1 Char Char Char Char Char Char"/>
    <w:basedOn w:val="1"/>
    <w:qFormat/>
    <w:uiPriority w:val="0"/>
    <w:pPr>
      <w:spacing w:line="360" w:lineRule="auto"/>
      <w:ind w:firstLine="200" w:firstLineChars="200"/>
    </w:pPr>
  </w:style>
  <w:style w:type="paragraph" w:customStyle="1" w:styleId="961">
    <w:name w:val="Char Char Char Char Char Char1 Char Char Char Char Char Char Char"/>
    <w:basedOn w:val="1"/>
    <w:qFormat/>
    <w:uiPriority w:val="0"/>
    <w:rPr>
      <w:szCs w:val="20"/>
    </w:rPr>
  </w:style>
  <w:style w:type="character" w:customStyle="1" w:styleId="962">
    <w:name w:val="表文字 Char1"/>
    <w:link w:val="660"/>
    <w:uiPriority w:val="0"/>
    <w:rPr>
      <w:kern w:val="2"/>
      <w:sz w:val="21"/>
    </w:rPr>
  </w:style>
  <w:style w:type="character" w:customStyle="1" w:styleId="963">
    <w:name w:val="Char Char3"/>
    <w:locked/>
    <w:uiPriority w:val="0"/>
    <w:rPr>
      <w:rFonts w:ascii="宋体" w:hAnsi="宋体" w:eastAsia="宋体"/>
      <w:color w:val="000000"/>
      <w:kern w:val="2"/>
      <w:sz w:val="24"/>
      <w:szCs w:val="24"/>
      <w:lang w:bidi="ar-SA"/>
    </w:rPr>
  </w:style>
  <w:style w:type="character" w:customStyle="1" w:styleId="964">
    <w:name w:val="Char Char71"/>
    <w:locked/>
    <w:uiPriority w:val="0"/>
    <w:rPr>
      <w:rFonts w:ascii="宋体" w:hAnsi="宋体" w:eastAsia="宋体"/>
      <w:kern w:val="2"/>
      <w:sz w:val="18"/>
      <w:szCs w:val="18"/>
      <w:lang w:val="en-US" w:eastAsia="zh-CN" w:bidi="ar-SA"/>
    </w:rPr>
  </w:style>
  <w:style w:type="character" w:customStyle="1" w:styleId="965">
    <w:name w:val="Char2 Char Char"/>
    <w:locked/>
    <w:uiPriority w:val="0"/>
    <w:rPr>
      <w:rFonts w:ascii="Arial" w:hAnsi="Arial" w:eastAsia="宋体" w:cs="Arial"/>
      <w:b/>
      <w:bCs/>
      <w:kern w:val="28"/>
      <w:sz w:val="32"/>
      <w:szCs w:val="32"/>
      <w:lang w:val="en-US" w:eastAsia="zh-CN" w:bidi="ar-SA"/>
    </w:rPr>
  </w:style>
  <w:style w:type="character" w:customStyle="1" w:styleId="966">
    <w:name w:val="Char Char6"/>
    <w:locked/>
    <w:uiPriority w:val="0"/>
    <w:rPr>
      <w:rFonts w:ascii="黑体" w:hAnsi="Courier New" w:eastAsia="黑体"/>
      <w:kern w:val="2"/>
      <w:sz w:val="28"/>
      <w:lang w:val="en-US" w:eastAsia="zh-CN" w:bidi="ar-SA"/>
    </w:rPr>
  </w:style>
  <w:style w:type="character" w:customStyle="1" w:styleId="967">
    <w:name w:val="Char Char4"/>
    <w:locked/>
    <w:uiPriority w:val="0"/>
    <w:rPr>
      <w:rFonts w:ascii="宋体" w:hAnsi="宋体" w:eastAsia="宋体"/>
      <w:kern w:val="2"/>
      <w:sz w:val="28"/>
      <w:lang w:val="en-US" w:eastAsia="zh-CN" w:bidi="ar-SA"/>
    </w:rPr>
  </w:style>
  <w:style w:type="character" w:customStyle="1" w:styleId="968">
    <w:name w:val="Char Char111"/>
    <w:locked/>
    <w:uiPriority w:val="0"/>
    <w:rPr>
      <w:rFonts w:ascii="宋体" w:hAnsi="宋体" w:eastAsia="宋体"/>
      <w:kern w:val="2"/>
      <w:sz w:val="24"/>
      <w:szCs w:val="24"/>
      <w:lang w:val="en-US" w:eastAsia="zh-CN" w:bidi="ar-SA"/>
    </w:rPr>
  </w:style>
  <w:style w:type="character" w:customStyle="1" w:styleId="969">
    <w:name w:val="Char Char2"/>
    <w:locked/>
    <w:uiPriority w:val="0"/>
    <w:rPr>
      <w:rFonts w:ascii="宋体" w:hAnsi="宋体" w:eastAsia="宋体"/>
      <w:kern w:val="2"/>
      <w:sz w:val="18"/>
      <w:szCs w:val="18"/>
      <w:lang w:val="en-US" w:eastAsia="zh-CN" w:bidi="ar-SA"/>
    </w:rPr>
  </w:style>
  <w:style w:type="paragraph" w:customStyle="1" w:styleId="970">
    <w:name w:val="Char Char Char Char Char Char Char Char Char Char Char Char Char1"/>
    <w:basedOn w:val="1"/>
    <w:qFormat/>
    <w:uiPriority w:val="0"/>
  </w:style>
  <w:style w:type="paragraph" w:customStyle="1" w:styleId="971">
    <w:name w:val="Char Char Char1 Char Char Char1"/>
    <w:basedOn w:val="1"/>
    <w:qFormat/>
    <w:uiPriority w:val="0"/>
  </w:style>
  <w:style w:type="paragraph" w:customStyle="1" w:styleId="972">
    <w:name w:val="Char Char Char1 Char Char Char Char Char Char Char1"/>
    <w:basedOn w:val="1"/>
    <w:qFormat/>
    <w:uiPriority w:val="0"/>
    <w:rPr>
      <w:szCs w:val="20"/>
    </w:rPr>
  </w:style>
  <w:style w:type="paragraph" w:customStyle="1" w:styleId="973">
    <w:name w:val="Char Char Char Char1 Char Char Char1"/>
    <w:basedOn w:val="1"/>
    <w:qFormat/>
    <w:uiPriority w:val="0"/>
    <w:rPr>
      <w:szCs w:val="20"/>
    </w:rPr>
  </w:style>
  <w:style w:type="paragraph" w:customStyle="1" w:styleId="974">
    <w:name w:val="Char Char Char1 Char Char Char Char Char Char Char Char Char Char Char Char1 Char Char Char Char Char Char Char Char Char Char1"/>
    <w:basedOn w:val="1"/>
    <w:qFormat/>
    <w:uiPriority w:val="0"/>
  </w:style>
  <w:style w:type="paragraph" w:customStyle="1" w:styleId="975">
    <w:name w:val="Char Char Char Char Char Char1 Char1"/>
    <w:basedOn w:val="1"/>
    <w:qFormat/>
    <w:uiPriority w:val="0"/>
    <w:rPr>
      <w:position w:val="-6"/>
      <w:sz w:val="28"/>
      <w:szCs w:val="28"/>
    </w:rPr>
  </w:style>
  <w:style w:type="paragraph" w:customStyle="1" w:styleId="976">
    <w:name w:val="Char Char1 Char Char Char Char Char Char1"/>
    <w:basedOn w:val="1"/>
    <w:qFormat/>
    <w:uiPriority w:val="0"/>
    <w:pPr>
      <w:spacing w:line="360" w:lineRule="auto"/>
      <w:ind w:firstLine="200" w:firstLineChars="200"/>
    </w:pPr>
  </w:style>
  <w:style w:type="paragraph" w:customStyle="1" w:styleId="977">
    <w:name w:val="Char61"/>
    <w:basedOn w:val="1"/>
    <w:qFormat/>
    <w:uiPriority w:val="0"/>
    <w:pPr>
      <w:spacing w:line="360" w:lineRule="auto"/>
      <w:ind w:firstLine="200" w:firstLineChars="200"/>
    </w:pPr>
  </w:style>
  <w:style w:type="paragraph" w:customStyle="1" w:styleId="978">
    <w:name w:val="Char Char7 Char1"/>
    <w:basedOn w:val="1"/>
    <w:semiHidden/>
    <w:qFormat/>
    <w:uiPriority w:val="0"/>
    <w:pPr>
      <w:spacing w:after="160" w:line="240" w:lineRule="exact"/>
    </w:pPr>
    <w:rPr>
      <w:rFonts w:ascii="Verdana" w:hAnsi="Verdana"/>
      <w:sz w:val="20"/>
      <w:szCs w:val="20"/>
      <w:lang w:eastAsia="en-US"/>
    </w:rPr>
  </w:style>
  <w:style w:type="paragraph" w:customStyle="1" w:styleId="979">
    <w:name w:val="Char3 Char Char Char1"/>
    <w:basedOn w:val="1"/>
    <w:qFormat/>
    <w:uiPriority w:val="0"/>
  </w:style>
  <w:style w:type="paragraph" w:customStyle="1" w:styleId="980">
    <w:name w:val="Char Char Char Char Char Char1 Char Char Char Char Char Char Char1"/>
    <w:basedOn w:val="1"/>
    <w:qFormat/>
    <w:uiPriority w:val="0"/>
    <w:rPr>
      <w:szCs w:val="20"/>
    </w:rPr>
  </w:style>
  <w:style w:type="character" w:customStyle="1" w:styleId="981">
    <w:name w:val="emailstyle128"/>
    <w:semiHidden/>
    <w:uiPriority w:val="0"/>
    <w:rPr>
      <w:rFonts w:hint="default" w:ascii="Arial" w:hAnsi="Arial" w:eastAsia="宋体" w:cs="Arial"/>
      <w:color w:val="auto"/>
      <w:sz w:val="20"/>
    </w:rPr>
  </w:style>
  <w:style w:type="character" w:customStyle="1" w:styleId="982">
    <w:name w:val="Char5 Char Char6"/>
    <w:uiPriority w:val="0"/>
    <w:rPr>
      <w:kern w:val="2"/>
      <w:sz w:val="28"/>
      <w:lang w:bidi="ar-SA"/>
    </w:rPr>
  </w:style>
  <w:style w:type="character" w:customStyle="1" w:styleId="983">
    <w:name w:val="Char4 Char Char6"/>
    <w:uiPriority w:val="0"/>
    <w:rPr>
      <w:rFonts w:hint="eastAsia" w:ascii="宋体" w:hAnsi="宋体" w:eastAsia="宋体"/>
      <w:color w:val="000000"/>
      <w:kern w:val="2"/>
      <w:sz w:val="24"/>
      <w:szCs w:val="24"/>
      <w:lang w:bidi="ar-SA"/>
    </w:rPr>
  </w:style>
  <w:style w:type="character" w:customStyle="1" w:styleId="984">
    <w:name w:val="Char3 Char Char6"/>
    <w:uiPriority w:val="0"/>
    <w:rPr>
      <w:rFonts w:hint="eastAsia" w:ascii="宋体" w:hAnsi="宋体" w:eastAsia="宋体"/>
      <w:b/>
      <w:bCs/>
      <w:color w:val="000000"/>
      <w:kern w:val="2"/>
      <w:sz w:val="24"/>
      <w:szCs w:val="24"/>
      <w:lang w:bidi="ar-SA"/>
    </w:rPr>
  </w:style>
  <w:style w:type="paragraph" w:customStyle="1" w:styleId="985">
    <w:name w:val="陈正文"/>
    <w:basedOn w:val="1"/>
    <w:next w:val="1"/>
    <w:link w:val="986"/>
    <w:autoRedefine/>
    <w:qFormat/>
    <w:uiPriority w:val="0"/>
    <w:pPr>
      <w:spacing w:line="360" w:lineRule="auto"/>
      <w:ind w:firstLine="480" w:firstLineChars="200"/>
    </w:pPr>
  </w:style>
  <w:style w:type="character" w:customStyle="1" w:styleId="986">
    <w:name w:val="陈正文 Char"/>
    <w:link w:val="985"/>
    <w:uiPriority w:val="0"/>
    <w:rPr>
      <w:rFonts w:ascii="宋体" w:hAnsi="宋体"/>
      <w:kern w:val="2"/>
      <w:sz w:val="24"/>
      <w:szCs w:val="24"/>
    </w:rPr>
  </w:style>
  <w:style w:type="character" w:customStyle="1" w:styleId="987">
    <w:name w:val="新正文 Char"/>
    <w:link w:val="365"/>
    <w:uiPriority w:val="0"/>
    <w:rPr>
      <w:kern w:val="2"/>
      <w:sz w:val="24"/>
    </w:rPr>
  </w:style>
  <w:style w:type="paragraph" w:customStyle="1" w:styleId="988">
    <w:name w:val="陈表头文字"/>
    <w:basedOn w:val="1"/>
    <w:next w:val="1"/>
    <w:link w:val="989"/>
    <w:autoRedefine/>
    <w:qFormat/>
    <w:uiPriority w:val="0"/>
    <w:pPr>
      <w:keepNext/>
      <w:spacing w:line="288" w:lineRule="auto"/>
      <w:jc w:val="center"/>
    </w:pPr>
    <w:rPr>
      <w:b/>
    </w:rPr>
  </w:style>
  <w:style w:type="character" w:customStyle="1" w:styleId="989">
    <w:name w:val="陈表头文字 Char"/>
    <w:link w:val="988"/>
    <w:uiPriority w:val="0"/>
    <w:rPr>
      <w:rFonts w:ascii="宋体" w:hAnsi="宋体"/>
      <w:b/>
      <w:kern w:val="2"/>
      <w:sz w:val="24"/>
      <w:szCs w:val="24"/>
    </w:rPr>
  </w:style>
  <w:style w:type="paragraph" w:customStyle="1" w:styleId="990">
    <w:name w:val="样式 样式 标题 3 + 段前: 0.3 行 + 首行缩进:  0 厘米"/>
    <w:basedOn w:val="1"/>
    <w:qFormat/>
    <w:uiPriority w:val="0"/>
    <w:pPr>
      <w:keepLines/>
      <w:spacing w:before="60" w:after="60" w:line="360" w:lineRule="auto"/>
      <w:outlineLvl w:val="2"/>
    </w:pPr>
    <w:rPr>
      <w:b/>
      <w:spacing w:val="16"/>
      <w:w w:val="95"/>
      <w:szCs w:val="20"/>
    </w:rPr>
  </w:style>
  <w:style w:type="paragraph" w:customStyle="1" w:styleId="991">
    <w:name w:val="样式 标题 2 Char标题 2 Char节(C+F2)节，一宋三标题 2-王鹏节标题 1.11.1标题2b..."/>
    <w:basedOn w:val="3"/>
    <w:autoRedefine/>
    <w:qFormat/>
    <w:uiPriority w:val="0"/>
    <w:pPr>
      <w:adjustRightInd w:val="0"/>
      <w:snapToGrid w:val="0"/>
      <w:spacing w:beforeLines="0" w:afterLines="0"/>
      <w:outlineLvl w:val="2"/>
    </w:pPr>
    <w:rPr>
      <w:sz w:val="24"/>
      <w:szCs w:val="24"/>
    </w:rPr>
  </w:style>
  <w:style w:type="paragraph" w:customStyle="1" w:styleId="992">
    <w:name w:val="yyp"/>
    <w:basedOn w:val="379"/>
    <w:link w:val="993"/>
    <w:qFormat/>
    <w:uiPriority w:val="0"/>
    <w:pPr>
      <w:spacing w:after="120"/>
    </w:pPr>
  </w:style>
  <w:style w:type="character" w:customStyle="1" w:styleId="993">
    <w:name w:val="yyp Char"/>
    <w:link w:val="992"/>
    <w:uiPriority w:val="0"/>
    <w:rPr>
      <w:kern w:val="2"/>
      <w:sz w:val="24"/>
      <w:szCs w:val="24"/>
    </w:rPr>
  </w:style>
  <w:style w:type="paragraph" w:customStyle="1" w:styleId="994">
    <w:name w:val="样式 Arial 小四 黑色 首行缩进:  24 磅 行距: 1.5 倍行距"/>
    <w:basedOn w:val="1"/>
    <w:link w:val="995"/>
    <w:qFormat/>
    <w:uiPriority w:val="0"/>
    <w:pPr>
      <w:adjustRightInd w:val="0"/>
      <w:snapToGrid w:val="0"/>
      <w:spacing w:line="360" w:lineRule="auto"/>
      <w:ind w:firstLine="200" w:firstLineChars="200"/>
    </w:pPr>
    <w:rPr>
      <w:rFonts w:ascii="Arial" w:hAnsi="Arial"/>
      <w:color w:val="000000"/>
      <w:szCs w:val="20"/>
    </w:rPr>
  </w:style>
  <w:style w:type="character" w:customStyle="1" w:styleId="995">
    <w:name w:val="样式 Arial 小四 黑色 首行缩进:  24 磅 行距: 1.5 倍行距 Char"/>
    <w:link w:val="994"/>
    <w:uiPriority w:val="0"/>
    <w:rPr>
      <w:rFonts w:ascii="Arial" w:hAnsi="Arial" w:cs="宋体"/>
      <w:color w:val="000000"/>
      <w:kern w:val="2"/>
      <w:sz w:val="24"/>
    </w:rPr>
  </w:style>
  <w:style w:type="character" w:customStyle="1" w:styleId="996">
    <w:name w:val="项标题(1) Char Char"/>
    <w:uiPriority w:val="0"/>
    <w:rPr>
      <w:rFonts w:eastAsia="宋体"/>
      <w:b/>
      <w:kern w:val="2"/>
      <w:sz w:val="24"/>
      <w:lang w:val="en-US" w:eastAsia="zh-CN" w:bidi="ar-SA"/>
    </w:rPr>
  </w:style>
  <w:style w:type="character" w:customStyle="1" w:styleId="997">
    <w:name w:val="干标题(a) Char Char1"/>
    <w:uiPriority w:val="0"/>
    <w:rPr>
      <w:rFonts w:ascii="Arial" w:hAnsi="Arial" w:eastAsia="黑体"/>
      <w:kern w:val="2"/>
      <w:sz w:val="21"/>
      <w:lang w:val="en-US" w:eastAsia="zh-CN" w:bidi="ar-SA"/>
    </w:rPr>
  </w:style>
  <w:style w:type="character" w:customStyle="1" w:styleId="998">
    <w:name w:val="样式8 Char"/>
    <w:link w:val="814"/>
    <w:uiPriority w:val="0"/>
    <w:rPr>
      <w:rFonts w:ascii="宋体"/>
      <w:kern w:val="2"/>
      <w:sz w:val="24"/>
    </w:rPr>
  </w:style>
  <w:style w:type="paragraph" w:customStyle="1" w:styleId="999">
    <w:name w:val="样式 Times New Roman 行距: 1.5 倍行距"/>
    <w:basedOn w:val="1"/>
    <w:link w:val="1000"/>
    <w:qFormat/>
    <w:uiPriority w:val="0"/>
    <w:pPr>
      <w:spacing w:line="360" w:lineRule="auto"/>
      <w:ind w:firstLine="480" w:firstLineChars="200"/>
    </w:pPr>
    <w:rPr>
      <w:kern w:val="24"/>
      <w:sz w:val="28"/>
      <w:szCs w:val="28"/>
    </w:rPr>
  </w:style>
  <w:style w:type="character" w:customStyle="1" w:styleId="1000">
    <w:name w:val="样式 Times New Roman 行距: 1.5 倍行距 Char"/>
    <w:link w:val="999"/>
    <w:uiPriority w:val="0"/>
    <w:rPr>
      <w:rFonts w:cs="宋体"/>
      <w:kern w:val="24"/>
      <w:sz w:val="28"/>
      <w:szCs w:val="28"/>
    </w:rPr>
  </w:style>
  <w:style w:type="character" w:customStyle="1" w:styleId="1001">
    <w:name w:val="Char Char5"/>
    <w:uiPriority w:val="0"/>
    <w:rPr>
      <w:rFonts w:ascii="宋体" w:eastAsia="宋体"/>
      <w:sz w:val="24"/>
      <w:lang w:val="en-US" w:eastAsia="zh-CN" w:bidi="ar-SA"/>
    </w:rPr>
  </w:style>
  <w:style w:type="paragraph" w:customStyle="1" w:styleId="1002">
    <w:name w:val="Char Char Char3 Char Char Char Char Char Char Char Char Char Char Char Char Char"/>
    <w:basedOn w:val="1"/>
    <w:qFormat/>
    <w:uiPriority w:val="0"/>
    <w:rPr>
      <w:szCs w:val="20"/>
    </w:rPr>
  </w:style>
  <w:style w:type="character" w:customStyle="1" w:styleId="1003">
    <w:name w:val="样式 Times New Roman"/>
    <w:uiPriority w:val="0"/>
    <w:rPr>
      <w:rFonts w:ascii="Times New Roman" w:hAnsi="Times New Roman" w:eastAsia="宋体"/>
      <w:sz w:val="28"/>
      <w:szCs w:val="28"/>
    </w:rPr>
  </w:style>
  <w:style w:type="character" w:customStyle="1" w:styleId="1004">
    <w:name w:val="页眉 Char1"/>
    <w:uiPriority w:val="0"/>
    <w:rPr>
      <w:kern w:val="2"/>
      <w:sz w:val="18"/>
      <w:szCs w:val="18"/>
    </w:rPr>
  </w:style>
  <w:style w:type="paragraph" w:customStyle="1" w:styleId="1005">
    <w:name w:val="z-窗体顶端1"/>
    <w:basedOn w:val="1"/>
    <w:next w:val="1"/>
    <w:link w:val="1006"/>
    <w:uiPriority w:val="0"/>
    <w:pPr>
      <w:pBdr>
        <w:bottom w:val="single" w:color="auto" w:sz="6" w:space="1"/>
      </w:pBdr>
      <w:jc w:val="center"/>
    </w:pPr>
    <w:rPr>
      <w:rFonts w:ascii="Arial" w:hAnsi="Arial"/>
      <w:vanish/>
      <w:sz w:val="16"/>
      <w:szCs w:val="16"/>
    </w:rPr>
  </w:style>
  <w:style w:type="character" w:customStyle="1" w:styleId="1006">
    <w:name w:val="z-窗体顶端 Char"/>
    <w:link w:val="1005"/>
    <w:uiPriority w:val="0"/>
    <w:rPr>
      <w:rFonts w:ascii="Arial" w:hAnsi="Arial" w:cs="Arial"/>
      <w:vanish/>
      <w:kern w:val="2"/>
      <w:sz w:val="16"/>
      <w:szCs w:val="16"/>
    </w:rPr>
  </w:style>
  <w:style w:type="paragraph" w:customStyle="1" w:styleId="1007">
    <w:name w:val="样式 标题 1章标题 1 + (符号) 宋体 四号 段前: 0 磅 段后: 0 磅 行距: 最小值 28 磅"/>
    <w:basedOn w:val="2"/>
    <w:qFormat/>
    <w:uiPriority w:val="0"/>
    <w:pPr>
      <w:keepNext w:val="0"/>
      <w:keepLines w:val="0"/>
      <w:tabs>
        <w:tab w:val="left" w:pos="425"/>
      </w:tabs>
      <w:autoSpaceDE w:val="0"/>
      <w:autoSpaceDN w:val="0"/>
      <w:adjustRightInd w:val="0"/>
      <w:snapToGrid w:val="0"/>
      <w:spacing w:beforeLines="0" w:afterLines="0" w:line="560" w:lineRule="atLeast"/>
      <w:textAlignment w:val="baseline"/>
    </w:pPr>
    <w:rPr>
      <w:rFonts w:ascii="黑体" w:eastAsia="黑体"/>
      <w:sz w:val="30"/>
      <w:szCs w:val="20"/>
    </w:rPr>
  </w:style>
  <w:style w:type="character" w:customStyle="1" w:styleId="1008">
    <w:name w:val="newsbody3"/>
    <w:uiPriority w:val="0"/>
    <w:rPr>
      <w:sz w:val="21"/>
      <w:szCs w:val="21"/>
    </w:rPr>
  </w:style>
  <w:style w:type="paragraph" w:customStyle="1" w:styleId="1009">
    <w:name w:val="样式 小四"/>
    <w:basedOn w:val="1"/>
    <w:qFormat/>
    <w:uiPriority w:val="0"/>
    <w:pPr>
      <w:spacing w:line="360" w:lineRule="auto"/>
      <w:ind w:firstLine="200" w:firstLineChars="200"/>
    </w:pPr>
  </w:style>
  <w:style w:type="character" w:customStyle="1" w:styleId="1010">
    <w:name w:val="样式6 Char"/>
    <w:link w:val="790"/>
    <w:uiPriority w:val="0"/>
    <w:rPr>
      <w:rFonts w:ascii="宋体" w:hAnsi="宋体"/>
      <w:color w:val="FF0000"/>
      <w:sz w:val="24"/>
      <w:szCs w:val="24"/>
    </w:rPr>
  </w:style>
  <w:style w:type="paragraph" w:customStyle="1" w:styleId="1011">
    <w:name w:val="样式7"/>
    <w:basedOn w:val="56"/>
    <w:link w:val="1012"/>
    <w:qFormat/>
    <w:uiPriority w:val="0"/>
    <w:pPr>
      <w:pBdr>
        <w:bottom w:val="none" w:color="auto" w:sz="0" w:space="0"/>
      </w:pBdr>
    </w:pPr>
  </w:style>
  <w:style w:type="character" w:customStyle="1" w:styleId="1012">
    <w:name w:val="样式7 Char"/>
    <w:link w:val="1011"/>
    <w:uiPriority w:val="0"/>
    <w:rPr>
      <w:kern w:val="2"/>
      <w:sz w:val="18"/>
      <w:szCs w:val="18"/>
    </w:rPr>
  </w:style>
  <w:style w:type="paragraph" w:customStyle="1" w:styleId="1013">
    <w:name w:val="样式9"/>
    <w:basedOn w:val="54"/>
    <w:link w:val="1014"/>
    <w:qFormat/>
    <w:uiPriority w:val="0"/>
    <w:pPr>
      <w:autoSpaceDE w:val="0"/>
      <w:autoSpaceDN w:val="0"/>
      <w:adjustRightInd w:val="0"/>
      <w:spacing w:before="72" w:line="240" w:lineRule="atLeast"/>
      <w:jc w:val="right"/>
      <w:textAlignment w:val="bottom"/>
    </w:pPr>
    <w:rPr>
      <w:b/>
    </w:rPr>
  </w:style>
  <w:style w:type="character" w:customStyle="1" w:styleId="1014">
    <w:name w:val="样式9 Char"/>
    <w:link w:val="1013"/>
    <w:uiPriority w:val="0"/>
    <w:rPr>
      <w:rFonts w:ascii="宋体" w:hAnsi="宋体"/>
      <w:b/>
      <w:kern w:val="2"/>
      <w:sz w:val="18"/>
      <w:szCs w:val="18"/>
    </w:rPr>
  </w:style>
  <w:style w:type="character" w:customStyle="1" w:styleId="1015">
    <w:name w:val="Comment Text Char"/>
    <w:semiHidden/>
    <w:locked/>
    <w:uiPriority w:val="0"/>
    <w:rPr>
      <w:rFonts w:ascii="宋体" w:eastAsia="宋体"/>
      <w:sz w:val="24"/>
      <w:lang w:val="en-US" w:eastAsia="zh-CN" w:bidi="ar-SA"/>
    </w:rPr>
  </w:style>
  <w:style w:type="character" w:customStyle="1" w:styleId="1016">
    <w:name w:val="d11"/>
    <w:uiPriority w:val="0"/>
    <w:rPr>
      <w:spacing w:val="400"/>
      <w:sz w:val="20"/>
      <w:szCs w:val="20"/>
    </w:rPr>
  </w:style>
  <w:style w:type="paragraph" w:customStyle="1" w:styleId="1017">
    <w:name w:val="修订1"/>
    <w:hidden/>
    <w:semiHidden/>
    <w:uiPriority w:val="99"/>
    <w:rPr>
      <w:rFonts w:ascii="Times New Roman" w:hAnsi="Times New Roman" w:eastAsia="宋体" w:cs="Times New Roman"/>
      <w:sz w:val="21"/>
      <w:lang w:val="en-US" w:eastAsia="zh-CN" w:bidi="ar-SA"/>
    </w:rPr>
  </w:style>
  <w:style w:type="character" w:customStyle="1" w:styleId="1018">
    <w:name w:val="报告正文 Char1"/>
    <w:uiPriority w:val="0"/>
    <w:rPr>
      <w:rFonts w:ascii="Times" w:hAnsi="Times" w:eastAsia="仿宋_GB2312"/>
      <w:bCs/>
      <w:color w:val="000000"/>
      <w:kern w:val="2"/>
      <w:sz w:val="28"/>
    </w:rPr>
  </w:style>
  <w:style w:type="paragraph" w:customStyle="1" w:styleId="1019">
    <w:name w:val="Char1 Char Char Char Char Char Char Char Char Char Char Char1 Char"/>
    <w:basedOn w:val="1"/>
    <w:qFormat/>
    <w:uiPriority w:val="0"/>
  </w:style>
  <w:style w:type="paragraph" w:customStyle="1" w:styleId="1020">
    <w:name w:val="Char Char Char Char Char Char Char Char Char Char Char Char1"/>
    <w:basedOn w:val="1"/>
    <w:qFormat/>
    <w:uiPriority w:val="0"/>
  </w:style>
  <w:style w:type="paragraph" w:customStyle="1" w:styleId="1021">
    <w:name w:val="Plain Text1"/>
    <w:basedOn w:val="1"/>
    <w:qFormat/>
    <w:uiPriority w:val="0"/>
    <w:pPr>
      <w:adjustRightInd w:val="0"/>
      <w:textAlignment w:val="baseline"/>
    </w:pPr>
    <w:rPr>
      <w:rFonts w:hAnsi="Courier New"/>
      <w:sz w:val="28"/>
      <w:szCs w:val="20"/>
    </w:rPr>
  </w:style>
  <w:style w:type="paragraph" w:customStyle="1" w:styleId="1022">
    <w:name w:val="样式 标题 2节标题 1.11.1标题2第*章第*章1第*章2Heading 2 HiddenHeading 2 ..."/>
    <w:basedOn w:val="3"/>
    <w:qFormat/>
    <w:uiPriority w:val="0"/>
    <w:pPr>
      <w:keepNext w:val="0"/>
      <w:keepLines w:val="0"/>
      <w:adjustRightInd w:val="0"/>
      <w:snapToGrid w:val="0"/>
      <w:spacing w:beforeLines="0" w:afterLines="0" w:line="440" w:lineRule="atLeast"/>
    </w:pPr>
    <w:rPr>
      <w:rFonts w:ascii="黑体" w:eastAsia="黑体"/>
      <w:b w:val="0"/>
      <w:bCs w:val="0"/>
      <w:snapToGrid w:val="0"/>
      <w:sz w:val="24"/>
      <w:szCs w:val="24"/>
    </w:rPr>
  </w:style>
  <w:style w:type="paragraph" w:customStyle="1" w:styleId="1023">
    <w:name w:val="样式 标题 1章标题 1章节标题b111标题 1 + 非加粗 自动设置"/>
    <w:basedOn w:val="2"/>
    <w:link w:val="1024"/>
    <w:qFormat/>
    <w:uiPriority w:val="0"/>
    <w:pPr>
      <w:tabs>
        <w:tab w:val="left" w:pos="567"/>
      </w:tabs>
      <w:adjustRightInd w:val="0"/>
      <w:snapToGrid w:val="0"/>
      <w:spacing w:beforeLines="0" w:afterLines="0" w:line="440" w:lineRule="atLeast"/>
      <w:textAlignment w:val="baseline"/>
    </w:pPr>
    <w:rPr>
      <w:rFonts w:ascii="黑体" w:eastAsia="黑体"/>
      <w:b w:val="0"/>
      <w:bCs w:val="0"/>
      <w:kern w:val="0"/>
      <w:sz w:val="28"/>
      <w:szCs w:val="32"/>
    </w:rPr>
  </w:style>
  <w:style w:type="character" w:customStyle="1" w:styleId="1024">
    <w:name w:val="样式 标题 1章标题 1章节标题b111标题 1 + 非加粗 自动设置 Char"/>
    <w:link w:val="1023"/>
    <w:uiPriority w:val="0"/>
    <w:rPr>
      <w:rFonts w:ascii="黑体" w:hAnsi="宋体" w:eastAsia="黑体"/>
      <w:sz w:val="28"/>
      <w:szCs w:val="32"/>
    </w:rPr>
  </w:style>
  <w:style w:type="paragraph" w:customStyle="1" w:styleId="1025">
    <w:name w:val="TOC 标题1"/>
    <w:basedOn w:val="2"/>
    <w:next w:val="1"/>
    <w:qFormat/>
    <w:uiPriority w:val="39"/>
    <w:pPr>
      <w:spacing w:beforeLines="0" w:afterLines="0" w:line="276" w:lineRule="auto"/>
      <w:outlineLvl w:val="9"/>
    </w:pPr>
    <w:rPr>
      <w:rFonts w:ascii="Cambria" w:hAnsi="Cambria"/>
      <w:color w:val="365F91"/>
      <w:kern w:val="0"/>
      <w:sz w:val="28"/>
      <w:szCs w:val="28"/>
    </w:rPr>
  </w:style>
  <w:style w:type="paragraph" w:customStyle="1" w:styleId="1026">
    <w:name w:val="xl9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style>
  <w:style w:type="paragraph" w:customStyle="1" w:styleId="1027">
    <w:name w:val="xl93"/>
    <w:basedOn w:val="1"/>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color w:val="000000"/>
    </w:rPr>
  </w:style>
  <w:style w:type="paragraph" w:customStyle="1" w:styleId="1028">
    <w:name w:val="xl9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color w:val="000000"/>
    </w:rPr>
  </w:style>
  <w:style w:type="paragraph" w:customStyle="1" w:styleId="1029">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color w:val="000000"/>
    </w:rPr>
  </w:style>
  <w:style w:type="paragraph" w:customStyle="1" w:styleId="1030">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rPr>
  </w:style>
  <w:style w:type="paragraph" w:customStyle="1" w:styleId="1031">
    <w:name w:val="表格头"/>
    <w:basedOn w:val="1"/>
    <w:autoRedefine/>
    <w:qFormat/>
    <w:uiPriority w:val="0"/>
    <w:pPr>
      <w:adjustRightInd w:val="0"/>
      <w:snapToGrid w:val="0"/>
      <w:spacing w:line="240" w:lineRule="atLeast"/>
      <w:jc w:val="right"/>
    </w:pPr>
    <w:rPr>
      <w:bCs/>
      <w:szCs w:val="21"/>
    </w:rPr>
  </w:style>
  <w:style w:type="paragraph" w:customStyle="1" w:styleId="1032">
    <w:name w:val="朔电正文"/>
    <w:basedOn w:val="1"/>
    <w:qFormat/>
    <w:uiPriority w:val="0"/>
    <w:pPr>
      <w:adjustRightInd w:val="0"/>
      <w:snapToGrid w:val="0"/>
      <w:spacing w:beforeLines="25" w:line="440" w:lineRule="exact"/>
      <w:ind w:firstLine="480" w:firstLineChars="200"/>
    </w:pPr>
    <w:rPr>
      <w:color w:val="000000"/>
      <w:kern w:val="32"/>
    </w:rPr>
  </w:style>
  <w:style w:type="paragraph" w:customStyle="1" w:styleId="1033">
    <w:name w:val="宁标题3"/>
    <w:basedOn w:val="4"/>
    <w:qFormat/>
    <w:uiPriority w:val="0"/>
    <w:pPr>
      <w:spacing w:beforeLines="0" w:afterLines="0"/>
    </w:pPr>
    <w:rPr>
      <w:rFonts w:eastAsia="黑体"/>
      <w:b w:val="0"/>
      <w:bCs w:val="0"/>
      <w:sz w:val="30"/>
      <w:szCs w:val="30"/>
    </w:rPr>
  </w:style>
  <w:style w:type="paragraph" w:customStyle="1" w:styleId="1034">
    <w:name w:val="正文水资源论证1"/>
    <w:basedOn w:val="1"/>
    <w:qFormat/>
    <w:uiPriority w:val="0"/>
    <w:pPr>
      <w:spacing w:line="520" w:lineRule="exact"/>
      <w:ind w:firstLine="560" w:firstLineChars="200"/>
    </w:pPr>
    <w:rPr>
      <w:sz w:val="28"/>
    </w:rPr>
  </w:style>
  <w:style w:type="paragraph" w:customStyle="1" w:styleId="1035">
    <w:name w:val="表注"/>
    <w:basedOn w:val="1"/>
    <w:link w:val="1036"/>
    <w:qFormat/>
    <w:uiPriority w:val="0"/>
    <w:pPr>
      <w:adjustRightInd w:val="0"/>
      <w:snapToGrid w:val="0"/>
      <w:spacing w:before="60" w:line="280" w:lineRule="exact"/>
      <w:ind w:firstLine="300" w:firstLineChars="200"/>
    </w:pPr>
    <w:rPr>
      <w:rFonts w:ascii="Calibri" w:hAnsi="Calibri"/>
      <w:kern w:val="32"/>
      <w:sz w:val="15"/>
      <w:lang w:eastAsia="en-US" w:bidi="en-US"/>
    </w:rPr>
  </w:style>
  <w:style w:type="character" w:customStyle="1" w:styleId="1036">
    <w:name w:val="表注 Char"/>
    <w:link w:val="1035"/>
    <w:uiPriority w:val="0"/>
    <w:rPr>
      <w:rFonts w:ascii="Calibri" w:hAnsi="Calibri"/>
      <w:kern w:val="32"/>
      <w:sz w:val="15"/>
      <w:szCs w:val="24"/>
      <w:lang w:eastAsia="en-US" w:bidi="en-US"/>
    </w:rPr>
  </w:style>
  <w:style w:type="paragraph" w:customStyle="1" w:styleId="1037">
    <w:name w:val="样式29"/>
    <w:basedOn w:val="1"/>
    <w:autoRedefine/>
    <w:qFormat/>
    <w:uiPriority w:val="0"/>
    <w:pPr>
      <w:tabs>
        <w:tab w:val="left" w:pos="45"/>
      </w:tabs>
      <w:spacing w:line="240" w:lineRule="exact"/>
      <w:jc w:val="center"/>
    </w:pPr>
    <w:rPr>
      <w:rFonts w:ascii="Calibri" w:hAnsi="Calibri"/>
      <w:b/>
      <w:bCs/>
      <w:lang w:eastAsia="en-US" w:bidi="en-US"/>
    </w:rPr>
  </w:style>
  <w:style w:type="paragraph" w:customStyle="1" w:styleId="1038">
    <w:name w:val="z-窗体底端1"/>
    <w:basedOn w:val="1"/>
    <w:next w:val="1"/>
    <w:link w:val="1039"/>
    <w:uiPriority w:val="0"/>
    <w:pPr>
      <w:pBdr>
        <w:top w:val="single" w:color="auto" w:sz="6" w:space="1"/>
      </w:pBdr>
      <w:jc w:val="center"/>
    </w:pPr>
    <w:rPr>
      <w:rFonts w:hAnsi="Courier New"/>
      <w:szCs w:val="20"/>
    </w:rPr>
  </w:style>
  <w:style w:type="character" w:customStyle="1" w:styleId="1039">
    <w:name w:val="z-窗体底端 Char"/>
    <w:link w:val="1038"/>
    <w:uiPriority w:val="0"/>
    <w:rPr>
      <w:rFonts w:ascii="宋体" w:hAnsi="Courier New"/>
      <w:kern w:val="2"/>
      <w:sz w:val="21"/>
    </w:rPr>
  </w:style>
  <w:style w:type="character" w:customStyle="1" w:styleId="1040">
    <w:name w:val="cityhighlight1"/>
    <w:uiPriority w:val="0"/>
    <w:rPr>
      <w:b/>
      <w:bCs/>
      <w:color w:val="CC0000"/>
    </w:rPr>
  </w:style>
  <w:style w:type="paragraph" w:customStyle="1" w:styleId="1041">
    <w:name w:val="Char Char Char1"/>
    <w:basedOn w:val="1"/>
    <w:next w:val="1"/>
    <w:autoRedefine/>
    <w:qFormat/>
    <w:uiPriority w:val="0"/>
    <w:pPr>
      <w:keepNext/>
      <w:keepLines/>
      <w:adjustRightInd w:val="0"/>
      <w:spacing w:before="40" w:after="40" w:line="360" w:lineRule="auto"/>
      <w:ind w:firstLine="200" w:firstLineChars="200"/>
      <w:textAlignment w:val="baseline"/>
      <w:outlineLvl w:val="3"/>
    </w:pPr>
    <w:rPr>
      <w:rFonts w:eastAsia="仿宋_GB2312"/>
      <w:b/>
      <w:szCs w:val="28"/>
    </w:rPr>
  </w:style>
  <w:style w:type="character" w:customStyle="1" w:styleId="1042">
    <w:name w:val="水利部 Char"/>
    <w:link w:val="889"/>
    <w:uiPriority w:val="0"/>
    <w:rPr>
      <w:b/>
      <w:snapToGrid w:val="0"/>
      <w:sz w:val="30"/>
    </w:rPr>
  </w:style>
  <w:style w:type="character" w:customStyle="1" w:styleId="1043">
    <w:name w:val="表号 Char1"/>
    <w:uiPriority w:val="0"/>
    <w:rPr>
      <w:rFonts w:eastAsia="宋体"/>
      <w:snapToGrid w:val="0"/>
      <w:kern w:val="2"/>
      <w:sz w:val="24"/>
      <w:lang w:val="en-US" w:eastAsia="zh-CN"/>
    </w:rPr>
  </w:style>
  <w:style w:type="character" w:customStyle="1" w:styleId="1044">
    <w:name w:val="Char Char25"/>
    <w:uiPriority w:val="0"/>
    <w:rPr>
      <w:rFonts w:eastAsia="宋体"/>
      <w:kern w:val="2"/>
      <w:sz w:val="18"/>
      <w:lang w:val="en-US" w:eastAsia="zh-CN"/>
    </w:rPr>
  </w:style>
  <w:style w:type="character" w:customStyle="1" w:styleId="1045">
    <w:name w:val="Char Char32"/>
    <w:uiPriority w:val="0"/>
    <w:rPr>
      <w:rFonts w:ascii="新宋体" w:hAnsi="新宋体" w:eastAsia="仿宋_GB2312"/>
      <w:b/>
      <w:kern w:val="2"/>
      <w:sz w:val="24"/>
      <w:lang w:val="en-US" w:eastAsia="zh-CN"/>
    </w:rPr>
  </w:style>
  <w:style w:type="character" w:customStyle="1" w:styleId="1046">
    <w:name w:val="Char Char38"/>
    <w:uiPriority w:val="0"/>
    <w:rPr>
      <w:rFonts w:ascii="宋体" w:hAnsi="宋体" w:eastAsia="宋体"/>
      <w:b/>
      <w:kern w:val="2"/>
      <w:sz w:val="32"/>
    </w:rPr>
  </w:style>
  <w:style w:type="character" w:customStyle="1" w:styleId="1047">
    <w:name w:val="分目录2 Char"/>
    <w:link w:val="1048"/>
    <w:uiPriority w:val="0"/>
    <w:rPr>
      <w:snapToGrid w:val="0"/>
      <w:color w:val="000000"/>
      <w:kern w:val="2"/>
      <w:sz w:val="28"/>
    </w:rPr>
  </w:style>
  <w:style w:type="paragraph" w:customStyle="1" w:styleId="1048">
    <w:name w:val="分目录2"/>
    <w:basedOn w:val="841"/>
    <w:link w:val="1047"/>
    <w:qFormat/>
    <w:uiPriority w:val="0"/>
    <w:pPr>
      <w:spacing w:line="500" w:lineRule="exact"/>
      <w:ind w:firstLine="480" w:firstLineChars="200"/>
    </w:pPr>
    <w:rPr>
      <w:color w:val="000000"/>
      <w:kern w:val="2"/>
    </w:rPr>
  </w:style>
  <w:style w:type="character" w:customStyle="1" w:styleId="1049">
    <w:name w:val="表格 宋体 五号 Char"/>
    <w:link w:val="1050"/>
    <w:uiPriority w:val="0"/>
    <w:rPr>
      <w:rFonts w:ascii="宋体" w:hAnsi="宋体"/>
      <w:sz w:val="21"/>
    </w:rPr>
  </w:style>
  <w:style w:type="paragraph" w:customStyle="1" w:styleId="1050">
    <w:name w:val="表格 宋体 五号"/>
    <w:basedOn w:val="1"/>
    <w:link w:val="1049"/>
    <w:qFormat/>
    <w:uiPriority w:val="0"/>
    <w:pPr>
      <w:jc w:val="center"/>
    </w:pPr>
    <w:rPr>
      <w:szCs w:val="20"/>
    </w:rPr>
  </w:style>
  <w:style w:type="character" w:customStyle="1" w:styleId="1051">
    <w:name w:val="临时内容 Char Char"/>
    <w:link w:val="1052"/>
    <w:uiPriority w:val="0"/>
    <w:rPr>
      <w:color w:val="FF0000"/>
      <w:sz w:val="24"/>
    </w:rPr>
  </w:style>
  <w:style w:type="paragraph" w:customStyle="1" w:styleId="1052">
    <w:name w:val="临时内容"/>
    <w:basedOn w:val="1"/>
    <w:link w:val="1051"/>
    <w:qFormat/>
    <w:uiPriority w:val="0"/>
    <w:pPr>
      <w:spacing w:beforeLines="50" w:afterLines="50" w:line="360" w:lineRule="auto"/>
      <w:ind w:firstLine="480" w:firstLineChars="200"/>
    </w:pPr>
    <w:rPr>
      <w:color w:val="FF0000"/>
      <w:szCs w:val="20"/>
    </w:rPr>
  </w:style>
  <w:style w:type="character" w:customStyle="1" w:styleId="1053">
    <w:name w:val="样式 样式 表格 + (符号) 宋体 五号 居中 + 小五 Char"/>
    <w:link w:val="750"/>
    <w:uiPriority w:val="0"/>
    <w:rPr>
      <w:snapToGrid w:val="0"/>
      <w:sz w:val="18"/>
      <w:szCs w:val="21"/>
    </w:rPr>
  </w:style>
  <w:style w:type="character" w:customStyle="1" w:styleId="1054">
    <w:name w:val="zhegwen21"/>
    <w:uiPriority w:val="0"/>
    <w:rPr>
      <w:rFonts w:hint="default" w:ascii="ˎ̥" w:hAnsi="ˎ̥"/>
      <w:color w:val="000000"/>
      <w:sz w:val="23"/>
      <w:u w:val="none"/>
    </w:rPr>
  </w:style>
  <w:style w:type="character" w:customStyle="1" w:styleId="1055">
    <w:name w:val="hit"/>
    <w:basedOn w:val="132"/>
    <w:uiPriority w:val="0"/>
  </w:style>
  <w:style w:type="character" w:customStyle="1" w:styleId="1056">
    <w:name w:val="正文文字 Char"/>
    <w:uiPriority w:val="0"/>
    <w:rPr>
      <w:rFonts w:ascii="宋体" w:eastAsia="宋体"/>
      <w:b/>
      <w:kern w:val="2"/>
      <w:sz w:val="36"/>
      <w:lang w:val="en-US" w:eastAsia="zh-CN"/>
    </w:rPr>
  </w:style>
  <w:style w:type="character" w:customStyle="1" w:styleId="1057">
    <w:name w:val="标题 4、二级标题 Char Char"/>
    <w:uiPriority w:val="0"/>
    <w:rPr>
      <w:rFonts w:ascii="Arial" w:hAnsi="Arial" w:eastAsia="黑体"/>
      <w:b/>
      <w:kern w:val="2"/>
      <w:sz w:val="28"/>
      <w:lang w:val="en-US" w:eastAsia="zh-CN"/>
    </w:rPr>
  </w:style>
  <w:style w:type="character" w:customStyle="1" w:styleId="1058">
    <w:name w:val="Char Char27"/>
    <w:uiPriority w:val="0"/>
    <w:rPr>
      <w:rFonts w:ascii="宋体" w:hAnsi="宋体" w:eastAsia="宋体"/>
      <w:sz w:val="28"/>
      <w:lang w:val="en-US" w:eastAsia="zh-CN"/>
    </w:rPr>
  </w:style>
  <w:style w:type="character" w:customStyle="1" w:styleId="1059">
    <w:name w:val="纯文本 Char Char Char Char Char Char Char Char Char Char Char Char Char Char Char Char Char Char Char"/>
    <w:uiPriority w:val="0"/>
    <w:rPr>
      <w:rFonts w:ascii="宋体" w:hAnsi="Courier New" w:eastAsia="宋体"/>
      <w:kern w:val="2"/>
      <w:sz w:val="21"/>
      <w:lang w:val="en-US" w:eastAsia="zh-CN"/>
    </w:rPr>
  </w:style>
  <w:style w:type="character" w:customStyle="1" w:styleId="1060">
    <w:name w:val="页眉 Char Char Char Char Char"/>
    <w:uiPriority w:val="0"/>
    <w:rPr>
      <w:rFonts w:eastAsia="宋体"/>
      <w:kern w:val="2"/>
      <w:sz w:val="18"/>
      <w:lang w:val="en-US" w:eastAsia="zh-CN"/>
    </w:rPr>
  </w:style>
  <w:style w:type="character" w:customStyle="1" w:styleId="1061">
    <w:name w:val="普通文字 Char Char Char Char Char Char Char2 Char Char"/>
    <w:uiPriority w:val="0"/>
    <w:rPr>
      <w:rFonts w:ascii="宋体" w:hAnsi="Courier New" w:eastAsia="宋体"/>
      <w:kern w:val="2"/>
      <w:sz w:val="21"/>
      <w:lang w:val="en-US" w:eastAsia="zh-CN"/>
    </w:rPr>
  </w:style>
  <w:style w:type="character" w:customStyle="1" w:styleId="1062">
    <w:name w:val="apple-converted-space"/>
    <w:basedOn w:val="132"/>
    <w:qFormat/>
    <w:uiPriority w:val="0"/>
  </w:style>
  <w:style w:type="character" w:customStyle="1" w:styleId="1063">
    <w:name w:val="Char Char30"/>
    <w:uiPriority w:val="0"/>
    <w:rPr>
      <w:rFonts w:ascii="Arial" w:hAnsi="Arial" w:eastAsia="黑体"/>
      <w:kern w:val="2"/>
      <w:sz w:val="21"/>
      <w:lang w:val="en-US" w:eastAsia="zh-CN"/>
    </w:rPr>
  </w:style>
  <w:style w:type="character" w:customStyle="1" w:styleId="1064">
    <w:name w:val="项标题(1) Char"/>
    <w:uiPriority w:val="0"/>
    <w:rPr>
      <w:rFonts w:eastAsia="仿宋_GB2312"/>
      <w:b/>
      <w:sz w:val="24"/>
      <w:lang w:val="en-US" w:eastAsia="zh-CN"/>
    </w:rPr>
  </w:style>
  <w:style w:type="character" w:customStyle="1" w:styleId="1065">
    <w:name w:val="Char Char171"/>
    <w:uiPriority w:val="0"/>
    <w:rPr>
      <w:rFonts w:ascii="Times New Roman" w:hAnsi="Times New Roman" w:eastAsia="华文细黑"/>
      <w:b/>
      <w:kern w:val="44"/>
      <w:sz w:val="44"/>
      <w:lang w:val="en-US" w:eastAsia="zh-CN"/>
    </w:rPr>
  </w:style>
  <w:style w:type="character" w:customStyle="1" w:styleId="1066">
    <w:name w:val="Char Char20"/>
    <w:uiPriority w:val="0"/>
    <w:rPr>
      <w:b/>
      <w:sz w:val="24"/>
      <w:u w:val="single"/>
    </w:rPr>
  </w:style>
  <w:style w:type="character" w:customStyle="1" w:styleId="1067">
    <w:name w:val="keyword"/>
    <w:basedOn w:val="132"/>
    <w:uiPriority w:val="0"/>
  </w:style>
  <w:style w:type="character" w:customStyle="1" w:styleId="1068">
    <w:name w:val="正文文字 Char2"/>
    <w:uiPriority w:val="0"/>
    <w:rPr>
      <w:rFonts w:eastAsia="宋体"/>
      <w:kern w:val="2"/>
      <w:sz w:val="21"/>
      <w:lang w:val="en-US" w:eastAsia="zh-CN"/>
    </w:rPr>
  </w:style>
  <w:style w:type="character" w:customStyle="1" w:styleId="1069">
    <w:name w:val="Char Char35"/>
    <w:uiPriority w:val="0"/>
    <w:rPr>
      <w:rFonts w:ascii="宋体"/>
      <w:b/>
      <w:snapToGrid w:val="0"/>
      <w:kern w:val="4"/>
      <w:sz w:val="24"/>
    </w:rPr>
  </w:style>
  <w:style w:type="character" w:customStyle="1" w:styleId="1070">
    <w:name w:val="正文首行缩进 Char3"/>
    <w:link w:val="379"/>
    <w:uiPriority w:val="0"/>
    <w:rPr>
      <w:kern w:val="2"/>
      <w:sz w:val="24"/>
      <w:szCs w:val="24"/>
    </w:rPr>
  </w:style>
  <w:style w:type="character" w:customStyle="1" w:styleId="1071">
    <w:name w:val="dl1"/>
    <w:uiPriority w:val="0"/>
    <w:rPr>
      <w:rFonts w:eastAsia="宋体"/>
      <w:kern w:val="2"/>
      <w:sz w:val="21"/>
      <w:lang w:val="en-US" w:eastAsia="zh-CN"/>
    </w:rPr>
  </w:style>
  <w:style w:type="character" w:customStyle="1" w:styleId="1072">
    <w:name w:val="MTDisplayEquation Char"/>
    <w:link w:val="1073"/>
    <w:uiPriority w:val="0"/>
    <w:rPr>
      <w:sz w:val="24"/>
    </w:rPr>
  </w:style>
  <w:style w:type="paragraph" w:customStyle="1" w:styleId="1073">
    <w:name w:val="MTDisplayEquation"/>
    <w:basedOn w:val="1"/>
    <w:next w:val="1"/>
    <w:link w:val="1072"/>
    <w:qFormat/>
    <w:uiPriority w:val="0"/>
    <w:pPr>
      <w:tabs>
        <w:tab w:val="center" w:pos="4500"/>
        <w:tab w:val="right" w:pos="9000"/>
      </w:tabs>
      <w:spacing w:before="60" w:after="120" w:line="360" w:lineRule="auto"/>
    </w:pPr>
    <w:rPr>
      <w:szCs w:val="20"/>
    </w:rPr>
  </w:style>
  <w:style w:type="character" w:customStyle="1" w:styleId="1074">
    <w:name w:val="表后标题 Char1"/>
    <w:uiPriority w:val="0"/>
    <w:rPr>
      <w:rFonts w:hAnsi="宋体" w:eastAsia="宋体"/>
      <w:b/>
      <w:kern w:val="2"/>
      <w:sz w:val="21"/>
      <w:lang w:val="en-US" w:eastAsia="zh-CN"/>
    </w:rPr>
  </w:style>
  <w:style w:type="character" w:customStyle="1" w:styleId="1075">
    <w:name w:val="authors"/>
    <w:basedOn w:val="132"/>
    <w:uiPriority w:val="0"/>
  </w:style>
  <w:style w:type="character" w:customStyle="1" w:styleId="1076">
    <w:name w:val="Char Char19"/>
    <w:uiPriority w:val="0"/>
    <w:rPr>
      <w:sz w:val="24"/>
    </w:rPr>
  </w:style>
  <w:style w:type="character" w:customStyle="1" w:styleId="1077">
    <w:name w:val="Char Char23"/>
    <w:uiPriority w:val="0"/>
    <w:rPr>
      <w:rFonts w:ascii="黑体" w:hAnsi="Courier New" w:eastAsia="黑体"/>
      <w:kern w:val="2"/>
      <w:sz w:val="28"/>
      <w:lang w:val="en-US" w:eastAsia="zh-CN"/>
    </w:rPr>
  </w:style>
  <w:style w:type="character" w:customStyle="1" w:styleId="1078">
    <w:name w:val="样式 标题 1封面大标题 + 加粗 Char"/>
    <w:link w:val="1079"/>
    <w:uiPriority w:val="0"/>
    <w:rPr>
      <w:rFonts w:ascii="宋体" w:hAnsi="宋体" w:eastAsia="黑体"/>
      <w:b/>
      <w:kern w:val="44"/>
      <w:sz w:val="32"/>
    </w:rPr>
  </w:style>
  <w:style w:type="paragraph" w:customStyle="1" w:styleId="1079">
    <w:name w:val="样式 标题 1封面大标题 + 加粗"/>
    <w:basedOn w:val="2"/>
    <w:link w:val="1078"/>
    <w:qFormat/>
    <w:uiPriority w:val="0"/>
    <w:pPr>
      <w:spacing w:afterLines="100" w:line="240" w:lineRule="auto"/>
      <w:jc w:val="center"/>
      <w:textAlignment w:val="baseline"/>
    </w:pPr>
    <w:rPr>
      <w:rFonts w:eastAsia="黑体"/>
      <w:bCs w:val="0"/>
      <w:sz w:val="32"/>
      <w:szCs w:val="20"/>
    </w:rPr>
  </w:style>
  <w:style w:type="character" w:customStyle="1" w:styleId="1080">
    <w:name w:val="Table Figure Caption Char"/>
    <w:link w:val="1081"/>
    <w:uiPriority w:val="0"/>
    <w:rPr>
      <w:kern w:val="2"/>
      <w:sz w:val="24"/>
    </w:rPr>
  </w:style>
  <w:style w:type="paragraph" w:customStyle="1" w:styleId="1081">
    <w:name w:val="Table Figure Caption"/>
    <w:basedOn w:val="1"/>
    <w:link w:val="1080"/>
    <w:qFormat/>
    <w:uiPriority w:val="0"/>
    <w:pPr>
      <w:jc w:val="center"/>
    </w:pPr>
    <w:rPr>
      <w:szCs w:val="20"/>
    </w:rPr>
  </w:style>
  <w:style w:type="character" w:customStyle="1" w:styleId="1082">
    <w:name w:val="正文首行缩进2字符 Char Char"/>
    <w:link w:val="1083"/>
    <w:uiPriority w:val="0"/>
    <w:rPr>
      <w:sz w:val="24"/>
    </w:rPr>
  </w:style>
  <w:style w:type="paragraph" w:customStyle="1" w:styleId="1083">
    <w:name w:val="正文首行缩进2字符"/>
    <w:basedOn w:val="35"/>
    <w:link w:val="1082"/>
    <w:qFormat/>
    <w:uiPriority w:val="0"/>
    <w:pPr>
      <w:spacing w:beforeLines="50" w:after="0" w:line="360" w:lineRule="auto"/>
      <w:ind w:left="0" w:leftChars="0" w:firstLine="200" w:firstLineChars="200"/>
    </w:pPr>
    <w:rPr>
      <w:szCs w:val="20"/>
    </w:rPr>
  </w:style>
  <w:style w:type="character" w:customStyle="1" w:styleId="1084">
    <w:name w:val="样式 加粗"/>
    <w:uiPriority w:val="0"/>
    <w:rPr>
      <w:b/>
    </w:rPr>
  </w:style>
  <w:style w:type="character" w:customStyle="1" w:styleId="1085">
    <w:name w:val="Char Char21"/>
    <w:uiPriority w:val="0"/>
    <w:rPr>
      <w:rFonts w:eastAsia="宋体"/>
      <w:kern w:val="2"/>
      <w:sz w:val="18"/>
      <w:lang w:val="en-US" w:eastAsia="zh-CN"/>
    </w:rPr>
  </w:style>
  <w:style w:type="character" w:customStyle="1" w:styleId="1086">
    <w:name w:val="Default Paragraph Font1"/>
    <w:uiPriority w:val="0"/>
  </w:style>
  <w:style w:type="character" w:customStyle="1" w:styleId="1087">
    <w:name w:val="表题 Char Char1"/>
    <w:uiPriority w:val="0"/>
    <w:rPr>
      <w:rFonts w:ascii="宋体" w:hAnsi="宋体"/>
      <w:kern w:val="2"/>
      <w:sz w:val="24"/>
      <w:lang w:val="en-US" w:eastAsia="zh-CN"/>
    </w:rPr>
  </w:style>
  <w:style w:type="character" w:customStyle="1" w:styleId="1088">
    <w:name w:val="Char Char33"/>
    <w:uiPriority w:val="0"/>
    <w:rPr>
      <w:rFonts w:ascii="Arial" w:hAnsi="Arial" w:eastAsia="黑体"/>
      <w:b/>
      <w:kern w:val="2"/>
      <w:sz w:val="24"/>
      <w:lang w:val="en-US" w:eastAsia="zh-CN"/>
    </w:rPr>
  </w:style>
  <w:style w:type="character" w:customStyle="1" w:styleId="1089">
    <w:name w:val="封面1"/>
    <w:uiPriority w:val="0"/>
    <w:rPr>
      <w:rFonts w:ascii="Times New Roman" w:hAnsi="Times New Roman" w:eastAsia="黑体"/>
      <w:sz w:val="30"/>
      <w:u w:val="single"/>
    </w:rPr>
  </w:style>
  <w:style w:type="character" w:customStyle="1" w:styleId="1090">
    <w:name w:val="Char Char18"/>
    <w:uiPriority w:val="0"/>
    <w:rPr>
      <w:rFonts w:ascii="宋体" w:hAnsi="宋体" w:eastAsia="宋体"/>
      <w:kern w:val="2"/>
      <w:sz w:val="24"/>
      <w:lang w:val="en-US" w:eastAsia="zh-CN"/>
    </w:rPr>
  </w:style>
  <w:style w:type="character" w:customStyle="1" w:styleId="1091">
    <w:name w:val="个人答复风格"/>
    <w:uiPriority w:val="0"/>
    <w:rPr>
      <w:rFonts w:ascii="Arial" w:hAnsi="Arial" w:eastAsia="宋体"/>
      <w:color w:val="auto"/>
      <w:kern w:val="2"/>
      <w:sz w:val="20"/>
      <w:lang w:val="en-US" w:eastAsia="zh-CN"/>
    </w:rPr>
  </w:style>
  <w:style w:type="character" w:customStyle="1" w:styleId="1092">
    <w:name w:val="样式 标题 3 + 黑体 小四 Char"/>
    <w:link w:val="1093"/>
    <w:uiPriority w:val="0"/>
    <w:rPr>
      <w:rFonts w:ascii="黑体" w:hAnsi="黑体"/>
      <w:snapToGrid w:val="0"/>
      <w:kern w:val="2"/>
      <w:sz w:val="24"/>
    </w:rPr>
  </w:style>
  <w:style w:type="paragraph" w:customStyle="1" w:styleId="1093">
    <w:name w:val="样式 标题 3 + 黑体 小四"/>
    <w:basedOn w:val="1"/>
    <w:link w:val="1092"/>
    <w:qFormat/>
    <w:uiPriority w:val="0"/>
    <w:pPr>
      <w:spacing w:line="600" w:lineRule="exact"/>
      <w:ind w:firstLine="200" w:firstLineChars="200"/>
    </w:pPr>
    <w:rPr>
      <w:rFonts w:ascii="黑体" w:hAnsi="黑体"/>
      <w:snapToGrid w:val="0"/>
      <w:szCs w:val="20"/>
    </w:rPr>
  </w:style>
  <w:style w:type="character" w:customStyle="1" w:styleId="1094">
    <w:name w:val="普通文字 Char Char Char Char Char Char Char Char Char Char Char Char Char Char"/>
    <w:uiPriority w:val="0"/>
    <w:rPr>
      <w:rFonts w:ascii="宋体" w:hAnsi="Courier New" w:eastAsia="宋体"/>
      <w:kern w:val="2"/>
      <w:sz w:val="21"/>
      <w:lang w:val="en-US" w:eastAsia="zh-CN"/>
    </w:rPr>
  </w:style>
  <w:style w:type="character" w:customStyle="1" w:styleId="1095">
    <w:name w:val="正文c Char"/>
    <w:link w:val="1096"/>
    <w:uiPriority w:val="0"/>
    <w:rPr>
      <w:rFonts w:eastAsia="仿宋_GB2312"/>
      <w:kern w:val="2"/>
      <w:sz w:val="28"/>
    </w:rPr>
  </w:style>
  <w:style w:type="paragraph" w:customStyle="1" w:styleId="1096">
    <w:name w:val="正文c"/>
    <w:basedOn w:val="1"/>
    <w:link w:val="1095"/>
    <w:qFormat/>
    <w:uiPriority w:val="0"/>
    <w:pPr>
      <w:jc w:val="center"/>
    </w:pPr>
    <w:rPr>
      <w:rFonts w:eastAsia="仿宋_GB2312"/>
      <w:sz w:val="28"/>
      <w:szCs w:val="20"/>
    </w:rPr>
  </w:style>
  <w:style w:type="character" w:customStyle="1" w:styleId="1097">
    <w:name w:val="报告名 Char Char"/>
    <w:uiPriority w:val="0"/>
    <w:rPr>
      <w:rFonts w:eastAsia="宋体"/>
      <w:b/>
      <w:kern w:val="2"/>
      <w:sz w:val="56"/>
      <w:lang w:val="en-US" w:eastAsia="zh-CN"/>
    </w:rPr>
  </w:style>
  <w:style w:type="character" w:customStyle="1" w:styleId="1098">
    <w:name w:val="Char Char28"/>
    <w:uiPriority w:val="0"/>
    <w:rPr>
      <w:rFonts w:eastAsia="宋体"/>
      <w:kern w:val="2"/>
      <w:sz w:val="24"/>
      <w:lang w:val="en-US" w:eastAsia="zh-CN" w:bidi="ar-SA"/>
    </w:rPr>
  </w:style>
  <w:style w:type="character" w:customStyle="1" w:styleId="1099">
    <w:name w:val="Char Char29"/>
    <w:uiPriority w:val="0"/>
    <w:rPr>
      <w:rFonts w:eastAsia="宋体"/>
      <w:kern w:val="2"/>
      <w:sz w:val="28"/>
      <w:lang w:val="en-US" w:eastAsia="zh-CN"/>
    </w:rPr>
  </w:style>
  <w:style w:type="character" w:customStyle="1" w:styleId="1100">
    <w:name w:val="普通文字 Char Char Char Char Char Char Char2 Char Char1"/>
    <w:uiPriority w:val="0"/>
    <w:rPr>
      <w:rFonts w:ascii="宋体" w:hAnsi="Courier New" w:eastAsia="宋体"/>
      <w:kern w:val="2"/>
      <w:sz w:val="21"/>
      <w:lang w:val="en-US" w:eastAsia="zh-CN"/>
    </w:rPr>
  </w:style>
  <w:style w:type="character" w:customStyle="1" w:styleId="1101">
    <w:name w:val="表后标题 Char"/>
    <w:link w:val="1102"/>
    <w:uiPriority w:val="0"/>
    <w:rPr>
      <w:rFonts w:hAnsi="宋体"/>
      <w:b/>
      <w:kern w:val="2"/>
      <w:sz w:val="21"/>
    </w:rPr>
  </w:style>
  <w:style w:type="paragraph" w:customStyle="1" w:styleId="1102">
    <w:name w:val="表后标题"/>
    <w:basedOn w:val="1"/>
    <w:next w:val="1"/>
    <w:link w:val="1101"/>
    <w:qFormat/>
    <w:uiPriority w:val="0"/>
    <w:pPr>
      <w:spacing w:line="480" w:lineRule="exact"/>
      <w:ind w:firstLine="482" w:firstLineChars="200"/>
      <w:textAlignment w:val="center"/>
    </w:pPr>
    <w:rPr>
      <w:b/>
      <w:szCs w:val="20"/>
    </w:rPr>
  </w:style>
  <w:style w:type="character" w:customStyle="1" w:styleId="1103">
    <w:name w:val="Char Char31"/>
    <w:qFormat/>
    <w:uiPriority w:val="0"/>
    <w:rPr>
      <w:rFonts w:ascii="Arial" w:hAnsi="Arial" w:eastAsia="黑体"/>
      <w:kern w:val="2"/>
      <w:sz w:val="24"/>
      <w:lang w:val="en-US" w:eastAsia="zh-CN"/>
    </w:rPr>
  </w:style>
  <w:style w:type="character" w:customStyle="1" w:styleId="1104">
    <w:name w:val="Char Char161"/>
    <w:qFormat/>
    <w:uiPriority w:val="0"/>
    <w:rPr>
      <w:rFonts w:ascii="Times New Roman" w:hAnsi="Times New Roman" w:eastAsia="华文细黑"/>
      <w:b/>
      <w:kern w:val="2"/>
      <w:sz w:val="32"/>
      <w:lang w:val="en-US" w:eastAsia="zh-CN"/>
    </w:rPr>
  </w:style>
  <w:style w:type="character" w:customStyle="1" w:styleId="1105">
    <w:name w:val="标题3 Char"/>
    <w:link w:val="476"/>
    <w:uiPriority w:val="0"/>
    <w:rPr>
      <w:b/>
      <w:kern w:val="2"/>
      <w:sz w:val="24"/>
    </w:rPr>
  </w:style>
  <w:style w:type="character" w:customStyle="1" w:styleId="1106">
    <w:name w:val="标题 4 Char11"/>
    <w:qFormat/>
    <w:uiPriority w:val="0"/>
    <w:rPr>
      <w:rFonts w:hint="eastAsia" w:ascii="黑体" w:hAnsi="Arial" w:eastAsia="宋体"/>
      <w:b/>
      <w:i/>
      <w:kern w:val="2"/>
      <w:sz w:val="24"/>
    </w:rPr>
  </w:style>
  <w:style w:type="character" w:customStyle="1" w:styleId="1107">
    <w:name w:val="样式 标题 1封面大标题 + 非加粗 Char"/>
    <w:qFormat/>
    <w:uiPriority w:val="0"/>
    <w:rPr>
      <w:rFonts w:ascii="宋体" w:hAnsi="宋体" w:eastAsia="黑体"/>
      <w:b/>
      <w:kern w:val="44"/>
      <w:sz w:val="32"/>
      <w:lang w:val="en-US" w:eastAsia="zh-CN"/>
    </w:rPr>
  </w:style>
  <w:style w:type="character" w:customStyle="1" w:styleId="1108">
    <w:name w:val="陈标题4 Char"/>
    <w:link w:val="1109"/>
    <w:uiPriority w:val="0"/>
    <w:rPr>
      <w:b/>
      <w:kern w:val="2"/>
      <w:sz w:val="24"/>
    </w:rPr>
  </w:style>
  <w:style w:type="paragraph" w:customStyle="1" w:styleId="1109">
    <w:name w:val="陈标题4"/>
    <w:basedOn w:val="1"/>
    <w:next w:val="1"/>
    <w:link w:val="1108"/>
    <w:qFormat/>
    <w:uiPriority w:val="0"/>
    <w:pPr>
      <w:keepNext/>
      <w:keepLines/>
      <w:spacing w:line="288" w:lineRule="auto"/>
      <w:outlineLvl w:val="3"/>
    </w:pPr>
    <w:rPr>
      <w:b/>
      <w:szCs w:val="20"/>
    </w:rPr>
  </w:style>
  <w:style w:type="character" w:customStyle="1" w:styleId="1110">
    <w:name w:val="正文首行缩进2 字符 Char Char"/>
    <w:link w:val="1111"/>
    <w:qFormat/>
    <w:uiPriority w:val="0"/>
    <w:rPr>
      <w:kern w:val="2"/>
      <w:sz w:val="28"/>
    </w:rPr>
  </w:style>
  <w:style w:type="paragraph" w:customStyle="1" w:styleId="1111">
    <w:name w:val="正文首行缩进2 字符"/>
    <w:basedOn w:val="35"/>
    <w:link w:val="1110"/>
    <w:qFormat/>
    <w:uiPriority w:val="0"/>
    <w:pPr>
      <w:spacing w:beforeLines="50" w:after="0" w:line="520" w:lineRule="atLeast"/>
      <w:ind w:left="0" w:leftChars="0" w:firstLine="560" w:firstLineChars="200"/>
    </w:pPr>
    <w:rPr>
      <w:sz w:val="28"/>
      <w:szCs w:val="20"/>
    </w:rPr>
  </w:style>
  <w:style w:type="character" w:customStyle="1" w:styleId="1112">
    <w:name w:val="纯文本 Char Char Char Char Char Char Char Char Char Char Char Char Char Char Char Char Char Char Char Char"/>
    <w:qFormat/>
    <w:uiPriority w:val="0"/>
    <w:rPr>
      <w:rFonts w:ascii="宋体" w:hAnsi="Courier New" w:eastAsia="宋体"/>
      <w:kern w:val="2"/>
      <w:sz w:val="21"/>
      <w:lang w:val="en-US" w:eastAsia="zh-CN"/>
    </w:rPr>
  </w:style>
  <w:style w:type="character" w:customStyle="1" w:styleId="1113">
    <w:name w:val="Style 正文文本 + Char"/>
    <w:link w:val="1114"/>
    <w:qFormat/>
    <w:uiPriority w:val="0"/>
    <w:rPr>
      <w:sz w:val="24"/>
    </w:rPr>
  </w:style>
  <w:style w:type="paragraph" w:customStyle="1" w:styleId="1114">
    <w:name w:val="Style 正文文本 +"/>
    <w:basedOn w:val="1"/>
    <w:link w:val="1113"/>
    <w:qFormat/>
    <w:uiPriority w:val="0"/>
    <w:pPr>
      <w:spacing w:beforeLines="50" w:afterLines="50" w:line="360" w:lineRule="auto"/>
      <w:ind w:left="50" w:leftChars="50" w:firstLine="200" w:firstLineChars="200"/>
    </w:pPr>
    <w:rPr>
      <w:szCs w:val="20"/>
    </w:rPr>
  </w:style>
  <w:style w:type="character" w:customStyle="1" w:styleId="1115">
    <w:name w:val="纯文本 Char Char Char Char Char Char Char Char Char Char Char Char Char Char Char Char Char Char"/>
    <w:qFormat/>
    <w:uiPriority w:val="0"/>
    <w:rPr>
      <w:rFonts w:ascii="宋体" w:hAnsi="Courier New" w:eastAsia="宋体"/>
      <w:kern w:val="2"/>
      <w:sz w:val="21"/>
      <w:lang w:val="en-US" w:eastAsia="zh-CN"/>
    </w:rPr>
  </w:style>
  <w:style w:type="character" w:customStyle="1" w:styleId="1116">
    <w:name w:val="Char Char36"/>
    <w:qFormat/>
    <w:uiPriority w:val="0"/>
    <w:rPr>
      <w:rFonts w:ascii="宋体" w:hAnsi="宋体"/>
      <w:b/>
      <w:kern w:val="24"/>
      <w:sz w:val="28"/>
      <w:lang w:val="zh-CN"/>
    </w:rPr>
  </w:style>
  <w:style w:type="character" w:customStyle="1" w:styleId="1117">
    <w:name w:val="报告编号 Char Char"/>
    <w:qFormat/>
    <w:uiPriority w:val="0"/>
    <w:rPr>
      <w:rFonts w:eastAsia="黑体"/>
      <w:b/>
      <w:snapToGrid w:val="0"/>
      <w:kern w:val="2"/>
      <w:sz w:val="28"/>
      <w:lang w:val="en-US" w:eastAsia="zh-CN"/>
    </w:rPr>
  </w:style>
  <w:style w:type="character" w:customStyle="1" w:styleId="1118">
    <w:name w:val="Char Char37"/>
    <w:qFormat/>
    <w:uiPriority w:val="0"/>
    <w:rPr>
      <w:rFonts w:ascii="宋体" w:hAnsi="宋体"/>
      <w:b/>
      <w:kern w:val="2"/>
      <w:sz w:val="28"/>
    </w:rPr>
  </w:style>
  <w:style w:type="character" w:customStyle="1" w:styleId="1119">
    <w:name w:val="3zw"/>
    <w:basedOn w:val="132"/>
    <w:qFormat/>
    <w:uiPriority w:val="0"/>
  </w:style>
  <w:style w:type="character" w:customStyle="1" w:styleId="1120">
    <w:name w:val="表标题1 Char"/>
    <w:link w:val="1121"/>
    <w:qFormat/>
    <w:uiPriority w:val="0"/>
    <w:rPr>
      <w:b/>
      <w:kern w:val="2"/>
      <w:sz w:val="24"/>
    </w:rPr>
  </w:style>
  <w:style w:type="paragraph" w:customStyle="1" w:styleId="1121">
    <w:name w:val="表标题1"/>
    <w:basedOn w:val="1"/>
    <w:link w:val="1120"/>
    <w:qFormat/>
    <w:uiPriority w:val="0"/>
    <w:pPr>
      <w:spacing w:line="480" w:lineRule="exact"/>
    </w:pPr>
    <w:rPr>
      <w:b/>
      <w:szCs w:val="20"/>
    </w:rPr>
  </w:style>
  <w:style w:type="character" w:customStyle="1" w:styleId="1122">
    <w:name w:val="表号 Char"/>
    <w:link w:val="749"/>
    <w:qFormat/>
    <w:uiPriority w:val="0"/>
    <w:rPr>
      <w:snapToGrid w:val="0"/>
      <w:color w:val="000000"/>
      <w:sz w:val="24"/>
      <w:szCs w:val="24"/>
    </w:rPr>
  </w:style>
  <w:style w:type="character" w:customStyle="1" w:styleId="1123">
    <w:name w:val="项目符号"/>
    <w:qFormat/>
    <w:uiPriority w:val="0"/>
    <w:rPr>
      <w:rFonts w:hint="eastAsia" w:ascii="OpenSymbol" w:hAnsi="OpenSymbol" w:eastAsia="OpenSymbol"/>
    </w:rPr>
  </w:style>
  <w:style w:type="character" w:customStyle="1" w:styleId="1124">
    <w:name w:val="图表名 Char Char"/>
    <w:qFormat/>
    <w:uiPriority w:val="0"/>
    <w:rPr>
      <w:rFonts w:eastAsia="黑体"/>
      <w:snapToGrid w:val="0"/>
      <w:kern w:val="2"/>
      <w:sz w:val="24"/>
      <w:lang w:val="en-US" w:eastAsia="zh-CN"/>
    </w:rPr>
  </w:style>
  <w:style w:type="character" w:customStyle="1" w:styleId="1125">
    <w:name w:val="Char Char34"/>
    <w:qFormat/>
    <w:uiPriority w:val="0"/>
    <w:rPr>
      <w:rFonts w:ascii="新宋体" w:hAnsi="新宋体" w:eastAsia="仿宋_GB2312"/>
      <w:b/>
      <w:kern w:val="2"/>
      <w:sz w:val="28"/>
      <w:lang w:val="en-US" w:eastAsia="zh-CN"/>
    </w:rPr>
  </w:style>
  <w:style w:type="character" w:customStyle="1" w:styleId="1126">
    <w:name w:val="MTEquationSection"/>
    <w:qFormat/>
    <w:uiPriority w:val="0"/>
    <w:rPr>
      <w:vanish/>
      <w:color w:val="FF0000"/>
    </w:rPr>
  </w:style>
  <w:style w:type="character" w:customStyle="1" w:styleId="1127">
    <w:name w:val="表后标题 Char2"/>
    <w:qFormat/>
    <w:uiPriority w:val="0"/>
    <w:rPr>
      <w:rFonts w:hAnsi="宋体" w:eastAsia="宋体"/>
      <w:kern w:val="2"/>
      <w:sz w:val="21"/>
      <w:lang w:val="en-US" w:eastAsia="zh-CN"/>
    </w:rPr>
  </w:style>
  <w:style w:type="character" w:customStyle="1" w:styleId="1128">
    <w:name w:val="普通文字 Char Char Char Char Char Char Char Char Char Char Char Char Char Char Char Char Char"/>
    <w:qFormat/>
    <w:uiPriority w:val="0"/>
    <w:rPr>
      <w:rFonts w:ascii="宋体" w:hAnsi="Courier New" w:eastAsia="宋体"/>
      <w:kern w:val="2"/>
      <w:sz w:val="28"/>
      <w:lang w:val="en-US" w:eastAsia="zh-CN"/>
    </w:rPr>
  </w:style>
  <w:style w:type="character" w:customStyle="1" w:styleId="1129">
    <w:name w:val="hps"/>
    <w:basedOn w:val="132"/>
    <w:qFormat/>
    <w:uiPriority w:val="0"/>
  </w:style>
  <w:style w:type="character" w:customStyle="1" w:styleId="1130">
    <w:name w:val="明显强调1"/>
    <w:qFormat/>
    <w:uiPriority w:val="0"/>
    <w:rPr>
      <w:rFonts w:eastAsia="黑体"/>
      <w:color w:val="auto"/>
      <w:sz w:val="21"/>
    </w:rPr>
  </w:style>
  <w:style w:type="paragraph" w:customStyle="1" w:styleId="1131">
    <w:name w:val="样式 四号 加粗 左 行距: 固定值 30 磅"/>
    <w:basedOn w:val="4"/>
    <w:qFormat/>
    <w:uiPriority w:val="0"/>
    <w:pPr>
      <w:spacing w:beforeLines="0" w:afterLines="0" w:line="300" w:lineRule="exact"/>
      <w:ind w:firstLine="360" w:firstLineChars="128"/>
      <w:outlineLvl w:val="9"/>
    </w:pPr>
    <w:rPr>
      <w:bCs w:val="0"/>
      <w:sz w:val="28"/>
      <w:szCs w:val="20"/>
    </w:rPr>
  </w:style>
  <w:style w:type="paragraph" w:customStyle="1" w:styleId="1132">
    <w:name w:val="Frontmatter"/>
    <w:basedOn w:val="1"/>
    <w:qFormat/>
    <w:uiPriority w:val="0"/>
    <w:pPr>
      <w:spacing w:afterLines="200"/>
      <w:jc w:val="center"/>
      <w:outlineLvl w:val="0"/>
    </w:pPr>
    <w:rPr>
      <w:rFonts w:eastAsia="Times New Roman"/>
      <w:sz w:val="28"/>
      <w:szCs w:val="20"/>
    </w:rPr>
  </w:style>
  <w:style w:type="paragraph" w:customStyle="1" w:styleId="1133">
    <w:name w:val="样式 样式 样式5 + 首行缩进:  2 字符2 +"/>
    <w:basedOn w:val="1134"/>
    <w:qFormat/>
    <w:uiPriority w:val="0"/>
    <w:pPr>
      <w:spacing w:line="500" w:lineRule="exact"/>
    </w:pPr>
  </w:style>
  <w:style w:type="paragraph" w:customStyle="1" w:styleId="1134">
    <w:name w:val="样式 样式5 + 首行缩进:  2 字符2"/>
    <w:basedOn w:val="397"/>
    <w:qFormat/>
    <w:uiPriority w:val="0"/>
    <w:pPr>
      <w:spacing w:line="560" w:lineRule="exact"/>
      <w:ind w:firstLine="200" w:firstLineChars="0"/>
      <w:textAlignment w:val="baseline"/>
    </w:pPr>
    <w:rPr>
      <w:rFonts w:ascii="Times New Roman" w:hAnsi="Times New Roman"/>
      <w:b/>
      <w:color w:val="auto"/>
      <w:sz w:val="26"/>
      <w:szCs w:val="20"/>
    </w:rPr>
  </w:style>
  <w:style w:type="paragraph" w:customStyle="1" w:styleId="1135">
    <w:name w:val="表格5"/>
    <w:qFormat/>
    <w:uiPriority w:val="0"/>
    <w:pPr>
      <w:jc w:val="both"/>
    </w:pPr>
    <w:rPr>
      <w:rFonts w:ascii="宋体" w:hAnsi="宋体" w:eastAsia="宋体" w:cs="Times New Roman"/>
      <w:color w:val="000000"/>
      <w:sz w:val="24"/>
      <w:lang w:val="en-US" w:eastAsia="zh-CN" w:bidi="ar-SA"/>
    </w:rPr>
  </w:style>
  <w:style w:type="paragraph" w:customStyle="1" w:styleId="113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sz w:val="20"/>
      <w:szCs w:val="20"/>
    </w:rPr>
  </w:style>
  <w:style w:type="paragraph" w:customStyle="1" w:styleId="1137">
    <w:name w:val="目录2"/>
    <w:basedOn w:val="58"/>
    <w:qFormat/>
    <w:uiPriority w:val="0"/>
    <w:pPr>
      <w:tabs>
        <w:tab w:val="left" w:pos="0"/>
        <w:tab w:val="right" w:leader="dot" w:pos="8260"/>
        <w:tab w:val="right" w:leader="dot" w:pos="8296"/>
        <w:tab w:val="right" w:leader="dot" w:pos="8349"/>
      </w:tabs>
      <w:autoSpaceDE w:val="0"/>
      <w:autoSpaceDN w:val="0"/>
      <w:adjustRightInd w:val="0"/>
      <w:snapToGrid w:val="0"/>
      <w:spacing w:line="500" w:lineRule="exact"/>
      <w:ind w:firstLine="200" w:firstLineChars="200"/>
      <w:jc w:val="both"/>
      <w:textAlignment w:val="baseline"/>
    </w:pPr>
    <w:rPr>
      <w:rFonts w:ascii="黑体" w:hAnsi="宋体" w:eastAsia="黑体"/>
      <w:bCs w:val="0"/>
      <w:snapToGrid w:val="0"/>
      <w:spacing w:val="10"/>
      <w:kern w:val="10"/>
      <w:sz w:val="23"/>
    </w:rPr>
  </w:style>
  <w:style w:type="paragraph" w:customStyle="1" w:styleId="1138">
    <w:name w:val="reference"/>
    <w:basedOn w:val="808"/>
    <w:qFormat/>
    <w:uiPriority w:val="0"/>
    <w:pPr>
      <w:tabs>
        <w:tab w:val="left" w:pos="720"/>
      </w:tabs>
      <w:adjustRightInd/>
      <w:snapToGrid/>
      <w:spacing w:line="240" w:lineRule="auto"/>
      <w:ind w:left="720" w:hanging="720" w:firstLineChars="0"/>
    </w:pPr>
    <w:rPr>
      <w:rFonts w:ascii="Times New Roman" w:hAnsi="Times New Roman" w:eastAsia="仿宋_GB2312" w:cs="Times New Roman"/>
      <w:color w:val="000000"/>
      <w:sz w:val="30"/>
      <w:szCs w:val="20"/>
    </w:rPr>
  </w:style>
  <w:style w:type="paragraph" w:customStyle="1" w:styleId="1139">
    <w:name w:val="Figure"/>
    <w:basedOn w:val="1"/>
    <w:qFormat/>
    <w:uiPriority w:val="0"/>
    <w:pPr>
      <w:spacing w:line="360" w:lineRule="auto"/>
      <w:jc w:val="center"/>
    </w:pPr>
    <w:rPr>
      <w:szCs w:val="20"/>
    </w:rPr>
  </w:style>
  <w:style w:type="paragraph" w:customStyle="1" w:styleId="1140">
    <w:name w:val="样式 小三 加粗 左 首行缩进:  0.32 厘米 行距: 固定值 25 磅1"/>
    <w:basedOn w:val="3"/>
    <w:qFormat/>
    <w:uiPriority w:val="0"/>
    <w:pPr>
      <w:adjustRightInd w:val="0"/>
      <w:spacing w:beforeLines="0" w:afterLines="0" w:line="300" w:lineRule="exact"/>
    </w:pPr>
    <w:rPr>
      <w:rFonts w:ascii="仿宋_GB2312" w:hAnsi="Arial" w:eastAsia="仿宋_GB2312"/>
      <w:bCs w:val="0"/>
      <w:sz w:val="30"/>
      <w:szCs w:val="20"/>
      <w:lang w:val="zh-CN"/>
    </w:rPr>
  </w:style>
  <w:style w:type="paragraph" w:customStyle="1" w:styleId="1141">
    <w:name w:val="样式 样式5 + 首行缩进:  2 字符"/>
    <w:basedOn w:val="397"/>
    <w:qFormat/>
    <w:uiPriority w:val="0"/>
    <w:pPr>
      <w:autoSpaceDE w:val="0"/>
      <w:autoSpaceDN w:val="0"/>
      <w:spacing w:line="276" w:lineRule="auto"/>
      <w:ind w:firstLine="600" w:firstLineChars="0"/>
      <w:textAlignment w:val="center"/>
    </w:pPr>
    <w:rPr>
      <w:rFonts w:ascii="Times New Roman" w:hAnsi="Times New Roman"/>
      <w:b/>
      <w:color w:val="auto"/>
      <w:spacing w:val="10"/>
      <w:kern w:val="28"/>
      <w:sz w:val="26"/>
      <w:szCs w:val="20"/>
    </w:rPr>
  </w:style>
  <w:style w:type="paragraph" w:customStyle="1" w:styleId="1142">
    <w:name w:val="表格内容格式"/>
    <w:basedOn w:val="1"/>
    <w:qFormat/>
    <w:uiPriority w:val="0"/>
    <w:rPr>
      <w:szCs w:val="20"/>
    </w:rPr>
  </w:style>
  <w:style w:type="paragraph" w:customStyle="1" w:styleId="1143">
    <w:name w:val="样式 标题 1封面大标题 + 三号"/>
    <w:basedOn w:val="2"/>
    <w:qFormat/>
    <w:uiPriority w:val="0"/>
    <w:pPr>
      <w:spacing w:beforeLines="0" w:afterLines="0" w:line="240" w:lineRule="auto"/>
      <w:jc w:val="center"/>
      <w:textAlignment w:val="baseline"/>
    </w:pPr>
    <w:rPr>
      <w:b w:val="0"/>
      <w:bCs w:val="0"/>
      <w:snapToGrid w:val="0"/>
      <w:spacing w:val="10"/>
      <w:sz w:val="40"/>
      <w:szCs w:val="20"/>
    </w:rPr>
  </w:style>
  <w:style w:type="paragraph" w:customStyle="1" w:styleId="1144">
    <w:name w:val="样式 标题4 + 左侧:  -1.05 字符"/>
    <w:basedOn w:val="1"/>
    <w:qFormat/>
    <w:uiPriority w:val="0"/>
    <w:pPr>
      <w:spacing w:line="600" w:lineRule="exact"/>
      <w:ind w:left="595" w:firstLine="200" w:firstLineChars="200"/>
    </w:pPr>
    <w:rPr>
      <w:rFonts w:eastAsia="黑体"/>
      <w:snapToGrid w:val="0"/>
      <w:szCs w:val="20"/>
    </w:rPr>
  </w:style>
  <w:style w:type="paragraph" w:customStyle="1" w:styleId="1145">
    <w:name w:val="样式 宋体 四号"/>
    <w:basedOn w:val="1"/>
    <w:qFormat/>
    <w:uiPriority w:val="0"/>
    <w:pPr>
      <w:spacing w:beforeLines="50" w:afterLines="50" w:line="560" w:lineRule="exact"/>
      <w:ind w:firstLine="200"/>
    </w:pPr>
    <w:rPr>
      <w:b/>
      <w:sz w:val="28"/>
      <w:szCs w:val="20"/>
    </w:rPr>
  </w:style>
  <w:style w:type="paragraph" w:customStyle="1" w:styleId="1146">
    <w:name w:val="Style title + Not Bold All caps"/>
    <w:basedOn w:val="3"/>
    <w:qFormat/>
    <w:uiPriority w:val="0"/>
    <w:pPr>
      <w:keepNext w:val="0"/>
      <w:keepLines w:val="0"/>
      <w:spacing w:beforeLines="0" w:afterLines="0"/>
      <w:jc w:val="center"/>
      <w:outlineLvl w:val="9"/>
    </w:pPr>
    <w:rPr>
      <w:bCs w:val="0"/>
      <w:caps/>
      <w:sz w:val="28"/>
      <w:szCs w:val="20"/>
    </w:rPr>
  </w:style>
  <w:style w:type="paragraph" w:customStyle="1" w:styleId="1147">
    <w:name w:val="Table 10"/>
    <w:basedOn w:val="1148"/>
    <w:uiPriority w:val="0"/>
    <w:pPr>
      <w:jc w:val="left"/>
    </w:pPr>
    <w:rPr>
      <w:sz w:val="20"/>
    </w:rPr>
  </w:style>
  <w:style w:type="paragraph" w:customStyle="1" w:styleId="1148">
    <w:name w:val="Table contents"/>
    <w:basedOn w:val="1"/>
    <w:qFormat/>
    <w:uiPriority w:val="0"/>
    <w:pPr>
      <w:jc w:val="center"/>
    </w:pPr>
    <w:rPr>
      <w:kern w:val="24"/>
      <w:szCs w:val="20"/>
      <w:lang w:eastAsia="en-US"/>
    </w:rPr>
  </w:style>
  <w:style w:type="paragraph" w:customStyle="1" w:styleId="1149">
    <w:name w:val="样式 五号 居中"/>
    <w:basedOn w:val="1"/>
    <w:qFormat/>
    <w:uiPriority w:val="0"/>
    <w:pPr>
      <w:spacing w:line="280" w:lineRule="exact"/>
      <w:jc w:val="center"/>
    </w:pPr>
    <w:rPr>
      <w:szCs w:val="20"/>
    </w:rPr>
  </w:style>
  <w:style w:type="paragraph" w:customStyle="1" w:styleId="1150">
    <w:name w:val="样式 表 + Times New Roman 左侧:  -1.22 厘米 行距: 最小值 12 磅"/>
    <w:basedOn w:val="374"/>
    <w:qFormat/>
    <w:uiPriority w:val="0"/>
    <w:pPr>
      <w:keepLines/>
      <w:tabs>
        <w:tab w:val="left" w:pos="369"/>
        <w:tab w:val="left" w:pos="7740"/>
      </w:tabs>
      <w:adjustRightInd w:val="0"/>
      <w:spacing w:line="240" w:lineRule="atLeast"/>
    </w:pPr>
    <w:rPr>
      <w:color w:val="FF0000"/>
      <w:spacing w:val="0"/>
    </w:rPr>
  </w:style>
  <w:style w:type="paragraph" w:customStyle="1" w:styleId="1151">
    <w:name w:val="表图名"/>
    <w:qFormat/>
    <w:uiPriority w:val="0"/>
    <w:pPr>
      <w:spacing w:beforeLines="50" w:afterLines="50" w:line="360" w:lineRule="auto"/>
      <w:jc w:val="center"/>
    </w:pPr>
    <w:rPr>
      <w:rFonts w:ascii="Times New Roman" w:hAnsi="Times New Roman" w:eastAsia="宋体" w:cs="Times New Roman"/>
      <w:b/>
      <w:kern w:val="2"/>
      <w:sz w:val="21"/>
      <w:lang w:val="en-US" w:eastAsia="zh-CN" w:bidi="ar-SA"/>
    </w:rPr>
  </w:style>
  <w:style w:type="paragraph" w:customStyle="1" w:styleId="1152">
    <w:name w:val="Style1"/>
    <w:basedOn w:val="1"/>
    <w:qFormat/>
    <w:uiPriority w:val="0"/>
    <w:pPr>
      <w:tabs>
        <w:tab w:val="left" w:pos="-720"/>
      </w:tabs>
      <w:spacing w:after="120"/>
    </w:pPr>
    <w:rPr>
      <w:spacing w:val="-3"/>
      <w:szCs w:val="20"/>
      <w:lang w:val="en-AU" w:eastAsia="en-US"/>
    </w:rPr>
  </w:style>
  <w:style w:type="paragraph" w:customStyle="1" w:styleId="1153">
    <w:name w:val="single space"/>
    <w:basedOn w:val="1"/>
    <w:qFormat/>
    <w:uiPriority w:val="0"/>
    <w:pPr>
      <w:jc w:val="center"/>
    </w:pPr>
    <w:rPr>
      <w:szCs w:val="20"/>
    </w:rPr>
  </w:style>
  <w:style w:type="paragraph" w:customStyle="1" w:styleId="1154">
    <w:name w:val="样式 标题 3 + 段前: 0.5 行"/>
    <w:basedOn w:val="4"/>
    <w:qFormat/>
    <w:uiPriority w:val="0"/>
    <w:pPr>
      <w:spacing w:beforeLines="100" w:line="240" w:lineRule="auto"/>
      <w:ind w:left="-288"/>
    </w:pPr>
    <w:rPr>
      <w:rFonts w:eastAsia="黑体"/>
      <w:bCs w:val="0"/>
      <w:sz w:val="28"/>
      <w:szCs w:val="20"/>
    </w:rPr>
  </w:style>
  <w:style w:type="paragraph" w:customStyle="1" w:styleId="1155">
    <w:name w:val="样式 标题 1封面大标题 + 段后: 15.6 磅"/>
    <w:basedOn w:val="2"/>
    <w:qFormat/>
    <w:uiPriority w:val="0"/>
    <w:pPr>
      <w:spacing w:beforeLines="0" w:afterLines="0" w:line="240" w:lineRule="auto"/>
      <w:jc w:val="center"/>
      <w:textAlignment w:val="baseline"/>
    </w:pPr>
    <w:rPr>
      <w:b w:val="0"/>
      <w:bCs w:val="0"/>
      <w:snapToGrid w:val="0"/>
      <w:spacing w:val="10"/>
      <w:sz w:val="40"/>
      <w:szCs w:val="20"/>
    </w:rPr>
  </w:style>
  <w:style w:type="paragraph" w:customStyle="1" w:styleId="1156">
    <w:name w:val="样式 (中文) 黑体 28 磅 居中 段前: 0.5 行 首行缩进:  0 字符"/>
    <w:qFormat/>
    <w:uiPriority w:val="0"/>
    <w:pPr>
      <w:spacing w:before="652"/>
      <w:jc w:val="center"/>
    </w:pPr>
    <w:rPr>
      <w:rFonts w:ascii="Times New Roman" w:hAnsi="Times New Roman" w:eastAsia="黑体" w:cs="Times New Roman"/>
      <w:kern w:val="2"/>
      <w:sz w:val="56"/>
      <w:lang w:val="en-US" w:eastAsia="zh-CN" w:bidi="ar-SA"/>
    </w:rPr>
  </w:style>
  <w:style w:type="paragraph" w:customStyle="1" w:styleId="1157">
    <w:name w:val="temp heading1"/>
    <w:basedOn w:val="4"/>
    <w:qFormat/>
    <w:uiPriority w:val="0"/>
    <w:pPr>
      <w:ind w:firstLine="200" w:firstLineChars="200"/>
      <w:outlineLvl w:val="0"/>
    </w:pPr>
    <w:rPr>
      <w:bCs w:val="0"/>
      <w:sz w:val="28"/>
      <w:szCs w:val="20"/>
    </w:rPr>
  </w:style>
  <w:style w:type="paragraph" w:customStyle="1" w:styleId="1158">
    <w:name w:val="样式 样式 样式 标题 1封面大标题 + 段前: 0.5 行 段后: 0.5 行 + +"/>
    <w:basedOn w:val="1159"/>
    <w:uiPriority w:val="0"/>
    <w:pPr>
      <w:spacing w:beforeLines="100" w:afterLines="100"/>
    </w:pPr>
  </w:style>
  <w:style w:type="paragraph" w:customStyle="1" w:styleId="1159">
    <w:name w:val="样式 样式 标题 1封面大标题 + 段前: 0.5 行 段后: 0.5 行 +"/>
    <w:basedOn w:val="1160"/>
    <w:qFormat/>
    <w:uiPriority w:val="0"/>
    <w:pPr>
      <w:spacing w:beforeLines="60" w:afterLines="60"/>
    </w:pPr>
  </w:style>
  <w:style w:type="paragraph" w:customStyle="1" w:styleId="1160">
    <w:name w:val="样式 标题 1封面大标题 + 段前: 0.5 行 段后: 0.5 行"/>
    <w:basedOn w:val="2"/>
    <w:qFormat/>
    <w:uiPriority w:val="0"/>
    <w:pPr>
      <w:spacing w:beforeLines="50" w:line="600" w:lineRule="exact"/>
      <w:jc w:val="center"/>
      <w:textAlignment w:val="baseline"/>
    </w:pPr>
    <w:rPr>
      <w:b w:val="0"/>
      <w:bCs w:val="0"/>
      <w:snapToGrid w:val="0"/>
      <w:spacing w:val="10"/>
      <w:sz w:val="40"/>
      <w:szCs w:val="20"/>
    </w:rPr>
  </w:style>
  <w:style w:type="paragraph" w:customStyle="1" w:styleId="1161">
    <w:name w:val="样式 四号 行距: 固定值 25 磅"/>
    <w:basedOn w:val="1"/>
    <w:qFormat/>
    <w:uiPriority w:val="0"/>
    <w:pPr>
      <w:spacing w:line="480" w:lineRule="exact"/>
      <w:ind w:firstLine="420" w:firstLineChars="200"/>
    </w:pPr>
    <w:rPr>
      <w:snapToGrid w:val="0"/>
      <w:szCs w:val="20"/>
    </w:rPr>
  </w:style>
  <w:style w:type="paragraph" w:customStyle="1" w:styleId="1162">
    <w:name w:val="样式 分目录2 + 首行缩进:  2 字符"/>
    <w:basedOn w:val="1048"/>
    <w:uiPriority w:val="0"/>
    <w:pPr>
      <w:spacing w:line="360" w:lineRule="auto"/>
      <w:ind w:firstLine="482"/>
    </w:pPr>
    <w:rPr>
      <w:color w:val="auto"/>
      <w:sz w:val="24"/>
    </w:rPr>
  </w:style>
  <w:style w:type="paragraph" w:customStyle="1" w:styleId="1163">
    <w:name w:val="参考文献"/>
    <w:basedOn w:val="1"/>
    <w:qFormat/>
    <w:uiPriority w:val="0"/>
    <w:pPr>
      <w:adjustRightInd w:val="0"/>
      <w:snapToGrid w:val="0"/>
      <w:spacing w:line="500" w:lineRule="exact"/>
      <w:ind w:firstLine="480" w:firstLineChars="200"/>
    </w:pPr>
    <w:rPr>
      <w:szCs w:val="20"/>
    </w:rPr>
  </w:style>
  <w:style w:type="paragraph" w:customStyle="1" w:styleId="1164">
    <w:name w:val="样式 标题 1封面大标题 + 段后: 15.6 磅1"/>
    <w:basedOn w:val="2"/>
    <w:qFormat/>
    <w:uiPriority w:val="0"/>
    <w:pPr>
      <w:spacing w:beforeLines="0" w:afterLines="0" w:line="240" w:lineRule="auto"/>
      <w:jc w:val="center"/>
      <w:textAlignment w:val="baseline"/>
    </w:pPr>
    <w:rPr>
      <w:b w:val="0"/>
      <w:bCs w:val="0"/>
      <w:snapToGrid w:val="0"/>
      <w:spacing w:val="10"/>
      <w:sz w:val="40"/>
      <w:szCs w:val="20"/>
    </w:rPr>
  </w:style>
  <w:style w:type="paragraph" w:customStyle="1" w:styleId="1165">
    <w:name w:val="表5号字"/>
    <w:basedOn w:val="1"/>
    <w:qFormat/>
    <w:uiPriority w:val="0"/>
    <w:rPr>
      <w:szCs w:val="20"/>
    </w:rPr>
  </w:style>
  <w:style w:type="paragraph" w:customStyle="1" w:styleId="1166">
    <w:name w:val="正文格式42"/>
    <w:basedOn w:val="1"/>
    <w:qFormat/>
    <w:uiPriority w:val="0"/>
    <w:pPr>
      <w:spacing w:beforeLines="50" w:afterLines="50" w:line="360" w:lineRule="auto"/>
      <w:ind w:firstLine="482" w:firstLineChars="200"/>
    </w:pPr>
    <w:rPr>
      <w:szCs w:val="20"/>
    </w:rPr>
  </w:style>
  <w:style w:type="paragraph" w:customStyle="1" w:styleId="1167">
    <w:name w:val="样式 目录3 + 首行缩进:  2 字符"/>
    <w:basedOn w:val="1168"/>
    <w:uiPriority w:val="0"/>
    <w:pPr>
      <w:tabs>
        <w:tab w:val="right" w:leader="dot" w:pos="8777"/>
      </w:tabs>
      <w:ind w:firstLine="560" w:firstLineChars="200"/>
    </w:pPr>
    <w:rPr>
      <w:b w:val="0"/>
    </w:rPr>
  </w:style>
  <w:style w:type="paragraph" w:customStyle="1" w:styleId="1168">
    <w:name w:val="目录3"/>
    <w:basedOn w:val="1"/>
    <w:qFormat/>
    <w:uiPriority w:val="0"/>
    <w:pPr>
      <w:tabs>
        <w:tab w:val="right" w:leader="dot" w:pos="8777"/>
      </w:tabs>
      <w:spacing w:line="400" w:lineRule="exact"/>
    </w:pPr>
    <w:rPr>
      <w:b/>
      <w:szCs w:val="20"/>
    </w:rPr>
  </w:style>
  <w:style w:type="paragraph" w:customStyle="1" w:styleId="1169">
    <w:name w:val="样式 样式 样式 样式 审签页 审签字 + 左侧:  8 字符 段前: 1 行 + 首行缩进:  0.85 厘米 段前: 1 行..."/>
    <w:basedOn w:val="1"/>
    <w:qFormat/>
    <w:uiPriority w:val="0"/>
    <w:pPr>
      <w:adjustRightInd w:val="0"/>
      <w:snapToGrid w:val="0"/>
      <w:spacing w:beforeLines="100" w:line="700" w:lineRule="exact"/>
      <w:ind w:left="1000" w:leftChars="1000"/>
    </w:pPr>
    <w:rPr>
      <w:rFonts w:eastAsia="楷体_GB2312"/>
      <w:color w:val="000000"/>
      <w:szCs w:val="20"/>
    </w:rPr>
  </w:style>
  <w:style w:type="paragraph" w:customStyle="1" w:styleId="1170">
    <w:name w:val="样式 样式5 + 首行缩进:  2 字符4"/>
    <w:basedOn w:val="397"/>
    <w:qFormat/>
    <w:uiPriority w:val="0"/>
    <w:pPr>
      <w:spacing w:line="560" w:lineRule="exact"/>
      <w:ind w:firstLine="560" w:firstLineChars="0"/>
      <w:textAlignment w:val="baseline"/>
    </w:pPr>
    <w:rPr>
      <w:rFonts w:ascii="Times New Roman" w:hAnsi="Times New Roman"/>
      <w:b/>
      <w:color w:val="auto"/>
      <w:sz w:val="26"/>
      <w:szCs w:val="20"/>
    </w:rPr>
  </w:style>
  <w:style w:type="paragraph" w:customStyle="1" w:styleId="1171">
    <w:name w:val="样式 标题 3 + 段前: 0.5 行 段后: 0.5 行"/>
    <w:basedOn w:val="4"/>
    <w:qFormat/>
    <w:uiPriority w:val="0"/>
    <w:pPr>
      <w:spacing w:beforeLines="100" w:afterLines="40" w:line="240" w:lineRule="auto"/>
      <w:ind w:left="-288"/>
    </w:pPr>
    <w:rPr>
      <w:rFonts w:eastAsia="黑体"/>
      <w:bCs w:val="0"/>
      <w:sz w:val="28"/>
      <w:szCs w:val="20"/>
    </w:rPr>
  </w:style>
  <w:style w:type="paragraph" w:customStyle="1" w:styleId="1172">
    <w:name w:val="样式 样式 样式 样式 标题 3 + 左  -1.03 字符 首行缩进:  1 字符 + 左侧:  -1.03 字符 + 左侧:..."/>
    <w:basedOn w:val="1"/>
    <w:qFormat/>
    <w:uiPriority w:val="0"/>
    <w:pPr>
      <w:spacing w:line="600" w:lineRule="exact"/>
      <w:ind w:firstLine="560" w:firstLineChars="200"/>
    </w:pPr>
    <w:rPr>
      <w:snapToGrid w:val="0"/>
      <w:sz w:val="28"/>
      <w:szCs w:val="20"/>
    </w:rPr>
  </w:style>
  <w:style w:type="paragraph" w:customStyle="1" w:styleId="1173">
    <w:name w:val="样式 标题 2W2 + (西文) 宋体 四号 段前: 0 磅 段后: 0 磅 行距: 单倍行距"/>
    <w:basedOn w:val="3"/>
    <w:qFormat/>
    <w:uiPriority w:val="0"/>
    <w:pPr>
      <w:tabs>
        <w:tab w:val="left" w:pos="360"/>
        <w:tab w:val="left" w:pos="1320"/>
      </w:tabs>
      <w:spacing w:line="240" w:lineRule="auto"/>
      <w:ind w:left="1320" w:hanging="420"/>
    </w:pPr>
    <w:rPr>
      <w:rFonts w:ascii="黑体" w:eastAsia="黑体"/>
      <w:b w:val="0"/>
      <w:bCs w:val="0"/>
      <w:spacing w:val="10"/>
      <w:sz w:val="30"/>
      <w:szCs w:val="20"/>
    </w:rPr>
  </w:style>
  <w:style w:type="paragraph" w:customStyle="1" w:styleId="1174">
    <w:name w:val="Text"/>
    <w:basedOn w:val="1"/>
    <w:qFormat/>
    <w:uiPriority w:val="0"/>
    <w:pPr>
      <w:spacing w:before="240" w:line="360" w:lineRule="auto"/>
    </w:pPr>
    <w:rPr>
      <w:szCs w:val="20"/>
    </w:rPr>
  </w:style>
  <w:style w:type="paragraph" w:customStyle="1" w:styleId="1175">
    <w:name w:val="Style Text + Italic"/>
    <w:basedOn w:val="1174"/>
    <w:qFormat/>
    <w:uiPriority w:val="0"/>
    <w:rPr>
      <w:i/>
    </w:rPr>
  </w:style>
  <w:style w:type="paragraph" w:customStyle="1" w:styleId="1176">
    <w:name w:val="Char Char Char Char11"/>
    <w:basedOn w:val="1"/>
    <w:qFormat/>
    <w:uiPriority w:val="0"/>
    <w:rPr>
      <w:szCs w:val="20"/>
    </w:rPr>
  </w:style>
  <w:style w:type="paragraph" w:customStyle="1" w:styleId="1177">
    <w:name w:val="样式 标题3 + 小四 左侧:  1.8 字符"/>
    <w:basedOn w:val="476"/>
    <w:qFormat/>
    <w:uiPriority w:val="0"/>
    <w:pPr>
      <w:snapToGrid/>
      <w:spacing w:line="480" w:lineRule="exact"/>
      <w:ind w:left="504" w:leftChars="180" w:firstLine="0"/>
      <w:outlineLvl w:val="9"/>
    </w:pPr>
    <w:rPr>
      <w:rFonts w:eastAsia="黑体"/>
      <w:snapToGrid w:val="0"/>
      <w:sz w:val="30"/>
    </w:rPr>
  </w:style>
  <w:style w:type="paragraph" w:customStyle="1" w:styleId="1178">
    <w:name w:val="subhead1"/>
    <w:basedOn w:val="1"/>
    <w:qFormat/>
    <w:uiPriority w:val="0"/>
    <w:pPr>
      <w:spacing w:line="360" w:lineRule="auto"/>
    </w:pPr>
    <w:rPr>
      <w:szCs w:val="20"/>
    </w:rPr>
  </w:style>
  <w:style w:type="paragraph" w:customStyle="1" w:styleId="1179">
    <w:name w:val="Style Text + Centered Line spacing:  single"/>
    <w:basedOn w:val="1174"/>
    <w:qFormat/>
    <w:uiPriority w:val="0"/>
    <w:pPr>
      <w:spacing w:beforeLines="60" w:line="240" w:lineRule="auto"/>
      <w:jc w:val="center"/>
    </w:pPr>
  </w:style>
  <w:style w:type="paragraph" w:customStyle="1" w:styleId="1180">
    <w:name w:val="样式 样式 标题 2W2 + 段前: 0.5 行 段后: 0.5 行 + 段前: 0.5 行 段后: 0.5 行"/>
    <w:basedOn w:val="1181"/>
    <w:uiPriority w:val="0"/>
    <w:pPr>
      <w:spacing w:beforeLines="100"/>
    </w:pPr>
  </w:style>
  <w:style w:type="paragraph" w:customStyle="1" w:styleId="1181">
    <w:name w:val="样式 标题 2W2 + 段前: 0.5 行 段后: 0.5 行"/>
    <w:basedOn w:val="3"/>
    <w:qFormat/>
    <w:uiPriority w:val="0"/>
    <w:pPr>
      <w:spacing w:line="400" w:lineRule="exact"/>
      <w:ind w:left="-288"/>
    </w:pPr>
    <w:rPr>
      <w:rFonts w:eastAsia="黑体"/>
      <w:bCs w:val="0"/>
      <w:spacing w:val="10"/>
      <w:sz w:val="30"/>
      <w:szCs w:val="20"/>
    </w:rPr>
  </w:style>
  <w:style w:type="paragraph" w:customStyle="1" w:styleId="1182">
    <w:name w:val="样式 正文缩进 + 宋体 小四"/>
    <w:basedOn w:val="8"/>
    <w:qFormat/>
    <w:uiPriority w:val="0"/>
    <w:pPr>
      <w:spacing w:line="600" w:lineRule="exact"/>
    </w:pPr>
    <w:rPr>
      <w:spacing w:val="-2"/>
      <w:sz w:val="28"/>
    </w:rPr>
  </w:style>
  <w:style w:type="paragraph" w:customStyle="1" w:styleId="1183">
    <w:name w:val="居中 单倍行距"/>
    <w:basedOn w:val="1184"/>
    <w:uiPriority w:val="0"/>
    <w:pPr>
      <w:spacing w:line="240" w:lineRule="auto"/>
    </w:pPr>
  </w:style>
  <w:style w:type="paragraph" w:customStyle="1" w:styleId="1184">
    <w:name w:val="居中 1.5 倍行距"/>
    <w:basedOn w:val="1"/>
    <w:qFormat/>
    <w:uiPriority w:val="0"/>
    <w:pPr>
      <w:spacing w:beforeLines="50" w:line="360" w:lineRule="auto"/>
      <w:ind w:firstLine="200" w:firstLineChars="200"/>
      <w:jc w:val="center"/>
    </w:pPr>
    <w:rPr>
      <w:szCs w:val="20"/>
    </w:rPr>
  </w:style>
  <w:style w:type="paragraph" w:customStyle="1" w:styleId="1185">
    <w:name w:val="附录标识"/>
    <w:basedOn w:val="1"/>
    <w:next w:val="1"/>
    <w:qFormat/>
    <w:uiPriority w:val="0"/>
    <w:pPr>
      <w:shd w:val="clear" w:color="FFFFFF" w:fill="FFFFFF"/>
      <w:spacing w:before="120" w:line="460" w:lineRule="exact"/>
      <w:ind w:right="420" w:firstLine="480"/>
      <w:outlineLvl w:val="0"/>
    </w:pPr>
    <w:rPr>
      <w:spacing w:val="10"/>
      <w:sz w:val="18"/>
      <w:szCs w:val="20"/>
    </w:rPr>
  </w:style>
  <w:style w:type="paragraph" w:customStyle="1" w:styleId="1186">
    <w:name w:val="默认段落字体 Para Char Char Char Char Char Char Char"/>
    <w:basedOn w:val="1"/>
    <w:qFormat/>
    <w:uiPriority w:val="0"/>
    <w:rPr>
      <w:szCs w:val="20"/>
    </w:rPr>
  </w:style>
  <w:style w:type="paragraph" w:customStyle="1" w:styleId="1187">
    <w:name w:val="2.1.1 标题 3"/>
    <w:basedOn w:val="4"/>
    <w:qFormat/>
    <w:uiPriority w:val="0"/>
    <w:rPr>
      <w:b w:val="0"/>
      <w:bCs w:val="0"/>
      <w:color w:val="FF0000"/>
      <w:sz w:val="28"/>
      <w:szCs w:val="20"/>
    </w:rPr>
  </w:style>
  <w:style w:type="paragraph" w:customStyle="1" w:styleId="1188">
    <w:name w:val="分目录"/>
    <w:basedOn w:val="1"/>
    <w:qFormat/>
    <w:uiPriority w:val="0"/>
    <w:pPr>
      <w:adjustRightInd w:val="0"/>
      <w:snapToGrid w:val="0"/>
      <w:spacing w:line="500" w:lineRule="exact"/>
      <w:jc w:val="center"/>
    </w:pPr>
    <w:rPr>
      <w:b/>
      <w:snapToGrid w:val="0"/>
      <w:color w:val="000000"/>
      <w:sz w:val="32"/>
      <w:szCs w:val="20"/>
    </w:rPr>
  </w:style>
  <w:style w:type="paragraph" w:customStyle="1" w:styleId="1189">
    <w:name w:val="Style Table contents + Left"/>
    <w:basedOn w:val="1148"/>
    <w:uiPriority w:val="0"/>
    <w:pPr>
      <w:jc w:val="left"/>
    </w:pPr>
    <w:rPr>
      <w:rFonts w:eastAsia="Times New Roman"/>
    </w:rPr>
  </w:style>
  <w:style w:type="paragraph" w:customStyle="1" w:styleId="1190">
    <w:name w:val="题注2"/>
    <w:basedOn w:val="1"/>
    <w:qFormat/>
    <w:uiPriority w:val="0"/>
    <w:pPr>
      <w:suppressLineNumbers/>
      <w:suppressAutoHyphens/>
      <w:spacing w:beforeLines="50" w:afterLines="50" w:line="360" w:lineRule="auto"/>
      <w:ind w:firstLine="200" w:firstLineChars="200"/>
    </w:pPr>
    <w:rPr>
      <w:i/>
      <w:szCs w:val="20"/>
    </w:rPr>
  </w:style>
  <w:style w:type="paragraph" w:customStyle="1" w:styleId="1191">
    <w:name w:val="封面2"/>
    <w:qFormat/>
    <w:uiPriority w:val="0"/>
    <w:pPr>
      <w:tabs>
        <w:tab w:val="left" w:pos="6083"/>
      </w:tabs>
      <w:snapToGrid w:val="0"/>
      <w:spacing w:line="360" w:lineRule="auto"/>
      <w:jc w:val="center"/>
    </w:pPr>
    <w:rPr>
      <w:rFonts w:ascii="Times New Roman" w:hAnsi="Times New Roman" w:eastAsia="仿宋_GB2312" w:cs="Times New Roman"/>
      <w:b/>
      <w:sz w:val="52"/>
      <w:lang w:val="en-US" w:eastAsia="zh-CN" w:bidi="ar-SA"/>
    </w:rPr>
  </w:style>
  <w:style w:type="paragraph" w:customStyle="1" w:styleId="1192">
    <w:name w:val="CM9"/>
    <w:basedOn w:val="312"/>
    <w:next w:val="312"/>
    <w:qFormat/>
    <w:uiPriority w:val="0"/>
    <w:pPr>
      <w:spacing w:line="540" w:lineRule="atLeast"/>
    </w:pPr>
    <w:rPr>
      <w:rFonts w:ascii="Arial" w:hAnsi="Arial" w:cs="Times New Roman"/>
      <w:color w:val="auto"/>
      <w:sz w:val="20"/>
      <w:szCs w:val="20"/>
    </w:rPr>
  </w:style>
  <w:style w:type="paragraph" w:customStyle="1" w:styleId="1193">
    <w:name w:val="样式 样式 样式 标题 4 + 首行缩进:  2 字符 段前: 0.5 行 段后: 0.5 行 + +"/>
    <w:basedOn w:val="1194"/>
    <w:uiPriority w:val="0"/>
  </w:style>
  <w:style w:type="paragraph" w:customStyle="1" w:styleId="1194">
    <w:name w:val="样式 样式 标题 4 + 首行缩进:  2 字符 段前: 0.5 行 段后: 0.5 行 +"/>
    <w:basedOn w:val="1195"/>
    <w:uiPriority w:val="0"/>
    <w:pPr>
      <w:spacing w:beforeLines="0" w:after="50"/>
      <w:ind w:firstLine="200"/>
    </w:pPr>
  </w:style>
  <w:style w:type="paragraph" w:customStyle="1" w:styleId="1195">
    <w:name w:val="样式 标题 4 + 首行缩进:  2 字符 段前: 0.5 行 段后: 0.5 行"/>
    <w:basedOn w:val="5"/>
    <w:qFormat/>
    <w:uiPriority w:val="0"/>
    <w:pPr>
      <w:keepNext w:val="0"/>
      <w:widowControl w:val="0"/>
      <w:overflowPunct/>
      <w:topLinePunct/>
      <w:autoSpaceDE/>
      <w:autoSpaceDN/>
      <w:snapToGrid w:val="0"/>
      <w:spacing w:afterLines="0" w:line="460" w:lineRule="exact"/>
      <w:ind w:firstLine="560"/>
      <w:textAlignment w:val="auto"/>
    </w:pPr>
    <w:rPr>
      <w:rFonts w:eastAsia="黑体"/>
      <w:b w:val="0"/>
      <w:i w:val="0"/>
      <w:snapToGrid w:val="0"/>
      <w:kern w:val="4"/>
      <w:sz w:val="26"/>
      <w:szCs w:val="20"/>
    </w:rPr>
  </w:style>
  <w:style w:type="paragraph" w:customStyle="1" w:styleId="1196">
    <w:name w:val="样式 标题 1封面大标题 +"/>
    <w:basedOn w:val="2"/>
    <w:qFormat/>
    <w:uiPriority w:val="0"/>
    <w:pPr>
      <w:spacing w:beforeLines="0" w:afterLines="0" w:line="240" w:lineRule="auto"/>
      <w:jc w:val="center"/>
      <w:textAlignment w:val="baseline"/>
    </w:pPr>
    <w:rPr>
      <w:b w:val="0"/>
      <w:bCs w:val="0"/>
      <w:snapToGrid w:val="0"/>
      <w:spacing w:val="10"/>
      <w:sz w:val="40"/>
      <w:szCs w:val="20"/>
    </w:rPr>
  </w:style>
  <w:style w:type="paragraph" w:customStyle="1" w:styleId="1197">
    <w:name w:val="主标题"/>
    <w:basedOn w:val="1"/>
    <w:qFormat/>
    <w:uiPriority w:val="0"/>
    <w:pPr>
      <w:autoSpaceDE w:val="0"/>
      <w:autoSpaceDN w:val="0"/>
      <w:adjustRightInd w:val="0"/>
      <w:snapToGrid w:val="0"/>
      <w:spacing w:line="360" w:lineRule="auto"/>
      <w:jc w:val="center"/>
    </w:pPr>
    <w:rPr>
      <w:rFonts w:eastAsia="黑体"/>
      <w:sz w:val="52"/>
      <w:szCs w:val="20"/>
    </w:rPr>
  </w:style>
  <w:style w:type="paragraph" w:customStyle="1" w:styleId="1198">
    <w:name w:val="表格小5"/>
    <w:qFormat/>
    <w:uiPriority w:val="0"/>
    <w:pPr>
      <w:jc w:val="center"/>
    </w:pPr>
    <w:rPr>
      <w:rFonts w:ascii="Times New Roman" w:hAnsi="Times New Roman" w:eastAsia="宋体" w:cs="Times New Roman"/>
      <w:sz w:val="18"/>
      <w:lang w:val="en-US" w:eastAsia="zh-CN" w:bidi="ar-SA"/>
    </w:rPr>
  </w:style>
  <w:style w:type="paragraph" w:customStyle="1" w:styleId="1199">
    <w:name w:val="样式 手册正文 + 首行缩进:  2 字符"/>
    <w:basedOn w:val="1"/>
    <w:qFormat/>
    <w:uiPriority w:val="0"/>
    <w:pPr>
      <w:adjustRightInd w:val="0"/>
      <w:spacing w:line="60" w:lineRule="atLeast"/>
      <w:ind w:firstLine="420"/>
    </w:pPr>
    <w:rPr>
      <w:color w:val="000000"/>
      <w:szCs w:val="20"/>
    </w:rPr>
  </w:style>
  <w:style w:type="paragraph" w:customStyle="1" w:styleId="1200">
    <w:name w:val="样式 标题 4 + 首行缩进:  2 字符 段前: 0.5 行 段后: 0.5 行2"/>
    <w:basedOn w:val="5"/>
    <w:qFormat/>
    <w:uiPriority w:val="0"/>
    <w:pPr>
      <w:keepLines/>
      <w:widowControl w:val="0"/>
      <w:tabs>
        <w:tab w:val="left" w:pos="360"/>
        <w:tab w:val="left" w:pos="1680"/>
      </w:tabs>
      <w:overflowPunct/>
      <w:autoSpaceDE/>
      <w:autoSpaceDN/>
      <w:adjustRightInd/>
      <w:textAlignment w:val="auto"/>
    </w:pPr>
    <w:rPr>
      <w:rFonts w:eastAsia="黑体"/>
      <w:i w:val="0"/>
      <w:snapToGrid w:val="0"/>
      <w:kern w:val="4"/>
      <w:sz w:val="26"/>
      <w:szCs w:val="20"/>
    </w:rPr>
  </w:style>
  <w:style w:type="paragraph" w:customStyle="1" w:styleId="1201">
    <w:name w:val="样式 标题 2W2 + 非加粗"/>
    <w:basedOn w:val="3"/>
    <w:qFormat/>
    <w:uiPriority w:val="0"/>
    <w:pPr>
      <w:spacing w:line="240" w:lineRule="auto"/>
      <w:ind w:left="-288"/>
    </w:pPr>
    <w:rPr>
      <w:rFonts w:eastAsia="黑体"/>
      <w:bCs w:val="0"/>
      <w:spacing w:val="10"/>
      <w:sz w:val="30"/>
      <w:szCs w:val="20"/>
    </w:rPr>
  </w:style>
  <w:style w:type="paragraph" w:customStyle="1" w:styleId="1202">
    <w:name w:val="Reference list"/>
    <w:basedOn w:val="1"/>
    <w:qFormat/>
    <w:uiPriority w:val="0"/>
    <w:pPr>
      <w:spacing w:line="360" w:lineRule="auto"/>
      <w:ind w:left="720" w:hanging="720"/>
    </w:pPr>
    <w:rPr>
      <w:szCs w:val="20"/>
    </w:rPr>
  </w:style>
  <w:style w:type="paragraph" w:customStyle="1" w:styleId="1203">
    <w:name w:val="Book"/>
    <w:basedOn w:val="1"/>
    <w:qFormat/>
    <w:uiPriority w:val="0"/>
    <w:pPr>
      <w:spacing w:line="360" w:lineRule="auto"/>
      <w:ind w:firstLine="200" w:firstLineChars="200"/>
    </w:pPr>
    <w:rPr>
      <w:szCs w:val="20"/>
    </w:rPr>
  </w:style>
  <w:style w:type="paragraph" w:customStyle="1" w:styleId="1204">
    <w:name w:val="样式一——标题"/>
    <w:basedOn w:val="312"/>
    <w:qFormat/>
    <w:uiPriority w:val="0"/>
    <w:rPr>
      <w:rFonts w:ascii="Arial" w:hAnsi="Arial" w:cs="Times New Roman"/>
      <w:szCs w:val="20"/>
    </w:rPr>
  </w:style>
  <w:style w:type="paragraph" w:customStyle="1" w:styleId="1205">
    <w:name w:val="样式 宋体 小四 行距: 1.5 倍行距"/>
    <w:basedOn w:val="1"/>
    <w:qFormat/>
    <w:uiPriority w:val="0"/>
    <w:pPr>
      <w:spacing w:line="360" w:lineRule="auto"/>
      <w:ind w:firstLine="480" w:firstLineChars="200"/>
    </w:pPr>
    <w:rPr>
      <w:szCs w:val="20"/>
    </w:rPr>
  </w:style>
  <w:style w:type="paragraph" w:customStyle="1" w:styleId="1206">
    <w:name w:val="样式 标题4 + 左侧:  1.05 字符"/>
    <w:basedOn w:val="8"/>
    <w:qFormat/>
    <w:uiPriority w:val="0"/>
    <w:pPr>
      <w:keepNext/>
      <w:keepLines/>
      <w:tabs>
        <w:tab w:val="left" w:pos="2310"/>
      </w:tabs>
      <w:spacing w:beforeLines="50"/>
      <w:ind w:left="120" w:leftChars="120" w:firstLine="200"/>
      <w:outlineLvl w:val="3"/>
    </w:pPr>
    <w:rPr>
      <w:rFonts w:eastAsia="黑体"/>
      <w:b/>
      <w:sz w:val="26"/>
    </w:rPr>
  </w:style>
  <w:style w:type="paragraph" w:customStyle="1" w:styleId="1207">
    <w:name w:val="样式 标题 1 + 黑体 四号"/>
    <w:basedOn w:val="2"/>
    <w:qFormat/>
    <w:uiPriority w:val="0"/>
    <w:pPr>
      <w:spacing w:beforeLines="0" w:afterLines="0" w:line="576" w:lineRule="auto"/>
    </w:pPr>
    <w:rPr>
      <w:rFonts w:hAnsi="黑体"/>
      <w:bCs w:val="0"/>
      <w:sz w:val="21"/>
      <w:szCs w:val="20"/>
    </w:rPr>
  </w:style>
  <w:style w:type="paragraph" w:customStyle="1" w:styleId="1208">
    <w:name w:val="样式 标题 4 + 首行缩进:  2 字符 段前: 0.5 行"/>
    <w:basedOn w:val="5"/>
    <w:qFormat/>
    <w:uiPriority w:val="0"/>
    <w:pPr>
      <w:keepNext w:val="0"/>
      <w:widowControl w:val="0"/>
      <w:overflowPunct/>
      <w:topLinePunct/>
      <w:autoSpaceDE/>
      <w:autoSpaceDN/>
      <w:snapToGrid w:val="0"/>
      <w:spacing w:beforeLines="100"/>
      <w:textAlignment w:val="auto"/>
    </w:pPr>
    <w:rPr>
      <w:rFonts w:eastAsia="黑体"/>
      <w:i w:val="0"/>
      <w:snapToGrid w:val="0"/>
      <w:kern w:val="4"/>
      <w:sz w:val="26"/>
      <w:szCs w:val="20"/>
    </w:rPr>
  </w:style>
  <w:style w:type="paragraph" w:customStyle="1" w:styleId="1209">
    <w:name w:val="目录三级"/>
    <w:basedOn w:val="1210"/>
    <w:uiPriority w:val="0"/>
    <w:pPr>
      <w:tabs>
        <w:tab w:val="left" w:pos="0"/>
        <w:tab w:val="right" w:leader="dot" w:pos="8260"/>
        <w:tab w:val="right" w:leader="dot" w:pos="8303"/>
        <w:tab w:val="right" w:leader="dot" w:pos="8349"/>
      </w:tabs>
      <w:autoSpaceDE/>
      <w:autoSpaceDN/>
      <w:adjustRightInd/>
      <w:snapToGrid/>
      <w:spacing w:beforeLines="50" w:afterLines="50" w:line="420" w:lineRule="exact"/>
      <w:ind w:firstLine="1120" w:firstLineChars="400"/>
      <w:textAlignment w:val="auto"/>
    </w:pPr>
    <w:rPr>
      <w:rFonts w:eastAsia="宋体"/>
      <w:kern w:val="2"/>
      <w:sz w:val="28"/>
    </w:rPr>
  </w:style>
  <w:style w:type="paragraph" w:customStyle="1" w:styleId="1210">
    <w:name w:val="目录zjj2"/>
    <w:basedOn w:val="58"/>
    <w:qFormat/>
    <w:uiPriority w:val="0"/>
    <w:pPr>
      <w:tabs>
        <w:tab w:val="left" w:pos="0"/>
        <w:tab w:val="right" w:leader="dot" w:pos="8260"/>
        <w:tab w:val="right" w:leader="dot" w:pos="8303"/>
        <w:tab w:val="right" w:leader="dot" w:pos="8349"/>
      </w:tabs>
      <w:autoSpaceDE w:val="0"/>
      <w:autoSpaceDN w:val="0"/>
      <w:adjustRightInd w:val="0"/>
      <w:snapToGrid w:val="0"/>
      <w:spacing w:before="156" w:after="156" w:line="440" w:lineRule="exact"/>
      <w:textAlignment w:val="baseline"/>
    </w:pPr>
    <w:rPr>
      <w:rFonts w:ascii="黑体" w:hAnsi="宋体" w:eastAsia="黑体"/>
      <w:bCs w:val="0"/>
      <w:snapToGrid w:val="0"/>
      <w:spacing w:val="10"/>
      <w:kern w:val="10"/>
    </w:rPr>
  </w:style>
  <w:style w:type="paragraph" w:customStyle="1" w:styleId="1211">
    <w:name w:val="样式 标题 3 + 段后: 9.5 磅"/>
    <w:basedOn w:val="4"/>
    <w:qFormat/>
    <w:uiPriority w:val="0"/>
    <w:pPr>
      <w:spacing w:beforeLines="40" w:afterLines="40" w:line="240" w:lineRule="auto"/>
      <w:ind w:left="-288"/>
    </w:pPr>
    <w:rPr>
      <w:rFonts w:eastAsia="黑体"/>
      <w:bCs w:val="0"/>
      <w:sz w:val="28"/>
      <w:szCs w:val="20"/>
    </w:rPr>
  </w:style>
  <w:style w:type="paragraph" w:customStyle="1" w:styleId="1212">
    <w:name w:val="www"/>
    <w:basedOn w:val="1"/>
    <w:qFormat/>
    <w:uiPriority w:val="0"/>
    <w:pPr>
      <w:adjustRightInd w:val="0"/>
      <w:snapToGrid w:val="0"/>
      <w:spacing w:line="360" w:lineRule="auto"/>
      <w:ind w:firstLine="560" w:firstLineChars="200"/>
    </w:pPr>
    <w:rPr>
      <w:sz w:val="28"/>
      <w:szCs w:val="20"/>
    </w:rPr>
  </w:style>
  <w:style w:type="paragraph" w:customStyle="1" w:styleId="1213">
    <w:name w:val="样式 样式 标题22 + 左侧:  -2.1 字符 首行缩进:  2 字符1 + 首行缩进:  2 字符"/>
    <w:basedOn w:val="1214"/>
    <w:uiPriority w:val="0"/>
    <w:pPr>
      <w:ind w:left="-454"/>
    </w:pPr>
  </w:style>
  <w:style w:type="paragraph" w:customStyle="1" w:styleId="1214">
    <w:name w:val="样式 标题22 + 左侧:  -2.1 字符 首行缩进:  2 字符1"/>
    <w:basedOn w:val="1"/>
    <w:qFormat/>
    <w:uiPriority w:val="0"/>
    <w:pPr>
      <w:spacing w:before="120" w:after="120" w:line="600" w:lineRule="exact"/>
      <w:ind w:left="-397" w:firstLine="200" w:firstLineChars="200"/>
    </w:pPr>
    <w:rPr>
      <w:rFonts w:eastAsia="黑体"/>
      <w:snapToGrid w:val="0"/>
      <w:sz w:val="32"/>
      <w:szCs w:val="20"/>
    </w:rPr>
  </w:style>
  <w:style w:type="paragraph" w:customStyle="1" w:styleId="1215">
    <w:name w:val="表图"/>
    <w:basedOn w:val="1"/>
    <w:qFormat/>
    <w:uiPriority w:val="0"/>
    <w:rPr>
      <w:snapToGrid w:val="0"/>
      <w:sz w:val="20"/>
      <w:szCs w:val="20"/>
    </w:rPr>
  </w:style>
  <w:style w:type="paragraph" w:customStyle="1" w:styleId="1216">
    <w:name w:val="样式13"/>
    <w:basedOn w:val="1"/>
    <w:qFormat/>
    <w:uiPriority w:val="0"/>
    <w:pPr>
      <w:spacing w:line="360" w:lineRule="auto"/>
      <w:ind w:left="420" w:leftChars="200" w:right="200" w:rightChars="200" w:firstLine="1198" w:firstLineChars="428"/>
      <w:jc w:val="center"/>
    </w:pPr>
    <w:rPr>
      <w:sz w:val="28"/>
      <w:szCs w:val="20"/>
    </w:rPr>
  </w:style>
  <w:style w:type="paragraph" w:customStyle="1" w:styleId="1217">
    <w:name w:val="Style Style Heading 5 + Left:  0.5 ch1 + Left:  1.5 ch"/>
    <w:basedOn w:val="1218"/>
    <w:uiPriority w:val="0"/>
    <w:pPr>
      <w:ind w:left="250" w:leftChars="250"/>
    </w:pPr>
  </w:style>
  <w:style w:type="paragraph" w:customStyle="1" w:styleId="1218">
    <w:name w:val="Style Heading 5 + Left:  0.5 ch1"/>
    <w:basedOn w:val="7"/>
    <w:qFormat/>
    <w:uiPriority w:val="0"/>
    <w:pPr>
      <w:keepNext w:val="0"/>
      <w:tabs>
        <w:tab w:val="clear" w:pos="5040"/>
      </w:tabs>
      <w:spacing w:before="240" w:after="60" w:line="360" w:lineRule="auto"/>
      <w:ind w:left="150" w:leftChars="150" w:firstLine="0"/>
      <w:jc w:val="both"/>
    </w:pPr>
    <w:rPr>
      <w:b/>
      <w:i/>
      <w:sz w:val="24"/>
      <w:szCs w:val="20"/>
      <w:u w:val="single"/>
    </w:rPr>
  </w:style>
  <w:style w:type="paragraph" w:customStyle="1" w:styleId="1219">
    <w:name w:val="样式 标题 2W2 + (西文) 宋体 四号 行距: 单倍行距"/>
    <w:basedOn w:val="3"/>
    <w:qFormat/>
    <w:uiPriority w:val="0"/>
    <w:pPr>
      <w:spacing w:line="240" w:lineRule="auto"/>
      <w:ind w:left="-288"/>
    </w:pPr>
    <w:rPr>
      <w:rFonts w:ascii="黑体" w:eastAsia="黑体"/>
      <w:bCs w:val="0"/>
      <w:spacing w:val="10"/>
      <w:sz w:val="30"/>
      <w:szCs w:val="20"/>
    </w:rPr>
  </w:style>
  <w:style w:type="paragraph" w:customStyle="1" w:styleId="1220">
    <w:name w:val="样式 样式 样式5 + 首行缩进:  2 字符 + 首行缩进:  2 字符"/>
    <w:basedOn w:val="1141"/>
    <w:qFormat/>
    <w:uiPriority w:val="0"/>
    <w:pPr>
      <w:spacing w:line="600" w:lineRule="exact"/>
      <w:ind w:firstLine="200"/>
    </w:pPr>
  </w:style>
  <w:style w:type="paragraph" w:customStyle="1" w:styleId="1221">
    <w:name w:val="正文二"/>
    <w:basedOn w:val="1"/>
    <w:qFormat/>
    <w:uiPriority w:val="0"/>
    <w:pPr>
      <w:spacing w:after="120" w:line="360" w:lineRule="auto"/>
    </w:pPr>
    <w:rPr>
      <w:rFonts w:ascii="Arial" w:hAnsi="Arial"/>
      <w:szCs w:val="20"/>
    </w:rPr>
  </w:style>
  <w:style w:type="paragraph" w:customStyle="1" w:styleId="1222">
    <w:name w:val="WPS Plain"/>
    <w:qFormat/>
    <w:uiPriority w:val="0"/>
    <w:rPr>
      <w:rFonts w:ascii="Times New Roman" w:hAnsi="Times New Roman" w:eastAsia="宋体" w:cs="Times New Roman"/>
      <w:lang w:val="en-US" w:eastAsia="zh-CN" w:bidi="ar-SA"/>
    </w:rPr>
  </w:style>
  <w:style w:type="paragraph" w:customStyle="1" w:styleId="1223">
    <w:name w:val="目录二级"/>
    <w:basedOn w:val="1210"/>
    <w:uiPriority w:val="0"/>
    <w:pPr>
      <w:tabs>
        <w:tab w:val="clear" w:pos="0"/>
      </w:tabs>
      <w:autoSpaceDE/>
      <w:autoSpaceDN/>
      <w:adjustRightInd/>
      <w:snapToGrid/>
      <w:spacing w:beforeLines="50" w:afterLines="50" w:line="420" w:lineRule="exact"/>
      <w:ind w:firstLine="200" w:firstLineChars="200"/>
      <w:textAlignment w:val="auto"/>
    </w:pPr>
    <w:rPr>
      <w:rFonts w:eastAsia="宋体"/>
      <w:kern w:val="2"/>
      <w:sz w:val="28"/>
    </w:rPr>
  </w:style>
  <w:style w:type="paragraph" w:customStyle="1" w:styleId="1224">
    <w:name w:val="Char Char Char1 Char1"/>
    <w:basedOn w:val="1"/>
    <w:qFormat/>
    <w:uiPriority w:val="0"/>
    <w:rPr>
      <w:szCs w:val="20"/>
    </w:rPr>
  </w:style>
  <w:style w:type="paragraph" w:customStyle="1" w:styleId="1225">
    <w:name w:val="样式 标题 2W2 + 段前: 0.5 行"/>
    <w:basedOn w:val="3"/>
    <w:qFormat/>
    <w:uiPriority w:val="0"/>
    <w:pPr>
      <w:spacing w:beforeLines="100" w:line="240" w:lineRule="auto"/>
      <w:ind w:left="-288"/>
    </w:pPr>
    <w:rPr>
      <w:rFonts w:ascii="黑体" w:eastAsia="黑体"/>
      <w:bCs w:val="0"/>
      <w:spacing w:val="10"/>
      <w:sz w:val="30"/>
      <w:szCs w:val="20"/>
    </w:rPr>
  </w:style>
  <w:style w:type="paragraph" w:customStyle="1" w:styleId="1226">
    <w:name w:val="样式 表后标题 + 首行缩进:  0 厘米"/>
    <w:basedOn w:val="1102"/>
    <w:qFormat/>
    <w:uiPriority w:val="0"/>
  </w:style>
  <w:style w:type="paragraph" w:customStyle="1" w:styleId="1227">
    <w:name w:val="样式 标题 1封面大标题 + 三号 段后: 15.6 磅"/>
    <w:basedOn w:val="2"/>
    <w:qFormat/>
    <w:uiPriority w:val="0"/>
    <w:pPr>
      <w:spacing w:beforeLines="0" w:afterLines="0" w:line="240" w:lineRule="auto"/>
      <w:jc w:val="center"/>
      <w:textAlignment w:val="baseline"/>
    </w:pPr>
    <w:rPr>
      <w:b w:val="0"/>
      <w:bCs w:val="0"/>
      <w:snapToGrid w:val="0"/>
      <w:spacing w:val="10"/>
      <w:sz w:val="40"/>
      <w:szCs w:val="20"/>
    </w:rPr>
  </w:style>
  <w:style w:type="paragraph" w:customStyle="1" w:styleId="1228">
    <w:name w:val="CM38"/>
    <w:basedOn w:val="1"/>
    <w:next w:val="1"/>
    <w:qFormat/>
    <w:uiPriority w:val="0"/>
    <w:pPr>
      <w:autoSpaceDE w:val="0"/>
      <w:autoSpaceDN w:val="0"/>
      <w:adjustRightInd w:val="0"/>
      <w:spacing w:line="440" w:lineRule="atLeast"/>
    </w:pPr>
    <w:rPr>
      <w:rFonts w:ascii="华文中宋" w:eastAsia="华文中宋"/>
      <w:sz w:val="20"/>
      <w:szCs w:val="20"/>
    </w:rPr>
  </w:style>
  <w:style w:type="paragraph" w:customStyle="1" w:styleId="1229">
    <w:name w:val="(1)"/>
    <w:basedOn w:val="1"/>
    <w:qFormat/>
    <w:uiPriority w:val="0"/>
    <w:pPr>
      <w:autoSpaceDE w:val="0"/>
      <w:autoSpaceDN w:val="0"/>
      <w:jc w:val="center"/>
    </w:pPr>
    <w:rPr>
      <w:szCs w:val="20"/>
    </w:rPr>
  </w:style>
  <w:style w:type="paragraph" w:customStyle="1" w:styleId="1230">
    <w:name w:val="公式2"/>
    <w:basedOn w:val="1231"/>
    <w:uiPriority w:val="0"/>
    <w:pPr>
      <w:spacing w:beforeLines="0" w:afterLines="0" w:line="700" w:lineRule="exact"/>
    </w:pPr>
  </w:style>
  <w:style w:type="paragraph" w:customStyle="1" w:styleId="1231">
    <w:name w:val="公式"/>
    <w:basedOn w:val="397"/>
    <w:qFormat/>
    <w:uiPriority w:val="0"/>
    <w:pPr>
      <w:spacing w:beforeLines="50" w:afterLines="50" w:line="1000" w:lineRule="exact"/>
      <w:ind w:firstLine="400" w:firstLineChars="400"/>
      <w:textAlignment w:val="center"/>
    </w:pPr>
    <w:rPr>
      <w:rFonts w:ascii="Times New Roman" w:hAnsi="Times New Roman"/>
      <w:b/>
      <w:color w:val="auto"/>
      <w:sz w:val="28"/>
      <w:szCs w:val="20"/>
    </w:rPr>
  </w:style>
  <w:style w:type="paragraph" w:customStyle="1" w:styleId="1232">
    <w:name w:val="样式 标题 3 + 段后: 7.8 磅 行距: 固定值 25 磅"/>
    <w:basedOn w:val="4"/>
    <w:qFormat/>
    <w:uiPriority w:val="0"/>
    <w:pPr>
      <w:spacing w:beforeLines="40" w:afterLines="40" w:line="240" w:lineRule="auto"/>
      <w:ind w:left="-288"/>
    </w:pPr>
    <w:rPr>
      <w:rFonts w:eastAsia="黑体"/>
      <w:bCs w:val="0"/>
      <w:sz w:val="28"/>
      <w:szCs w:val="20"/>
    </w:rPr>
  </w:style>
  <w:style w:type="paragraph" w:customStyle="1" w:styleId="1233">
    <w:name w:val="样式 标题 3 + 段前: 0.5 行 段后: 0.5 行1"/>
    <w:basedOn w:val="4"/>
    <w:qFormat/>
    <w:uiPriority w:val="0"/>
    <w:pPr>
      <w:spacing w:afterLines="40" w:line="240" w:lineRule="auto"/>
      <w:ind w:left="-288"/>
    </w:pPr>
    <w:rPr>
      <w:rFonts w:eastAsia="黑体"/>
      <w:bCs w:val="0"/>
      <w:sz w:val="28"/>
      <w:szCs w:val="20"/>
    </w:rPr>
  </w:style>
  <w:style w:type="paragraph" w:customStyle="1" w:styleId="1234">
    <w:name w:val="小点"/>
    <w:basedOn w:val="1"/>
    <w:qFormat/>
    <w:uiPriority w:val="0"/>
    <w:pPr>
      <w:wordWrap w:val="0"/>
      <w:autoSpaceDE w:val="0"/>
      <w:autoSpaceDN w:val="0"/>
      <w:adjustRightInd w:val="0"/>
      <w:snapToGrid w:val="0"/>
      <w:spacing w:line="360" w:lineRule="auto"/>
      <w:textAlignment w:val="baseline"/>
    </w:pPr>
    <w:rPr>
      <w:rFonts w:ascii="Arial" w:hAnsi="Arial"/>
      <w:sz w:val="26"/>
      <w:szCs w:val="20"/>
    </w:rPr>
  </w:style>
  <w:style w:type="paragraph" w:customStyle="1" w:styleId="1235">
    <w:name w:val="正文表标题"/>
    <w:next w:val="784"/>
    <w:qFormat/>
    <w:uiPriority w:val="0"/>
    <w:pPr>
      <w:jc w:val="center"/>
    </w:pPr>
    <w:rPr>
      <w:rFonts w:ascii="黑体" w:hAnsi="Times New Roman" w:eastAsia="黑体" w:cs="Times New Roman"/>
      <w:sz w:val="21"/>
      <w:lang w:val="en-US" w:eastAsia="zh-CN" w:bidi="ar-SA"/>
    </w:rPr>
  </w:style>
  <w:style w:type="paragraph" w:customStyle="1" w:styleId="1236">
    <w:name w:val="Char Char Char1 Char Char Char Char1 Char Char"/>
    <w:basedOn w:val="1"/>
    <w:qFormat/>
    <w:uiPriority w:val="0"/>
    <w:rPr>
      <w:szCs w:val="20"/>
    </w:rPr>
  </w:style>
  <w:style w:type="paragraph" w:customStyle="1" w:styleId="1237">
    <w:name w:val="样式 标题 4 + 首行缩进:  2 字符 段前: 1 行 段后: 0.5 行"/>
    <w:basedOn w:val="5"/>
    <w:qFormat/>
    <w:uiPriority w:val="0"/>
    <w:pPr>
      <w:keepNext w:val="0"/>
      <w:widowControl w:val="0"/>
      <w:overflowPunct/>
      <w:topLinePunct/>
      <w:autoSpaceDE/>
      <w:autoSpaceDN/>
      <w:snapToGrid w:val="0"/>
      <w:spacing w:afterLines="0" w:line="440" w:lineRule="exact"/>
      <w:textAlignment w:val="auto"/>
    </w:pPr>
    <w:rPr>
      <w:rFonts w:eastAsia="黑体"/>
      <w:i w:val="0"/>
      <w:snapToGrid w:val="0"/>
      <w:kern w:val="4"/>
      <w:sz w:val="26"/>
      <w:szCs w:val="20"/>
    </w:rPr>
  </w:style>
  <w:style w:type="paragraph" w:customStyle="1" w:styleId="1238">
    <w:name w:val="样式 样式 标题22 + 左侧:  -2.1 字符 首行缩进:  2 字符1 + 首行缩进:  2 字符1"/>
    <w:basedOn w:val="1"/>
    <w:qFormat/>
    <w:uiPriority w:val="0"/>
    <w:pPr>
      <w:spacing w:before="120" w:after="120" w:line="600" w:lineRule="exact"/>
      <w:ind w:left="-105" w:leftChars="-105" w:firstLine="200" w:firstLineChars="200"/>
    </w:pPr>
    <w:rPr>
      <w:rFonts w:eastAsia="黑体"/>
      <w:snapToGrid w:val="0"/>
      <w:sz w:val="32"/>
      <w:szCs w:val="20"/>
    </w:rPr>
  </w:style>
  <w:style w:type="paragraph" w:customStyle="1" w:styleId="1239">
    <w:name w:val="CM11"/>
    <w:basedOn w:val="312"/>
    <w:next w:val="312"/>
    <w:qFormat/>
    <w:uiPriority w:val="0"/>
    <w:pPr>
      <w:spacing w:line="540" w:lineRule="atLeast"/>
    </w:pPr>
    <w:rPr>
      <w:rFonts w:ascii="Arial" w:hAnsi="Arial" w:cs="Times New Roman"/>
      <w:color w:val="auto"/>
      <w:sz w:val="20"/>
      <w:szCs w:val="20"/>
    </w:rPr>
  </w:style>
  <w:style w:type="paragraph" w:customStyle="1" w:styleId="1240">
    <w:name w:val="标题二"/>
    <w:basedOn w:val="1"/>
    <w:qFormat/>
    <w:uiPriority w:val="0"/>
    <w:pPr>
      <w:jc w:val="center"/>
      <w:outlineLvl w:val="1"/>
    </w:pPr>
    <w:rPr>
      <w:rFonts w:eastAsia="黑体"/>
      <w:snapToGrid w:val="0"/>
      <w:color w:val="000000"/>
      <w:sz w:val="30"/>
      <w:szCs w:val="20"/>
    </w:rPr>
  </w:style>
  <w:style w:type="paragraph" w:customStyle="1" w:styleId="1241">
    <w:name w:val="Char Char Char Char1 Char Char Char Char Char Char"/>
    <w:basedOn w:val="1"/>
    <w:qFormat/>
    <w:uiPriority w:val="0"/>
    <w:rPr>
      <w:szCs w:val="20"/>
    </w:rPr>
  </w:style>
  <w:style w:type="paragraph" w:customStyle="1" w:styleId="1242">
    <w:name w:val="样式 样式5 + 右侧:  -0.43 厘米"/>
    <w:basedOn w:val="397"/>
    <w:qFormat/>
    <w:uiPriority w:val="0"/>
    <w:pPr>
      <w:spacing w:line="460" w:lineRule="exact"/>
      <w:ind w:firstLine="200" w:firstLineChars="0"/>
      <w:textAlignment w:val="baseline"/>
    </w:pPr>
    <w:rPr>
      <w:rFonts w:ascii="Times New Roman" w:hAnsi="Times New Roman"/>
      <w:b/>
      <w:color w:val="auto"/>
      <w:sz w:val="26"/>
      <w:szCs w:val="20"/>
    </w:rPr>
  </w:style>
  <w:style w:type="paragraph" w:customStyle="1" w:styleId="1243">
    <w:name w:val="目录样式"/>
    <w:basedOn w:val="73"/>
    <w:qFormat/>
    <w:uiPriority w:val="0"/>
    <w:pPr>
      <w:tabs>
        <w:tab w:val="right" w:leader="dot" w:pos="8260"/>
        <w:tab w:val="right" w:leader="dot" w:pos="8302"/>
        <w:tab w:val="right" w:leader="dot" w:pos="8349"/>
        <w:tab w:val="right" w:leader="dot" w:pos="8777"/>
        <w:tab w:val="right" w:leader="dot" w:pos="8834"/>
      </w:tabs>
      <w:adjustRightInd w:val="0"/>
      <w:spacing w:before="120" w:after="120" w:line="360" w:lineRule="auto"/>
      <w:ind w:left="0" w:firstLine="200" w:firstLineChars="200"/>
    </w:pPr>
    <w:rPr>
      <w:rFonts w:ascii="宋体" w:hAnsi="宋体"/>
      <w:caps/>
      <w:smallCaps w:val="0"/>
      <w:color w:val="000000"/>
      <w:sz w:val="24"/>
    </w:rPr>
  </w:style>
  <w:style w:type="paragraph" w:customStyle="1" w:styleId="1244">
    <w:name w:val="Style Default + Times New Roman"/>
    <w:basedOn w:val="1"/>
    <w:qFormat/>
    <w:uiPriority w:val="0"/>
    <w:pPr>
      <w:autoSpaceDE w:val="0"/>
      <w:autoSpaceDN w:val="0"/>
      <w:adjustRightInd w:val="0"/>
    </w:pPr>
    <w:rPr>
      <w:rFonts w:eastAsia="Times New Roman"/>
      <w:sz w:val="20"/>
      <w:szCs w:val="20"/>
      <w:lang w:eastAsia="en-US"/>
    </w:rPr>
  </w:style>
  <w:style w:type="paragraph" w:customStyle="1" w:styleId="1245">
    <w:name w:val="列项——"/>
    <w:qFormat/>
    <w:uiPriority w:val="0"/>
    <w:pPr>
      <w:widowControl w:val="0"/>
      <w:tabs>
        <w:tab w:val="left" w:pos="1011"/>
      </w:tabs>
      <w:ind w:left="1011" w:hanging="420"/>
      <w:jc w:val="both"/>
    </w:pPr>
    <w:rPr>
      <w:rFonts w:ascii="宋体" w:hAnsi="Times New Roman" w:eastAsia="宋体" w:cs="Times New Roman"/>
      <w:sz w:val="21"/>
      <w:lang w:val="en-US" w:eastAsia="zh-CN" w:bidi="ar-SA"/>
    </w:rPr>
  </w:style>
  <w:style w:type="paragraph" w:customStyle="1" w:styleId="1246">
    <w:name w:val="样式 样式 样式 审签页 审签字 + 左侧:  8 字符 段前: 1 行 + 首行缩进:  0.85 厘米 段前: 1 行 + ..."/>
    <w:basedOn w:val="1"/>
    <w:qFormat/>
    <w:uiPriority w:val="0"/>
    <w:pPr>
      <w:adjustRightInd w:val="0"/>
      <w:snapToGrid w:val="0"/>
      <w:spacing w:beforeLines="100" w:line="700" w:lineRule="exact"/>
      <w:ind w:left="1200" w:leftChars="1200"/>
    </w:pPr>
    <w:rPr>
      <w:rFonts w:eastAsia="楷体_GB2312"/>
      <w:sz w:val="30"/>
      <w:szCs w:val="20"/>
    </w:rPr>
  </w:style>
  <w:style w:type="paragraph" w:customStyle="1" w:styleId="1247">
    <w:name w:val="样式 样式 标题4 + 加粗 首行缩进:  2.2 字符 + 首行缩进:  2.2 字符"/>
    <w:basedOn w:val="1"/>
    <w:qFormat/>
    <w:uiPriority w:val="0"/>
    <w:pPr>
      <w:adjustRightInd w:val="0"/>
      <w:snapToGrid w:val="0"/>
      <w:spacing w:line="360" w:lineRule="auto"/>
      <w:ind w:firstLine="200" w:firstLineChars="200"/>
    </w:pPr>
    <w:rPr>
      <w:rFonts w:eastAsia="黑体"/>
      <w:b/>
      <w:snapToGrid w:val="0"/>
      <w:szCs w:val="20"/>
    </w:rPr>
  </w:style>
  <w:style w:type="paragraph" w:customStyle="1" w:styleId="1248">
    <w:name w:val="Char Char Char Char Char Char1"/>
    <w:basedOn w:val="1"/>
    <w:qFormat/>
    <w:uiPriority w:val="0"/>
    <w:rPr>
      <w:szCs w:val="20"/>
    </w:rPr>
  </w:style>
  <w:style w:type="paragraph" w:customStyle="1" w:styleId="1249">
    <w:name w:val="文章题目"/>
    <w:basedOn w:val="1"/>
    <w:qFormat/>
    <w:uiPriority w:val="0"/>
    <w:pPr>
      <w:spacing w:beforeLines="150" w:afterLines="100" w:line="360" w:lineRule="auto"/>
      <w:ind w:firstLine="200" w:firstLineChars="200"/>
      <w:jc w:val="center"/>
    </w:pPr>
    <w:rPr>
      <w:rFonts w:eastAsia="黑体"/>
      <w:sz w:val="32"/>
      <w:szCs w:val="20"/>
    </w:rPr>
  </w:style>
  <w:style w:type="paragraph" w:customStyle="1" w:styleId="1250">
    <w:name w:val="ZUO Char Char"/>
    <w:basedOn w:val="1"/>
    <w:qFormat/>
    <w:uiPriority w:val="0"/>
    <w:pPr>
      <w:spacing w:line="360" w:lineRule="auto"/>
    </w:pPr>
    <w:rPr>
      <w:szCs w:val="20"/>
    </w:rPr>
  </w:style>
  <w:style w:type="paragraph" w:customStyle="1" w:styleId="1251">
    <w:name w:val="样式 样式 样式5 + 首行缩进:  2 字符1 +"/>
    <w:basedOn w:val="1252"/>
    <w:uiPriority w:val="0"/>
    <w:pPr>
      <w:spacing w:line="500" w:lineRule="exact"/>
      <w:ind w:firstLine="200"/>
    </w:pPr>
  </w:style>
  <w:style w:type="paragraph" w:customStyle="1" w:styleId="1252">
    <w:name w:val="样式 样式5 + 首行缩进:  2 字符1"/>
    <w:basedOn w:val="397"/>
    <w:qFormat/>
    <w:uiPriority w:val="0"/>
    <w:pPr>
      <w:spacing w:line="560" w:lineRule="exact"/>
      <w:ind w:firstLine="560" w:firstLineChars="0"/>
      <w:textAlignment w:val="baseline"/>
    </w:pPr>
    <w:rPr>
      <w:rFonts w:ascii="Times New Roman" w:hAnsi="Times New Roman"/>
      <w:b/>
      <w:color w:val="auto"/>
      <w:sz w:val="26"/>
      <w:szCs w:val="20"/>
    </w:rPr>
  </w:style>
  <w:style w:type="paragraph" w:customStyle="1" w:styleId="1253">
    <w:name w:val="样式 公式1 + 首行缩进:  2 字符"/>
    <w:basedOn w:val="1254"/>
    <w:uiPriority w:val="0"/>
    <w:pPr>
      <w:tabs>
        <w:tab w:val="left" w:pos="0"/>
      </w:tabs>
      <w:textAlignment w:val="baseline"/>
    </w:pPr>
  </w:style>
  <w:style w:type="paragraph" w:customStyle="1" w:styleId="1254">
    <w:name w:val="公式1"/>
    <w:basedOn w:val="1230"/>
    <w:uiPriority w:val="0"/>
    <w:pPr>
      <w:spacing w:line="1000" w:lineRule="exact"/>
    </w:pPr>
  </w:style>
  <w:style w:type="paragraph" w:customStyle="1" w:styleId="1255">
    <w:name w:val="表格小4居中"/>
    <w:basedOn w:val="1"/>
    <w:qFormat/>
    <w:uiPriority w:val="0"/>
    <w:pPr>
      <w:spacing w:line="360" w:lineRule="auto"/>
      <w:ind w:left="70" w:hanging="70" w:hangingChars="29"/>
      <w:jc w:val="center"/>
    </w:pPr>
    <w:rPr>
      <w:color w:val="000000"/>
      <w:szCs w:val="20"/>
    </w:rPr>
  </w:style>
  <w:style w:type="paragraph" w:customStyle="1" w:styleId="1256">
    <w:name w:val="Char Char Char1 Char Char Char Char1"/>
    <w:basedOn w:val="1"/>
    <w:qFormat/>
    <w:uiPriority w:val="0"/>
    <w:rPr>
      <w:szCs w:val="20"/>
    </w:rPr>
  </w:style>
  <w:style w:type="paragraph" w:customStyle="1" w:styleId="1257">
    <w:name w:val="样式 黑体 加粗 黑色 左 段前: 2.5 磅 段后: 2.5 磅 行距: 固定值 23 磅"/>
    <w:basedOn w:val="3"/>
    <w:qFormat/>
    <w:uiPriority w:val="0"/>
    <w:pPr>
      <w:spacing w:beforeLines="0" w:afterLines="0" w:line="460" w:lineRule="exact"/>
      <w:ind w:left="57" w:right="-123"/>
      <w:textAlignment w:val="baseline"/>
    </w:pPr>
    <w:rPr>
      <w:rFonts w:hAnsi="黑体"/>
      <w:bCs w:val="0"/>
      <w:color w:val="000000"/>
      <w:kern w:val="28"/>
      <w:sz w:val="28"/>
      <w:szCs w:val="20"/>
    </w:rPr>
  </w:style>
  <w:style w:type="paragraph" w:customStyle="1" w:styleId="1258">
    <w:name w:val="样式 标题3 + 段后: 0.5 行"/>
    <w:basedOn w:val="476"/>
    <w:qFormat/>
    <w:uiPriority w:val="0"/>
    <w:pPr>
      <w:keepNext/>
      <w:keepLines/>
      <w:snapToGrid/>
      <w:spacing w:beforeLines="50" w:line="480" w:lineRule="exact"/>
      <w:ind w:firstLine="0"/>
      <w:textAlignment w:val="baseline"/>
      <w:outlineLvl w:val="1"/>
    </w:pPr>
    <w:rPr>
      <w:rFonts w:ascii="黑体" w:eastAsia="黑体"/>
      <w:b w:val="0"/>
      <w:sz w:val="30"/>
    </w:rPr>
  </w:style>
  <w:style w:type="paragraph" w:customStyle="1" w:styleId="1259">
    <w:name w:val="样式 标题4 + 首行缩进:  2 字符 段前: 0.5 行"/>
    <w:basedOn w:val="1"/>
    <w:qFormat/>
    <w:uiPriority w:val="0"/>
    <w:pPr>
      <w:keepNext/>
      <w:keepLines/>
      <w:spacing w:beforeLines="30" w:afterLines="20" w:line="500" w:lineRule="exact"/>
      <w:ind w:firstLine="482" w:firstLineChars="200"/>
      <w:outlineLvl w:val="3"/>
    </w:pPr>
    <w:rPr>
      <w:rFonts w:eastAsia="黑体"/>
      <w:b/>
      <w:szCs w:val="20"/>
    </w:rPr>
  </w:style>
  <w:style w:type="paragraph" w:customStyle="1" w:styleId="1260">
    <w:name w:val="公式行"/>
    <w:qFormat/>
    <w:uiPriority w:val="0"/>
    <w:pPr>
      <w:spacing w:beforeLines="50" w:afterLines="50" w:line="360" w:lineRule="auto"/>
      <w:jc w:val="right"/>
    </w:pPr>
    <w:rPr>
      <w:rFonts w:ascii="Times New Roman" w:hAnsi="Times New Roman" w:eastAsia="宋体" w:cs="Times New Roman"/>
      <w:kern w:val="2"/>
      <w:sz w:val="24"/>
      <w:lang w:val="en-US" w:eastAsia="zh-CN" w:bidi="ar-SA"/>
    </w:rPr>
  </w:style>
  <w:style w:type="paragraph" w:customStyle="1" w:styleId="1261">
    <w:name w:val="封面3"/>
    <w:qFormat/>
    <w:uiPriority w:val="0"/>
    <w:pPr>
      <w:jc w:val="center"/>
    </w:pPr>
    <w:rPr>
      <w:rFonts w:ascii="Times New Roman" w:hAnsi="Times New Roman" w:eastAsia="华文中宋" w:cs="Times New Roman"/>
      <w:b/>
      <w:color w:val="000000"/>
      <w:sz w:val="44"/>
      <w:lang w:val="en-US" w:eastAsia="zh-CN" w:bidi="ar-SA"/>
    </w:rPr>
  </w:style>
  <w:style w:type="paragraph" w:customStyle="1" w:styleId="1262">
    <w:name w:val="样式 样式 样式 标题22 + 左侧:  -2.1 字符 首行缩进:  2 字符1 + 首行缩进:  2 字符 + 首行缩进: ..."/>
    <w:basedOn w:val="1213"/>
    <w:uiPriority w:val="0"/>
    <w:pPr>
      <w:ind w:left="-595"/>
    </w:pPr>
  </w:style>
  <w:style w:type="paragraph" w:customStyle="1" w:styleId="1263">
    <w:name w:val="样式 标题 2W2 +2"/>
    <w:basedOn w:val="3"/>
    <w:qFormat/>
    <w:uiPriority w:val="0"/>
    <w:pPr>
      <w:spacing w:line="240" w:lineRule="auto"/>
      <w:ind w:left="-288"/>
    </w:pPr>
    <w:rPr>
      <w:rFonts w:ascii="黑体" w:eastAsia="黑体"/>
      <w:bCs w:val="0"/>
      <w:spacing w:val="10"/>
      <w:sz w:val="30"/>
      <w:szCs w:val="20"/>
    </w:rPr>
  </w:style>
  <w:style w:type="paragraph" w:customStyle="1" w:styleId="1264">
    <w:name w:val="样式 四号 行距: 固定值 26 磅"/>
    <w:basedOn w:val="1"/>
    <w:qFormat/>
    <w:uiPriority w:val="0"/>
    <w:pPr>
      <w:spacing w:before="60" w:line="520" w:lineRule="exact"/>
      <w:ind w:firstLine="594" w:firstLineChars="200"/>
    </w:pPr>
    <w:rPr>
      <w:rFonts w:ascii="仿宋_GB2312" w:eastAsia="仿宋_GB2312"/>
      <w:sz w:val="28"/>
      <w:szCs w:val="20"/>
    </w:rPr>
  </w:style>
  <w:style w:type="paragraph" w:customStyle="1" w:styleId="1265">
    <w:name w:val="样式 样式5 + 首行缩进:  2 字符7"/>
    <w:basedOn w:val="397"/>
    <w:qFormat/>
    <w:uiPriority w:val="0"/>
    <w:pPr>
      <w:spacing w:line="520" w:lineRule="exact"/>
      <w:ind w:firstLine="560" w:firstLineChars="0"/>
      <w:textAlignment w:val="baseline"/>
    </w:pPr>
    <w:rPr>
      <w:rFonts w:ascii="Times New Roman" w:hAnsi="Times New Roman"/>
      <w:color w:val="auto"/>
      <w:sz w:val="26"/>
      <w:szCs w:val="20"/>
    </w:rPr>
  </w:style>
  <w:style w:type="paragraph" w:customStyle="1" w:styleId="1266">
    <w:name w:val="chapterreferences"/>
    <w:basedOn w:val="3"/>
    <w:qFormat/>
    <w:uiPriority w:val="0"/>
    <w:pPr>
      <w:keepLines w:val="0"/>
      <w:spacing w:beforeLines="0" w:afterLines="0" w:line="240" w:lineRule="auto"/>
      <w:jc w:val="center"/>
    </w:pPr>
    <w:rPr>
      <w:bCs w:val="0"/>
      <w:sz w:val="28"/>
      <w:szCs w:val="20"/>
      <w:u w:val="single"/>
    </w:rPr>
  </w:style>
  <w:style w:type="paragraph" w:customStyle="1" w:styleId="1267">
    <w:name w:val="样式 目录1——2 + 首行缩进:  2 字符"/>
    <w:basedOn w:val="1268"/>
    <w:uiPriority w:val="0"/>
    <w:pPr>
      <w:tabs>
        <w:tab w:val="right" w:leader="dot" w:pos="8777"/>
      </w:tabs>
      <w:ind w:firstLine="520"/>
    </w:pPr>
    <w:rPr>
      <w:rFonts w:eastAsia="宋体"/>
    </w:rPr>
  </w:style>
  <w:style w:type="paragraph" w:customStyle="1" w:styleId="1268">
    <w:name w:val="目录1——2"/>
    <w:basedOn w:val="1269"/>
    <w:uiPriority w:val="0"/>
    <w:pPr>
      <w:tabs>
        <w:tab w:val="right" w:leader="dot" w:pos="8777"/>
      </w:tabs>
      <w:ind w:firstLine="480" w:firstLineChars="200"/>
    </w:pPr>
  </w:style>
  <w:style w:type="paragraph" w:customStyle="1" w:styleId="1269">
    <w:name w:val="目录1"/>
    <w:basedOn w:val="1168"/>
    <w:qFormat/>
    <w:uiPriority w:val="0"/>
    <w:pPr>
      <w:spacing w:line="600" w:lineRule="exact"/>
    </w:pPr>
    <w:rPr>
      <w:rFonts w:eastAsia="黑体"/>
      <w:b w:val="0"/>
      <w:sz w:val="26"/>
    </w:rPr>
  </w:style>
  <w:style w:type="paragraph" w:customStyle="1" w:styleId="1270">
    <w:name w:val="图形框文字"/>
    <w:qFormat/>
    <w:uiPriority w:val="0"/>
    <w:pPr>
      <w:widowControl w:val="0"/>
      <w:adjustRightInd w:val="0"/>
      <w:spacing w:line="360" w:lineRule="auto"/>
      <w:jc w:val="both"/>
    </w:pPr>
    <w:rPr>
      <w:rFonts w:ascii="Times New Roman" w:hAnsi="Times New Roman" w:eastAsia="宋体" w:cs="Times New Roman"/>
      <w:kern w:val="2"/>
      <w:sz w:val="24"/>
      <w:lang w:val="en-US" w:eastAsia="zh-CN" w:bidi="ar-SA"/>
    </w:rPr>
  </w:style>
  <w:style w:type="paragraph" w:customStyle="1" w:styleId="1271">
    <w:name w:val="样式 标题3 + 段前: 1 行 段后: 0.5 行"/>
    <w:basedOn w:val="476"/>
    <w:qFormat/>
    <w:uiPriority w:val="0"/>
    <w:pPr>
      <w:keepNext/>
      <w:keepLines/>
      <w:snapToGrid/>
      <w:spacing w:beforeLines="60" w:after="50" w:line="480" w:lineRule="exact"/>
      <w:ind w:firstLine="0"/>
      <w:textAlignment w:val="baseline"/>
      <w:outlineLvl w:val="1"/>
    </w:pPr>
    <w:rPr>
      <w:rFonts w:ascii="黑体" w:eastAsia="黑体"/>
      <w:b w:val="0"/>
      <w:sz w:val="30"/>
    </w:rPr>
  </w:style>
  <w:style w:type="paragraph" w:customStyle="1" w:styleId="1272">
    <w:name w:val="样式 目录3 + 首行缩进:  2 字符1"/>
    <w:basedOn w:val="1168"/>
    <w:qFormat/>
    <w:uiPriority w:val="0"/>
    <w:pPr>
      <w:ind w:firstLine="560" w:firstLineChars="200"/>
    </w:pPr>
    <w:rPr>
      <w:b w:val="0"/>
    </w:rPr>
  </w:style>
  <w:style w:type="paragraph" w:customStyle="1" w:styleId="1273">
    <w:name w:val="Style Heading 3 + First line:  2 ch Before:  0.5 line After:  0.5..."/>
    <w:basedOn w:val="4"/>
    <w:qFormat/>
    <w:uiPriority w:val="0"/>
    <w:pPr>
      <w:tabs>
        <w:tab w:val="left" w:pos="240"/>
      </w:tabs>
      <w:spacing w:line="413" w:lineRule="auto"/>
      <w:ind w:left="293" w:hanging="173"/>
    </w:pPr>
    <w:rPr>
      <w:bCs w:val="0"/>
      <w:sz w:val="28"/>
      <w:szCs w:val="20"/>
    </w:rPr>
  </w:style>
  <w:style w:type="paragraph" w:customStyle="1" w:styleId="1274">
    <w:name w:val="Char Char Char Char Char Char Char Char Char Char Char2"/>
    <w:basedOn w:val="1"/>
    <w:qFormat/>
    <w:uiPriority w:val="0"/>
    <w:rPr>
      <w:szCs w:val="20"/>
    </w:rPr>
  </w:style>
  <w:style w:type="paragraph" w:customStyle="1" w:styleId="1275">
    <w:name w:val="HTML 预先格式化"/>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hAnsi="Courier New" w:eastAsia="黑体"/>
      <w:sz w:val="20"/>
      <w:szCs w:val="20"/>
    </w:rPr>
  </w:style>
  <w:style w:type="paragraph" w:customStyle="1" w:styleId="1276">
    <w:name w:val="样式 标题 3 + 段前: 0.6 行 段后: 0.5 行"/>
    <w:basedOn w:val="4"/>
    <w:qFormat/>
    <w:uiPriority w:val="0"/>
    <w:pPr>
      <w:spacing w:beforeLines="40" w:afterLines="40" w:line="240" w:lineRule="auto"/>
      <w:ind w:left="-288"/>
    </w:pPr>
    <w:rPr>
      <w:rFonts w:eastAsia="黑体"/>
      <w:b w:val="0"/>
      <w:bCs w:val="0"/>
      <w:sz w:val="28"/>
      <w:szCs w:val="20"/>
    </w:rPr>
  </w:style>
  <w:style w:type="paragraph" w:customStyle="1" w:styleId="1277">
    <w:name w:val="正文小4"/>
    <w:basedOn w:val="1"/>
    <w:qFormat/>
    <w:uiPriority w:val="0"/>
    <w:pPr>
      <w:spacing w:line="360" w:lineRule="auto"/>
      <w:ind w:firstLine="560" w:firstLineChars="200"/>
    </w:pPr>
    <w:rPr>
      <w:szCs w:val="20"/>
    </w:rPr>
  </w:style>
  <w:style w:type="paragraph" w:customStyle="1" w:styleId="1278">
    <w:name w:val="Style6"/>
    <w:basedOn w:val="1"/>
    <w:qFormat/>
    <w:uiPriority w:val="0"/>
    <w:pPr>
      <w:tabs>
        <w:tab w:val="left" w:pos="720"/>
      </w:tabs>
      <w:spacing w:line="360" w:lineRule="auto"/>
      <w:ind w:left="720" w:hanging="360"/>
    </w:pPr>
    <w:rPr>
      <w:szCs w:val="20"/>
    </w:rPr>
  </w:style>
  <w:style w:type="paragraph" w:customStyle="1" w:styleId="1279">
    <w:name w:val="样式 标题 2W2 +"/>
    <w:basedOn w:val="3"/>
    <w:qFormat/>
    <w:uiPriority w:val="0"/>
    <w:pPr>
      <w:spacing w:beforeLines="100" w:line="240" w:lineRule="auto"/>
      <w:ind w:left="-288"/>
    </w:pPr>
    <w:rPr>
      <w:rFonts w:ascii="黑体" w:eastAsia="黑体"/>
      <w:bCs w:val="0"/>
      <w:spacing w:val="10"/>
      <w:sz w:val="30"/>
      <w:szCs w:val="20"/>
    </w:rPr>
  </w:style>
  <w:style w:type="paragraph" w:customStyle="1" w:styleId="1280">
    <w:name w:val="Style Heading 5 + Left:  0.5 ch"/>
    <w:basedOn w:val="7"/>
    <w:qFormat/>
    <w:uiPriority w:val="0"/>
    <w:pPr>
      <w:keepNext w:val="0"/>
      <w:tabs>
        <w:tab w:val="clear" w:pos="5040"/>
      </w:tabs>
      <w:spacing w:before="240" w:after="60"/>
      <w:ind w:firstLine="0"/>
    </w:pPr>
    <w:rPr>
      <w:b/>
      <w:i/>
      <w:sz w:val="24"/>
      <w:szCs w:val="20"/>
      <w:u w:val="single"/>
    </w:rPr>
  </w:style>
  <w:style w:type="paragraph" w:customStyle="1" w:styleId="1281">
    <w:name w:val="样式 样式 目录1——2 + 首行缩进:  2 字符 + 首行缩进:  2 字符"/>
    <w:basedOn w:val="1267"/>
    <w:uiPriority w:val="0"/>
  </w:style>
  <w:style w:type="paragraph" w:customStyle="1" w:styleId="1282">
    <w:name w:val="样式 样式 标题 4 + 首行缩进:  2 字符 段前: 0.5 行 段后: 0.5 行1 +"/>
    <w:basedOn w:val="1283"/>
    <w:uiPriority w:val="0"/>
    <w:pPr>
      <w:tabs>
        <w:tab w:val="left" w:pos="360"/>
        <w:tab w:val="left" w:pos="1680"/>
      </w:tabs>
      <w:ind w:firstLine="200" w:firstLineChars="200"/>
      <w:textAlignment w:val="center"/>
    </w:pPr>
    <w:rPr>
      <w:rFonts w:eastAsia="宋体"/>
    </w:rPr>
  </w:style>
  <w:style w:type="paragraph" w:customStyle="1" w:styleId="1283">
    <w:name w:val="样式 标题 4 + 首行缩进:  2 字符 段前: 0.5 行 段后: 0.5 行1"/>
    <w:basedOn w:val="5"/>
    <w:qFormat/>
    <w:uiPriority w:val="0"/>
    <w:pPr>
      <w:keepLines/>
      <w:widowControl w:val="0"/>
      <w:tabs>
        <w:tab w:val="left" w:pos="360"/>
        <w:tab w:val="left" w:pos="1680"/>
      </w:tabs>
      <w:overflowPunct/>
      <w:autoSpaceDE/>
      <w:autoSpaceDN/>
      <w:adjustRightInd/>
      <w:ind w:left="1680" w:hanging="420"/>
      <w:textAlignment w:val="auto"/>
    </w:pPr>
    <w:rPr>
      <w:rFonts w:eastAsia="黑体"/>
      <w:i w:val="0"/>
      <w:snapToGrid w:val="0"/>
      <w:kern w:val="4"/>
      <w:sz w:val="26"/>
      <w:szCs w:val="20"/>
    </w:rPr>
  </w:style>
  <w:style w:type="paragraph" w:customStyle="1" w:styleId="1284">
    <w:name w:val="样式 样式 样式5 + 首行缩进:  2 字符4 + 首行缩进:  2 字符"/>
    <w:basedOn w:val="1170"/>
    <w:qFormat/>
    <w:uiPriority w:val="0"/>
    <w:pPr>
      <w:spacing w:line="500" w:lineRule="exact"/>
      <w:ind w:firstLine="200"/>
    </w:pPr>
    <w:rPr>
      <w:sz w:val="28"/>
    </w:rPr>
  </w:style>
  <w:style w:type="paragraph" w:customStyle="1" w:styleId="1285">
    <w:name w:val="样式 表格样式 + 宋体 行距: 固定值 16 磅"/>
    <w:basedOn w:val="602"/>
    <w:qFormat/>
    <w:uiPriority w:val="0"/>
    <w:pPr>
      <w:snapToGrid w:val="0"/>
      <w:spacing w:before="312" w:after="312" w:line="320" w:lineRule="exact"/>
      <w:jc w:val="left"/>
    </w:pPr>
    <w:rPr>
      <w:rFonts w:cs="Times New Roman"/>
    </w:rPr>
  </w:style>
  <w:style w:type="paragraph" w:customStyle="1" w:styleId="1286">
    <w:name w:val="样式 样式 标题 4 + 首行缩进:  2 字符 段前: 1 行 段后: 0.5 行 +"/>
    <w:basedOn w:val="1237"/>
    <w:qFormat/>
    <w:uiPriority w:val="0"/>
    <w:pPr>
      <w:keepNext/>
      <w:keepLines/>
      <w:topLinePunct w:val="0"/>
      <w:adjustRightInd/>
      <w:snapToGrid/>
      <w:spacing w:afterLines="50"/>
      <w:ind w:firstLine="562"/>
    </w:pPr>
  </w:style>
  <w:style w:type="paragraph" w:customStyle="1" w:styleId="1287">
    <w:name w:val="样式 标题3 + 段前: 0.5 行"/>
    <w:basedOn w:val="476"/>
    <w:qFormat/>
    <w:uiPriority w:val="0"/>
    <w:pPr>
      <w:keepNext/>
      <w:keepLines/>
      <w:snapToGrid/>
      <w:spacing w:before="130" w:after="97" w:line="480" w:lineRule="exact"/>
      <w:ind w:firstLine="0"/>
      <w:textAlignment w:val="baseline"/>
      <w:outlineLvl w:val="1"/>
    </w:pPr>
    <w:rPr>
      <w:rFonts w:ascii="黑体" w:eastAsia="黑体"/>
      <w:b w:val="0"/>
      <w:sz w:val="30"/>
    </w:rPr>
  </w:style>
  <w:style w:type="paragraph" w:customStyle="1" w:styleId="1288">
    <w:name w:val="标题 32"/>
    <w:basedOn w:val="1"/>
    <w:qFormat/>
    <w:uiPriority w:val="0"/>
    <w:pPr>
      <w:keepNext/>
      <w:keepLines/>
      <w:tabs>
        <w:tab w:val="left" w:pos="709"/>
      </w:tabs>
      <w:spacing w:beforeLines="100" w:afterLines="50" w:line="360" w:lineRule="auto"/>
      <w:ind w:left="720" w:hanging="720"/>
      <w:outlineLvl w:val="2"/>
    </w:pPr>
    <w:rPr>
      <w:b/>
      <w:szCs w:val="20"/>
    </w:rPr>
  </w:style>
  <w:style w:type="paragraph" w:customStyle="1" w:styleId="1289">
    <w:name w:val="Style Heading 5 + Left:  0.08&quot;"/>
    <w:basedOn w:val="7"/>
    <w:qFormat/>
    <w:uiPriority w:val="0"/>
    <w:pPr>
      <w:keepNext w:val="0"/>
      <w:tabs>
        <w:tab w:val="clear" w:pos="5040"/>
      </w:tabs>
      <w:spacing w:before="240" w:after="60" w:line="360" w:lineRule="auto"/>
      <w:ind w:left="120" w:firstLine="0"/>
    </w:pPr>
    <w:rPr>
      <w:i/>
      <w:sz w:val="24"/>
      <w:szCs w:val="20"/>
    </w:rPr>
  </w:style>
  <w:style w:type="paragraph" w:customStyle="1" w:styleId="1290">
    <w:name w:val="样式 样式 标题 4 + 首行缩进:  2 字符 + 首行缩进:  2 字符"/>
    <w:basedOn w:val="845"/>
    <w:qFormat/>
    <w:uiPriority w:val="0"/>
    <w:pPr>
      <w:tabs>
        <w:tab w:val="left" w:pos="1320"/>
      </w:tabs>
      <w:spacing w:beforeLines="100"/>
      <w:ind w:left="1320" w:hanging="420"/>
    </w:pPr>
    <w:rPr>
      <w:rFonts w:cs="Times New Roman"/>
      <w:bCs w:val="0"/>
      <w:snapToGrid w:val="0"/>
      <w:kern w:val="4"/>
    </w:rPr>
  </w:style>
  <w:style w:type="paragraph" w:customStyle="1" w:styleId="1291">
    <w:name w:val="样式 标题22 + 左侧:  -2.1 字符 首行缩进:  2 字符"/>
    <w:basedOn w:val="3"/>
    <w:qFormat/>
    <w:uiPriority w:val="0"/>
    <w:pPr>
      <w:keepNext w:val="0"/>
      <w:keepLines w:val="0"/>
      <w:spacing w:beforeLines="0" w:afterLines="0" w:line="600" w:lineRule="exact"/>
      <w:ind w:left="-588" w:leftChars="-210" w:firstLine="640" w:firstLineChars="200"/>
      <w:outlineLvl w:val="9"/>
    </w:pPr>
    <w:rPr>
      <w:rFonts w:eastAsia="黑体"/>
      <w:b w:val="0"/>
      <w:bCs w:val="0"/>
      <w:snapToGrid w:val="0"/>
      <w:szCs w:val="20"/>
    </w:rPr>
  </w:style>
  <w:style w:type="paragraph" w:customStyle="1" w:styleId="1292">
    <w:name w:val="样式 标题 2 + 左侧:  0.63 厘米"/>
    <w:basedOn w:val="3"/>
    <w:qFormat/>
    <w:uiPriority w:val="0"/>
    <w:pPr>
      <w:spacing w:line="240" w:lineRule="auto"/>
      <w:ind w:left="-288"/>
    </w:pPr>
    <w:rPr>
      <w:rFonts w:ascii="黑体" w:eastAsia="黑体"/>
      <w:bCs w:val="0"/>
      <w:spacing w:val="10"/>
      <w:szCs w:val="20"/>
    </w:rPr>
  </w:style>
  <w:style w:type="paragraph" w:customStyle="1" w:styleId="1293">
    <w:name w:val="Einrück 1"/>
    <w:basedOn w:val="1"/>
    <w:qFormat/>
    <w:uiPriority w:val="0"/>
    <w:pPr>
      <w:tabs>
        <w:tab w:val="left" w:pos="6237"/>
        <w:tab w:val="decimal" w:pos="7088"/>
        <w:tab w:val="left" w:pos="7655"/>
      </w:tabs>
      <w:spacing w:line="320" w:lineRule="exact"/>
      <w:ind w:left="851"/>
    </w:pPr>
    <w:rPr>
      <w:rFonts w:ascii="Arial" w:hAnsi="Arial"/>
      <w:sz w:val="22"/>
      <w:szCs w:val="20"/>
      <w:lang w:val="en-GB" w:eastAsia="de-DE"/>
    </w:rPr>
  </w:style>
  <w:style w:type="paragraph" w:customStyle="1" w:styleId="1294">
    <w:name w:val="空格"/>
    <w:basedOn w:val="1"/>
    <w:qFormat/>
    <w:uiPriority w:val="0"/>
    <w:pPr>
      <w:ind w:firstLine="540" w:firstLineChars="200"/>
    </w:pPr>
    <w:rPr>
      <w:snapToGrid w:val="0"/>
      <w:sz w:val="28"/>
      <w:szCs w:val="20"/>
    </w:rPr>
  </w:style>
  <w:style w:type="paragraph" w:customStyle="1" w:styleId="1295">
    <w:name w:val="table"/>
    <w:basedOn w:val="1"/>
    <w:qFormat/>
    <w:uiPriority w:val="0"/>
    <w:pPr>
      <w:spacing w:before="60"/>
      <w:jc w:val="center"/>
    </w:pPr>
    <w:rPr>
      <w:szCs w:val="20"/>
    </w:rPr>
  </w:style>
  <w:style w:type="paragraph" w:customStyle="1" w:styleId="1296">
    <w:name w:val="日期与出版地"/>
    <w:basedOn w:val="1"/>
    <w:qFormat/>
    <w:uiPriority w:val="0"/>
    <w:pPr>
      <w:adjustRightInd w:val="0"/>
      <w:snapToGrid w:val="0"/>
      <w:spacing w:line="500" w:lineRule="exact"/>
      <w:ind w:firstLine="200" w:firstLineChars="200"/>
      <w:jc w:val="center"/>
    </w:pPr>
    <w:rPr>
      <w:b/>
      <w:snapToGrid w:val="0"/>
      <w:sz w:val="28"/>
      <w:szCs w:val="20"/>
    </w:rPr>
  </w:style>
  <w:style w:type="paragraph" w:customStyle="1" w:styleId="1297">
    <w:name w:val="Char Char Char Char Char2 Char Char Char Char"/>
    <w:basedOn w:val="1"/>
    <w:qFormat/>
    <w:uiPriority w:val="0"/>
    <w:pPr>
      <w:adjustRightInd w:val="0"/>
      <w:snapToGrid w:val="0"/>
      <w:spacing w:line="360" w:lineRule="auto"/>
      <w:ind w:firstLine="200" w:firstLineChars="200"/>
    </w:pPr>
    <w:rPr>
      <w:szCs w:val="20"/>
    </w:rPr>
  </w:style>
  <w:style w:type="paragraph" w:customStyle="1" w:styleId="1298">
    <w:name w:val="样式 样式5 + 首行缩进:  2 字符6"/>
    <w:basedOn w:val="397"/>
    <w:qFormat/>
    <w:uiPriority w:val="0"/>
    <w:pPr>
      <w:spacing w:line="520" w:lineRule="exact"/>
      <w:ind w:firstLine="0" w:firstLineChars="0"/>
      <w:textAlignment w:val="baseline"/>
    </w:pPr>
    <w:rPr>
      <w:rFonts w:ascii="Times New Roman" w:hAnsi="Times New Roman"/>
      <w:b/>
      <w:color w:val="auto"/>
      <w:sz w:val="26"/>
      <w:szCs w:val="20"/>
    </w:rPr>
  </w:style>
  <w:style w:type="paragraph" w:customStyle="1" w:styleId="1299">
    <w:name w:val="正文3"/>
    <w:qFormat/>
    <w:uiPriority w:val="0"/>
    <w:pPr>
      <w:widowControl w:val="0"/>
      <w:adjustRightInd w:val="0"/>
      <w:spacing w:line="360" w:lineRule="atLeast"/>
      <w:jc w:val="both"/>
      <w:textAlignment w:val="baseline"/>
    </w:pPr>
    <w:rPr>
      <w:rFonts w:ascii="宋体" w:hAnsi="Times New Roman" w:eastAsia="宋体" w:cs="Times New Roman"/>
      <w:sz w:val="24"/>
      <w:lang w:val="en-US" w:eastAsia="zh-CN" w:bidi="ar-SA"/>
    </w:rPr>
  </w:style>
  <w:style w:type="paragraph" w:customStyle="1" w:styleId="1300">
    <w:name w:val="正文排版"/>
    <w:basedOn w:val="31"/>
    <w:qFormat/>
    <w:uiPriority w:val="0"/>
    <w:pPr>
      <w:tabs>
        <w:tab w:val="left" w:pos="0"/>
      </w:tabs>
      <w:autoSpaceDE w:val="0"/>
      <w:autoSpaceDN w:val="0"/>
      <w:adjustRightInd w:val="0"/>
      <w:spacing w:line="500" w:lineRule="exact"/>
      <w:textAlignment w:val="baseline"/>
    </w:pPr>
    <w:rPr>
      <w:rFonts w:ascii="Times New Roman" w:hAnsi="Times New Roman" w:cs="Times New Roman"/>
      <w:szCs w:val="20"/>
    </w:rPr>
  </w:style>
  <w:style w:type="paragraph" w:customStyle="1" w:styleId="1301">
    <w:name w:val="样式 目录 3 + 首行缩进:  2 字符"/>
    <w:basedOn w:val="44"/>
    <w:qFormat/>
    <w:uiPriority w:val="0"/>
    <w:rPr>
      <w:b/>
      <w:bCs/>
      <w:i w:val="0"/>
    </w:rPr>
  </w:style>
  <w:style w:type="paragraph" w:customStyle="1" w:styleId="1302">
    <w:name w:val="Style Title Page + After:  0 pt Line spacing:  single"/>
    <w:basedOn w:val="1303"/>
    <w:uiPriority w:val="0"/>
    <w:pPr>
      <w:spacing w:after="0" w:line="240" w:lineRule="auto"/>
    </w:pPr>
  </w:style>
  <w:style w:type="paragraph" w:customStyle="1" w:styleId="1303">
    <w:name w:val="Title Page"/>
    <w:basedOn w:val="1"/>
    <w:qFormat/>
    <w:uiPriority w:val="0"/>
    <w:pPr>
      <w:spacing w:before="60" w:after="120" w:line="360" w:lineRule="auto"/>
      <w:jc w:val="center"/>
    </w:pPr>
    <w:rPr>
      <w:rFonts w:eastAsia="Times New Roman"/>
      <w:szCs w:val="20"/>
      <w:lang w:eastAsia="ja-JP"/>
    </w:rPr>
  </w:style>
  <w:style w:type="paragraph" w:customStyle="1" w:styleId="1304">
    <w:name w:val="list of figure and tables"/>
    <w:basedOn w:val="1132"/>
    <w:qFormat/>
    <w:uiPriority w:val="0"/>
    <w:pPr>
      <w:spacing w:afterLines="0"/>
    </w:pPr>
  </w:style>
  <w:style w:type="paragraph" w:customStyle="1" w:styleId="1305">
    <w:name w:val="样式 标题 3 + 首行缩进:  2 字符"/>
    <w:basedOn w:val="4"/>
    <w:qFormat/>
    <w:uiPriority w:val="0"/>
    <w:pPr>
      <w:spacing w:beforeLines="40" w:afterLines="40" w:line="240" w:lineRule="auto"/>
      <w:ind w:left="-288"/>
    </w:pPr>
    <w:rPr>
      <w:rFonts w:eastAsia="黑体"/>
      <w:bCs w:val="0"/>
      <w:sz w:val="28"/>
      <w:szCs w:val="20"/>
    </w:rPr>
  </w:style>
  <w:style w:type="paragraph" w:customStyle="1" w:styleId="1306">
    <w:name w:val="副标题1"/>
    <w:basedOn w:val="1"/>
    <w:qFormat/>
    <w:uiPriority w:val="0"/>
    <w:pPr>
      <w:autoSpaceDE w:val="0"/>
      <w:autoSpaceDN w:val="0"/>
      <w:adjustRightInd w:val="0"/>
      <w:snapToGrid w:val="0"/>
      <w:spacing w:line="440" w:lineRule="exact"/>
      <w:jc w:val="center"/>
    </w:pPr>
    <w:rPr>
      <w:rFonts w:eastAsia="黑体"/>
      <w:sz w:val="44"/>
      <w:szCs w:val="20"/>
    </w:rPr>
  </w:style>
  <w:style w:type="paragraph" w:customStyle="1" w:styleId="1307">
    <w:name w:val="Style MTDisplayEquation + Centered"/>
    <w:basedOn w:val="1073"/>
    <w:qFormat/>
    <w:uiPriority w:val="0"/>
    <w:pPr>
      <w:jc w:val="center"/>
    </w:pPr>
    <w:rPr>
      <w:vanish/>
    </w:rPr>
  </w:style>
  <w:style w:type="paragraph" w:customStyle="1" w:styleId="1308">
    <w:name w:val="Style Heading 2 + Left:  0&quot; First line:  0&quot;"/>
    <w:basedOn w:val="3"/>
    <w:qFormat/>
    <w:uiPriority w:val="0"/>
    <w:pPr>
      <w:keepLines w:val="0"/>
      <w:tabs>
        <w:tab w:val="left" w:pos="0"/>
      </w:tabs>
      <w:spacing w:beforeLines="0" w:afterLines="0"/>
      <w:jc w:val="center"/>
    </w:pPr>
    <w:rPr>
      <w:b w:val="0"/>
      <w:bCs w:val="0"/>
      <w:sz w:val="28"/>
      <w:szCs w:val="20"/>
    </w:rPr>
  </w:style>
  <w:style w:type="paragraph" w:customStyle="1" w:styleId="1309">
    <w:name w:val="样式 标题 3 + 左  -1.03 字符 首行缩进:  1 字符"/>
    <w:basedOn w:val="1"/>
    <w:qFormat/>
    <w:uiPriority w:val="0"/>
    <w:pPr>
      <w:spacing w:line="600" w:lineRule="exact"/>
      <w:ind w:left="-103" w:leftChars="-103" w:firstLine="280" w:firstLineChars="100"/>
    </w:pPr>
    <w:rPr>
      <w:snapToGrid w:val="0"/>
      <w:sz w:val="28"/>
      <w:szCs w:val="20"/>
    </w:rPr>
  </w:style>
  <w:style w:type="paragraph" w:customStyle="1" w:styleId="1310">
    <w:name w:val="1、"/>
    <w:basedOn w:val="1"/>
    <w:next w:val="1"/>
    <w:qFormat/>
    <w:uiPriority w:val="0"/>
    <w:pPr>
      <w:tabs>
        <w:tab w:val="left" w:pos="127"/>
      </w:tabs>
      <w:overflowPunct w:val="0"/>
      <w:autoSpaceDE w:val="0"/>
      <w:autoSpaceDN w:val="0"/>
      <w:adjustRightInd w:val="0"/>
      <w:snapToGrid w:val="0"/>
      <w:spacing w:after="120" w:line="360" w:lineRule="auto"/>
    </w:pPr>
    <w:rPr>
      <w:rFonts w:ascii="Arial" w:hAnsi="Arial"/>
      <w:snapToGrid w:val="0"/>
      <w:szCs w:val="20"/>
    </w:rPr>
  </w:style>
  <w:style w:type="paragraph" w:customStyle="1" w:styleId="1311">
    <w:name w:val="基准标题"/>
    <w:basedOn w:val="6"/>
    <w:next w:val="6"/>
    <w:qFormat/>
    <w:uiPriority w:val="0"/>
    <w:pPr>
      <w:keepNext/>
      <w:keepLines/>
      <w:snapToGrid w:val="0"/>
      <w:spacing w:after="0" w:line="0" w:lineRule="atLeast"/>
      <w:outlineLvl w:val="0"/>
    </w:pPr>
    <w:rPr>
      <w:rFonts w:hAnsi="Arial"/>
      <w:b/>
      <w:kern w:val="2"/>
      <w:sz w:val="28"/>
      <w:szCs w:val="20"/>
    </w:rPr>
  </w:style>
  <w:style w:type="paragraph" w:customStyle="1" w:styleId="1312">
    <w:name w:val="Document Map1"/>
    <w:basedOn w:val="1"/>
    <w:qFormat/>
    <w:uiPriority w:val="0"/>
    <w:pPr>
      <w:shd w:val="clear" w:color="auto" w:fill="000080"/>
      <w:spacing w:beforeLines="50" w:afterLines="50" w:line="360" w:lineRule="auto"/>
      <w:ind w:firstLine="200" w:firstLineChars="200"/>
    </w:pPr>
    <w:rPr>
      <w:szCs w:val="20"/>
    </w:rPr>
  </w:style>
  <w:style w:type="paragraph" w:customStyle="1" w:styleId="1313">
    <w:name w:val="标题一"/>
    <w:basedOn w:val="1"/>
    <w:qFormat/>
    <w:uiPriority w:val="0"/>
    <w:pPr>
      <w:pageBreakBefore/>
      <w:adjustRightInd w:val="0"/>
      <w:snapToGrid w:val="0"/>
      <w:spacing w:beforeLines="100" w:afterLines="100"/>
      <w:jc w:val="center"/>
      <w:outlineLvl w:val="0"/>
    </w:pPr>
    <w:rPr>
      <w:rFonts w:eastAsia="黑体"/>
      <w:b/>
      <w:snapToGrid w:val="0"/>
      <w:color w:val="000000"/>
      <w:spacing w:val="10"/>
      <w:sz w:val="32"/>
      <w:szCs w:val="20"/>
    </w:rPr>
  </w:style>
  <w:style w:type="paragraph" w:customStyle="1" w:styleId="1314">
    <w:name w:val="Style Caption + Centered"/>
    <w:basedOn w:val="1"/>
    <w:qFormat/>
    <w:uiPriority w:val="0"/>
    <w:pPr>
      <w:spacing w:beforeLines="50" w:afterLines="50" w:line="360" w:lineRule="auto"/>
      <w:ind w:firstLine="200" w:firstLineChars="200"/>
      <w:jc w:val="center"/>
    </w:pPr>
    <w:rPr>
      <w:rFonts w:ascii="Arial" w:hAnsi="Arial"/>
      <w:szCs w:val="20"/>
    </w:rPr>
  </w:style>
  <w:style w:type="paragraph" w:customStyle="1" w:styleId="1315">
    <w:name w:val="样式 样式 样式 标题 3 + 左  -1.03 字符 首行缩进:  1 字符 + 左侧:  -1.03 字符 + 左侧:  1..."/>
    <w:basedOn w:val="1"/>
    <w:qFormat/>
    <w:uiPriority w:val="0"/>
    <w:pPr>
      <w:spacing w:line="600" w:lineRule="exact"/>
      <w:ind w:firstLine="200" w:firstLineChars="200"/>
    </w:pPr>
    <w:rPr>
      <w:snapToGrid w:val="0"/>
      <w:sz w:val="28"/>
      <w:szCs w:val="20"/>
    </w:rPr>
  </w:style>
  <w:style w:type="paragraph" w:customStyle="1" w:styleId="1316">
    <w:name w:val="样式 样式 标题 3 + 左  -1.03 字符 首行缩进:  1 字符 + 左侧:  -1.03 字符"/>
    <w:basedOn w:val="1309"/>
    <w:qFormat/>
    <w:uiPriority w:val="0"/>
    <w:pPr>
      <w:ind w:left="150" w:leftChars="150" w:firstLine="0" w:firstLineChars="0"/>
    </w:pPr>
  </w:style>
  <w:style w:type="paragraph" w:customStyle="1" w:styleId="1317">
    <w:name w:val="CM23"/>
    <w:basedOn w:val="1"/>
    <w:next w:val="1"/>
    <w:qFormat/>
    <w:uiPriority w:val="0"/>
    <w:pPr>
      <w:autoSpaceDE w:val="0"/>
      <w:autoSpaceDN w:val="0"/>
      <w:adjustRightInd w:val="0"/>
      <w:spacing w:line="468" w:lineRule="atLeast"/>
    </w:pPr>
    <w:rPr>
      <w:rFonts w:ascii="黑体" w:eastAsia="黑体"/>
      <w:szCs w:val="20"/>
    </w:rPr>
  </w:style>
  <w:style w:type="paragraph" w:customStyle="1" w:styleId="1318">
    <w:name w:val="样式 样式 样式 标题 4 + 首行缩进:  2 字符 + 首行缩进:  2 字符 + 首行缩进:  2 字符"/>
    <w:basedOn w:val="1290"/>
    <w:qFormat/>
    <w:uiPriority w:val="0"/>
    <w:pPr>
      <w:spacing w:beforeLines="0"/>
    </w:pPr>
  </w:style>
  <w:style w:type="paragraph" w:customStyle="1" w:styleId="1319">
    <w:name w:val="样式 样式 样式 目录 3 + 首行缩进:  2 字符 + 首行缩进:  2 字符 + 首行缩进:  2 字符"/>
    <w:basedOn w:val="1320"/>
    <w:uiPriority w:val="0"/>
    <w:pPr>
      <w:ind w:firstLine="200"/>
    </w:pPr>
  </w:style>
  <w:style w:type="paragraph" w:customStyle="1" w:styleId="1320">
    <w:name w:val="样式 样式 目录 3 + 首行缩进:  2 字符 + 首行缩进:  2 字符"/>
    <w:basedOn w:val="1301"/>
    <w:qFormat/>
    <w:uiPriority w:val="0"/>
    <w:pPr>
      <w:ind w:firstLine="420"/>
    </w:pPr>
    <w:rPr>
      <w:sz w:val="28"/>
    </w:rPr>
  </w:style>
  <w:style w:type="paragraph" w:customStyle="1" w:styleId="1321">
    <w:name w:val="目录1A"/>
    <w:basedOn w:val="73"/>
    <w:qFormat/>
    <w:uiPriority w:val="0"/>
    <w:pPr>
      <w:tabs>
        <w:tab w:val="right" w:leader="dot" w:pos="8260"/>
        <w:tab w:val="right" w:leader="dot" w:pos="8302"/>
        <w:tab w:val="right" w:leader="dot" w:pos="8349"/>
        <w:tab w:val="right" w:leader="dot" w:pos="8834"/>
      </w:tabs>
      <w:adjustRightInd w:val="0"/>
      <w:spacing w:line="360" w:lineRule="auto"/>
      <w:ind w:left="0"/>
    </w:pPr>
    <w:rPr>
      <w:rFonts w:ascii="宋体" w:hAnsi="宋体"/>
      <w:b/>
      <w:caps/>
      <w:color w:val="000000"/>
      <w:sz w:val="24"/>
    </w:rPr>
  </w:style>
  <w:style w:type="paragraph" w:customStyle="1" w:styleId="1322">
    <w:name w:val="样式 标题 1封面大标题 + 两端对齐"/>
    <w:basedOn w:val="2"/>
    <w:qFormat/>
    <w:uiPriority w:val="0"/>
    <w:pPr>
      <w:spacing w:beforeLines="0" w:afterLines="0" w:line="240" w:lineRule="auto"/>
      <w:jc w:val="center"/>
      <w:textAlignment w:val="baseline"/>
    </w:pPr>
    <w:rPr>
      <w:b w:val="0"/>
      <w:bCs w:val="0"/>
      <w:snapToGrid w:val="0"/>
      <w:spacing w:val="10"/>
      <w:sz w:val="40"/>
      <w:szCs w:val="20"/>
    </w:rPr>
  </w:style>
  <w:style w:type="paragraph" w:customStyle="1" w:styleId="1323">
    <w:name w:val="缩进4宋125"/>
    <w:basedOn w:val="1"/>
    <w:qFormat/>
    <w:uiPriority w:val="0"/>
    <w:pPr>
      <w:snapToGrid w:val="0"/>
      <w:spacing w:line="300" w:lineRule="auto"/>
      <w:ind w:firstLine="539"/>
    </w:pPr>
    <w:rPr>
      <w:sz w:val="30"/>
      <w:szCs w:val="20"/>
    </w:rPr>
  </w:style>
  <w:style w:type="paragraph" w:customStyle="1" w:styleId="1324">
    <w:name w:val="样式 题注 + 首行缩进:  2 字符"/>
    <w:basedOn w:val="22"/>
    <w:qFormat/>
    <w:uiPriority w:val="0"/>
    <w:pPr>
      <w:adjustRightInd w:val="0"/>
      <w:snapToGrid w:val="0"/>
      <w:jc w:val="center"/>
    </w:pPr>
    <w:rPr>
      <w:rFonts w:ascii="Times New Roman" w:hAnsi="Times New Roman" w:eastAsia="宋体"/>
      <w:sz w:val="18"/>
    </w:rPr>
  </w:style>
  <w:style w:type="paragraph" w:customStyle="1" w:styleId="1325">
    <w:name w:val="样式 标题 1封面大标题 + 四号"/>
    <w:basedOn w:val="2"/>
    <w:qFormat/>
    <w:uiPriority w:val="0"/>
    <w:pPr>
      <w:spacing w:beforeLines="0" w:afterLines="0" w:line="240" w:lineRule="auto"/>
      <w:jc w:val="center"/>
      <w:textAlignment w:val="baseline"/>
    </w:pPr>
    <w:rPr>
      <w:b w:val="0"/>
      <w:bCs w:val="0"/>
      <w:snapToGrid w:val="0"/>
      <w:spacing w:val="10"/>
      <w:sz w:val="40"/>
      <w:szCs w:val="20"/>
    </w:rPr>
  </w:style>
  <w:style w:type="paragraph" w:customStyle="1" w:styleId="1326">
    <w:name w:val="Char Char Char1 Char Char Char Char Char Char Char Char Char"/>
    <w:basedOn w:val="1"/>
    <w:qFormat/>
    <w:uiPriority w:val="0"/>
    <w:rPr>
      <w:szCs w:val="20"/>
    </w:rPr>
  </w:style>
  <w:style w:type="character" w:customStyle="1" w:styleId="1327">
    <w:name w:val="尾注文本 Char"/>
    <w:link w:val="51"/>
    <w:uiPriority w:val="0"/>
    <w:rPr>
      <w:kern w:val="2"/>
      <w:sz w:val="21"/>
    </w:rPr>
  </w:style>
  <w:style w:type="paragraph" w:customStyle="1" w:styleId="1328">
    <w:name w:val="图片"/>
    <w:basedOn w:val="1"/>
    <w:qFormat/>
    <w:uiPriority w:val="0"/>
    <w:pPr>
      <w:spacing w:line="360" w:lineRule="auto"/>
      <w:ind w:firstLine="200" w:firstLineChars="200"/>
    </w:pPr>
    <w:rPr>
      <w:szCs w:val="20"/>
      <w:shd w:val="clear" w:color="auto" w:fill="FFFFFF"/>
    </w:rPr>
  </w:style>
  <w:style w:type="paragraph" w:customStyle="1" w:styleId="1329">
    <w:name w:val="点"/>
    <w:basedOn w:val="1"/>
    <w:qFormat/>
    <w:uiPriority w:val="0"/>
    <w:pPr>
      <w:tabs>
        <w:tab w:val="left" w:pos="425"/>
        <w:tab w:val="left" w:pos="567"/>
        <w:tab w:val="left" w:pos="6521"/>
      </w:tabs>
      <w:autoSpaceDE w:val="0"/>
      <w:autoSpaceDN w:val="0"/>
      <w:adjustRightInd w:val="0"/>
      <w:spacing w:line="360" w:lineRule="auto"/>
      <w:ind w:left="425" w:hanging="425"/>
      <w:textAlignment w:val="bottom"/>
    </w:pPr>
    <w:rPr>
      <w:rFonts w:ascii="Arial" w:hAnsi="Arial"/>
      <w:sz w:val="26"/>
      <w:szCs w:val="20"/>
    </w:rPr>
  </w:style>
  <w:style w:type="paragraph" w:customStyle="1" w:styleId="1330">
    <w:name w:val="目录标题"/>
    <w:basedOn w:val="12"/>
    <w:qFormat/>
    <w:uiPriority w:val="0"/>
    <w:pPr>
      <w:keepLines/>
      <w:widowControl w:val="0"/>
      <w:overflowPunct/>
      <w:adjustRightInd/>
      <w:snapToGrid/>
      <w:spacing w:beforeLines="50" w:afterLines="50" w:line="320" w:lineRule="atLeast"/>
      <w:ind w:right="100" w:rightChars="100"/>
      <w:jc w:val="center"/>
    </w:pPr>
    <w:rPr>
      <w:i w:val="0"/>
      <w:kern w:val="0"/>
      <w:sz w:val="30"/>
      <w:szCs w:val="20"/>
    </w:rPr>
  </w:style>
  <w:style w:type="paragraph" w:customStyle="1" w:styleId="1331">
    <w:name w:val="样式 样式 表格 + 居中 + 首行缩进:  2 字符"/>
    <w:basedOn w:val="751"/>
    <w:qFormat/>
    <w:uiPriority w:val="0"/>
    <w:rPr>
      <w:snapToGrid/>
      <w:color w:val="auto"/>
      <w:szCs w:val="20"/>
    </w:rPr>
  </w:style>
  <w:style w:type="paragraph" w:customStyle="1" w:styleId="1332">
    <w:name w:val="Style Text + Centered Line spacing:  single1"/>
    <w:basedOn w:val="1174"/>
    <w:qFormat/>
    <w:uiPriority w:val="0"/>
    <w:pPr>
      <w:spacing w:beforeLines="60" w:line="240" w:lineRule="auto"/>
      <w:jc w:val="center"/>
    </w:pPr>
  </w:style>
  <w:style w:type="paragraph" w:customStyle="1" w:styleId="1333">
    <w:name w:val="样式 标题 2W2 +1"/>
    <w:basedOn w:val="3"/>
    <w:qFormat/>
    <w:uiPriority w:val="0"/>
    <w:pPr>
      <w:spacing w:beforeLines="100" w:afterLines="30" w:line="500" w:lineRule="exact"/>
      <w:ind w:left="-288"/>
    </w:pPr>
    <w:rPr>
      <w:rFonts w:ascii="黑体" w:eastAsia="黑体"/>
      <w:b w:val="0"/>
      <w:bCs w:val="0"/>
      <w:spacing w:val="10"/>
      <w:sz w:val="28"/>
      <w:szCs w:val="20"/>
    </w:rPr>
  </w:style>
  <w:style w:type="paragraph" w:customStyle="1" w:styleId="1334">
    <w:name w:val="标题  3"/>
    <w:basedOn w:val="4"/>
    <w:qFormat/>
    <w:uiPriority w:val="0"/>
    <w:pPr>
      <w:keepNext w:val="0"/>
      <w:keepLines w:val="0"/>
      <w:tabs>
        <w:tab w:val="left" w:pos="0"/>
      </w:tabs>
      <w:adjustRightInd w:val="0"/>
      <w:snapToGrid w:val="0"/>
      <w:spacing w:beforeLines="0" w:afterLines="0"/>
      <w:ind w:firstLine="564" w:firstLineChars="200"/>
    </w:pPr>
    <w:rPr>
      <w:rFonts w:eastAsia="黑体"/>
      <w:bCs w:val="0"/>
      <w:sz w:val="28"/>
      <w:szCs w:val="20"/>
    </w:rPr>
  </w:style>
  <w:style w:type="paragraph" w:customStyle="1" w:styleId="1335">
    <w:name w:val="subheading 5"/>
    <w:basedOn w:val="1"/>
    <w:qFormat/>
    <w:uiPriority w:val="0"/>
    <w:pPr>
      <w:spacing w:before="240" w:after="120" w:line="360" w:lineRule="auto"/>
      <w:ind w:firstLine="720"/>
    </w:pPr>
    <w:rPr>
      <w:szCs w:val="20"/>
      <w:u w:val="single"/>
    </w:rPr>
  </w:style>
  <w:style w:type="paragraph" w:customStyle="1" w:styleId="1336">
    <w:name w:val="Char Char Char Char Char Char2"/>
    <w:basedOn w:val="1"/>
    <w:qFormat/>
    <w:uiPriority w:val="0"/>
    <w:rPr>
      <w:szCs w:val="20"/>
    </w:rPr>
  </w:style>
  <w:style w:type="paragraph" w:customStyle="1" w:styleId="1337">
    <w:name w:val="References"/>
    <w:basedOn w:val="1"/>
    <w:qFormat/>
    <w:uiPriority w:val="0"/>
    <w:pPr>
      <w:spacing w:before="240" w:after="240" w:line="360" w:lineRule="auto"/>
      <w:ind w:left="720" w:hanging="720"/>
    </w:pPr>
    <w:rPr>
      <w:szCs w:val="20"/>
    </w:rPr>
  </w:style>
  <w:style w:type="paragraph" w:customStyle="1" w:styleId="1338">
    <w:name w:val="目录一级"/>
    <w:basedOn w:val="1210"/>
    <w:qFormat/>
    <w:uiPriority w:val="0"/>
    <w:pPr>
      <w:tabs>
        <w:tab w:val="clear" w:pos="0"/>
      </w:tabs>
      <w:autoSpaceDE/>
      <w:autoSpaceDN/>
      <w:adjustRightInd/>
      <w:snapToGrid/>
      <w:spacing w:beforeLines="50" w:afterLines="50" w:line="420" w:lineRule="exact"/>
      <w:textAlignment w:val="auto"/>
    </w:pPr>
    <w:rPr>
      <w:rFonts w:eastAsia="宋体"/>
      <w:kern w:val="2"/>
      <w:sz w:val="28"/>
    </w:rPr>
  </w:style>
  <w:style w:type="paragraph" w:customStyle="1" w:styleId="1339">
    <w:name w:val="样式 样式5 + 首行缩进:  2 字符3"/>
    <w:basedOn w:val="397"/>
    <w:qFormat/>
    <w:uiPriority w:val="0"/>
    <w:pPr>
      <w:spacing w:line="560" w:lineRule="exact"/>
      <w:ind w:firstLine="560" w:firstLineChars="0"/>
      <w:textAlignment w:val="baseline"/>
    </w:pPr>
    <w:rPr>
      <w:rFonts w:ascii="Times New Roman" w:hAnsi="Times New Roman"/>
      <w:b/>
      <w:color w:val="auto"/>
      <w:sz w:val="26"/>
      <w:szCs w:val="20"/>
    </w:rPr>
  </w:style>
  <w:style w:type="paragraph" w:customStyle="1" w:styleId="1340">
    <w:name w:val="报告编号"/>
    <w:basedOn w:val="1"/>
    <w:qFormat/>
    <w:uiPriority w:val="0"/>
    <w:pPr>
      <w:adjustRightInd w:val="0"/>
      <w:snapToGrid w:val="0"/>
      <w:spacing w:line="360" w:lineRule="exact"/>
      <w:ind w:firstLine="200" w:firstLineChars="200"/>
      <w:jc w:val="center"/>
    </w:pPr>
    <w:rPr>
      <w:rFonts w:eastAsia="黑体"/>
      <w:b/>
      <w:snapToGrid w:val="0"/>
      <w:sz w:val="28"/>
      <w:szCs w:val="20"/>
    </w:rPr>
  </w:style>
  <w:style w:type="paragraph" w:customStyle="1" w:styleId="1341">
    <w:name w:val="公式下行"/>
    <w:qFormat/>
    <w:uiPriority w:val="0"/>
    <w:pPr>
      <w:spacing w:beforeLines="50" w:afterLines="50" w:line="360" w:lineRule="auto"/>
      <w:jc w:val="both"/>
    </w:pPr>
    <w:rPr>
      <w:rFonts w:ascii="Times New Roman" w:hAnsi="Times New Roman" w:eastAsia="宋体" w:cs="Times New Roman"/>
      <w:kern w:val="2"/>
      <w:sz w:val="24"/>
      <w:lang w:val="en-US" w:eastAsia="zh-CN" w:bidi="ar-SA"/>
    </w:rPr>
  </w:style>
  <w:style w:type="paragraph" w:customStyle="1" w:styleId="1342">
    <w:name w:val="样式 表格5 + 首行缩进:  0.37 厘米"/>
    <w:basedOn w:val="1135"/>
    <w:qFormat/>
    <w:uiPriority w:val="0"/>
    <w:rPr>
      <w:color w:val="FF0000"/>
    </w:rPr>
  </w:style>
  <w:style w:type="paragraph" w:customStyle="1" w:styleId="1343">
    <w:name w:val="样式 样式5 + 首行缩进:  2 字符5"/>
    <w:basedOn w:val="397"/>
    <w:qFormat/>
    <w:uiPriority w:val="0"/>
    <w:pPr>
      <w:spacing w:line="560" w:lineRule="exact"/>
      <w:ind w:firstLine="200" w:firstLineChars="0"/>
      <w:textAlignment w:val="baseline"/>
    </w:pPr>
    <w:rPr>
      <w:rFonts w:ascii="Times New Roman" w:hAnsi="Times New Roman"/>
      <w:b/>
      <w:color w:val="auto"/>
      <w:sz w:val="26"/>
      <w:szCs w:val="20"/>
    </w:rPr>
  </w:style>
  <w:style w:type="paragraph" w:customStyle="1" w:styleId="1344">
    <w:name w:val="样式 标题3 + 左侧:  1.8 字符"/>
    <w:basedOn w:val="476"/>
    <w:qFormat/>
    <w:uiPriority w:val="0"/>
    <w:pPr>
      <w:snapToGrid/>
      <w:spacing w:line="480" w:lineRule="exact"/>
      <w:ind w:left="504" w:leftChars="180" w:firstLine="0"/>
      <w:outlineLvl w:val="9"/>
    </w:pPr>
    <w:rPr>
      <w:rFonts w:eastAsia="黑体"/>
      <w:snapToGrid w:val="0"/>
      <w:sz w:val="30"/>
    </w:rPr>
  </w:style>
  <w:style w:type="paragraph" w:customStyle="1" w:styleId="1345">
    <w:name w:val="表左"/>
    <w:basedOn w:val="1"/>
    <w:qFormat/>
    <w:uiPriority w:val="0"/>
    <w:pPr>
      <w:spacing w:line="280" w:lineRule="exact"/>
    </w:pPr>
    <w:rPr>
      <w:color w:val="000000"/>
      <w:sz w:val="18"/>
      <w:szCs w:val="20"/>
    </w:rPr>
  </w:style>
  <w:style w:type="paragraph" w:customStyle="1" w:styleId="1346">
    <w:name w:val="样式 标题 3 + 左侧:  0 厘米"/>
    <w:basedOn w:val="4"/>
    <w:qFormat/>
    <w:uiPriority w:val="0"/>
    <w:pPr>
      <w:spacing w:beforeLines="40" w:afterLines="40" w:line="240" w:lineRule="auto"/>
      <w:ind w:left="-288"/>
    </w:pPr>
    <w:rPr>
      <w:rFonts w:eastAsia="黑体"/>
      <w:bCs w:val="0"/>
      <w:sz w:val="28"/>
      <w:szCs w:val="20"/>
    </w:rPr>
  </w:style>
  <w:style w:type="paragraph" w:customStyle="1" w:styleId="1347">
    <w:name w:val="样式 表后标题 + (西文) 宋体"/>
    <w:basedOn w:val="1102"/>
    <w:qFormat/>
    <w:uiPriority w:val="0"/>
    <w:pPr>
      <w:ind w:right="420"/>
    </w:pPr>
    <w:rPr>
      <w:b w:val="0"/>
    </w:rPr>
  </w:style>
  <w:style w:type="paragraph" w:customStyle="1" w:styleId="1348">
    <w:name w:val="pa-57"/>
    <w:basedOn w:val="1"/>
    <w:qFormat/>
    <w:uiPriority w:val="0"/>
    <w:pPr>
      <w:spacing w:line="360" w:lineRule="atLeast"/>
      <w:ind w:firstLine="500"/>
    </w:pPr>
    <w:rPr>
      <w:szCs w:val="20"/>
    </w:rPr>
  </w:style>
  <w:style w:type="paragraph" w:customStyle="1" w:styleId="1349">
    <w:name w:val="Style Centered Line spacing:  single"/>
    <w:basedOn w:val="1"/>
    <w:qFormat/>
    <w:uiPriority w:val="0"/>
    <w:pPr>
      <w:jc w:val="center"/>
    </w:pPr>
    <w:rPr>
      <w:szCs w:val="20"/>
    </w:rPr>
  </w:style>
  <w:style w:type="character" w:customStyle="1" w:styleId="1350">
    <w:name w:val="普通文字 Char Char Char Char1"/>
    <w:uiPriority w:val="0"/>
    <w:rPr>
      <w:rFonts w:ascii="宋体" w:hAnsi="Courier New" w:eastAsia="宋体" w:cs="楷体_GB2312"/>
      <w:kern w:val="2"/>
      <w:sz w:val="21"/>
      <w:szCs w:val="21"/>
      <w:lang w:val="en-US" w:eastAsia="zh-CN" w:bidi="ar-SA"/>
    </w:rPr>
  </w:style>
  <w:style w:type="paragraph" w:customStyle="1" w:styleId="1351">
    <w:name w:val="样式 小四 非加粗 首行缩进:  0.85 厘米 段前: 6 磅 段后: 6 磅 行距: 1.5 倍行距"/>
    <w:basedOn w:val="1"/>
    <w:link w:val="1352"/>
    <w:semiHidden/>
    <w:qFormat/>
    <w:uiPriority w:val="0"/>
    <w:pPr>
      <w:spacing w:line="500" w:lineRule="atLeast"/>
      <w:ind w:firstLine="561"/>
    </w:pPr>
    <w:rPr>
      <w:sz w:val="28"/>
      <w:szCs w:val="28"/>
    </w:rPr>
  </w:style>
  <w:style w:type="character" w:customStyle="1" w:styleId="1352">
    <w:name w:val="样式 小四 非加粗 首行缩进:  0.85 厘米 段前: 6 磅 段后: 6 磅 行距: 1.5 倍行距 Char"/>
    <w:link w:val="1351"/>
    <w:semiHidden/>
    <w:uiPriority w:val="0"/>
    <w:rPr>
      <w:rFonts w:cs="宋体"/>
      <w:kern w:val="2"/>
      <w:sz w:val="28"/>
      <w:szCs w:val="28"/>
    </w:rPr>
  </w:style>
  <w:style w:type="paragraph" w:customStyle="1" w:styleId="1353">
    <w:name w:val="默认段落字体 Char Char Char"/>
    <w:basedOn w:val="1"/>
    <w:qFormat/>
    <w:uiPriority w:val="0"/>
  </w:style>
  <w:style w:type="paragraph" w:customStyle="1" w:styleId="1354">
    <w:name w:val="表格（小）"/>
    <w:basedOn w:val="1"/>
    <w:qFormat/>
    <w:uiPriority w:val="0"/>
    <w:pPr>
      <w:adjustRightInd w:val="0"/>
      <w:snapToGrid w:val="0"/>
    </w:pPr>
    <w:rPr>
      <w:snapToGrid w:val="0"/>
      <w:szCs w:val="20"/>
    </w:rPr>
  </w:style>
  <w:style w:type="character" w:customStyle="1" w:styleId="1355">
    <w:name w:val="正文缩进1 Char2"/>
    <w:uiPriority w:val="0"/>
    <w:rPr>
      <w:rFonts w:eastAsia="宋体"/>
      <w:kern w:val="2"/>
      <w:sz w:val="21"/>
      <w:szCs w:val="24"/>
      <w:lang w:val="en-US" w:eastAsia="zh-CN" w:bidi="ar-SA"/>
    </w:rPr>
  </w:style>
  <w:style w:type="character" w:customStyle="1" w:styleId="1356">
    <w:name w:val="表 Char"/>
    <w:link w:val="374"/>
    <w:uiPriority w:val="0"/>
    <w:rPr>
      <w:spacing w:val="2"/>
      <w:kern w:val="2"/>
      <w:sz w:val="21"/>
    </w:rPr>
  </w:style>
  <w:style w:type="paragraph" w:customStyle="1" w:styleId="1357">
    <w:name w:val="12"/>
    <w:basedOn w:val="1"/>
    <w:next w:val="31"/>
    <w:qFormat/>
    <w:uiPriority w:val="0"/>
    <w:rPr>
      <w:rFonts w:hAnsi="Courier New"/>
      <w:szCs w:val="20"/>
    </w:rPr>
  </w:style>
  <w:style w:type="paragraph" w:customStyle="1" w:styleId="1358">
    <w:name w:val="样式 宋体 四号 行距: 1.5 倍行距"/>
    <w:basedOn w:val="1"/>
    <w:qFormat/>
    <w:uiPriority w:val="0"/>
    <w:pPr>
      <w:spacing w:line="360" w:lineRule="auto"/>
      <w:ind w:right="-169" w:firstLine="482"/>
    </w:pPr>
    <w:rPr>
      <w:rFonts w:hAnsi="Arial"/>
      <w:color w:val="FF0000"/>
      <w:lang w:val="zh-CN"/>
    </w:rPr>
  </w:style>
  <w:style w:type="paragraph" w:customStyle="1" w:styleId="1359">
    <w:name w:val="样式 标题 3 + 首行缩进:  2 字符1"/>
    <w:basedOn w:val="4"/>
    <w:qFormat/>
    <w:uiPriority w:val="0"/>
    <w:pPr>
      <w:adjustRightInd w:val="0"/>
      <w:snapToGrid w:val="0"/>
      <w:spacing w:beforeLines="0" w:afterLines="0"/>
      <w:ind w:firstLine="422" w:firstLineChars="200"/>
    </w:pPr>
    <w:rPr>
      <w:rFonts w:eastAsia="黑体"/>
      <w:snapToGrid w:val="0"/>
      <w:sz w:val="28"/>
      <w:szCs w:val="28"/>
    </w:rPr>
  </w:style>
  <w:style w:type="paragraph" w:customStyle="1" w:styleId="1360">
    <w:name w:val="正文13号缩进"/>
    <w:basedOn w:val="1"/>
    <w:qFormat/>
    <w:uiPriority w:val="0"/>
    <w:pPr>
      <w:spacing w:line="360" w:lineRule="auto"/>
      <w:ind w:firstLine="520" w:firstLineChars="200"/>
    </w:pPr>
    <w:rPr>
      <w:sz w:val="26"/>
      <w:szCs w:val="20"/>
    </w:rPr>
  </w:style>
  <w:style w:type="paragraph" w:customStyle="1" w:styleId="1361">
    <w:name w:val="Char Char Char1 Char Char Char1 Char Char Char Char Char Char1 Char Char Char1 Char"/>
    <w:basedOn w:val="1"/>
    <w:semiHidden/>
    <w:qFormat/>
    <w:uiPriority w:val="0"/>
  </w:style>
  <w:style w:type="paragraph" w:customStyle="1" w:styleId="1362">
    <w:name w:val="+标题4"/>
    <w:basedOn w:val="5"/>
    <w:autoRedefine/>
    <w:qFormat/>
    <w:uiPriority w:val="0"/>
    <w:pPr>
      <w:keepNext w:val="0"/>
      <w:keepLines/>
      <w:widowControl w:val="0"/>
      <w:tabs>
        <w:tab w:val="left" w:pos="709"/>
      </w:tabs>
      <w:overflowPunct/>
      <w:autoSpaceDE/>
      <w:autoSpaceDN/>
      <w:adjustRightInd/>
      <w:spacing w:beforeLines="0" w:afterLines="0" w:line="240" w:lineRule="auto"/>
      <w:textAlignment w:val="auto"/>
    </w:pPr>
    <w:rPr>
      <w:bCs/>
      <w:i w:val="0"/>
      <w:kern w:val="2"/>
    </w:rPr>
  </w:style>
  <w:style w:type="character" w:customStyle="1" w:styleId="1363">
    <w:name w:val="页眉 Char Char1"/>
    <w:uiPriority w:val="0"/>
    <w:rPr>
      <w:rFonts w:eastAsia="宋体"/>
      <w:kern w:val="2"/>
      <w:sz w:val="18"/>
      <w:szCs w:val="18"/>
      <w:lang w:val="en-US" w:eastAsia="zh-CN" w:bidi="ar-SA"/>
    </w:rPr>
  </w:style>
  <w:style w:type="paragraph" w:customStyle="1" w:styleId="1364">
    <w:name w:val="28"/>
    <w:basedOn w:val="1"/>
    <w:next w:val="31"/>
    <w:qFormat/>
    <w:uiPriority w:val="0"/>
    <w:rPr>
      <w:rFonts w:hAnsi="Courier New"/>
      <w:sz w:val="28"/>
      <w:szCs w:val="20"/>
    </w:rPr>
  </w:style>
  <w:style w:type="character" w:customStyle="1" w:styleId="1365">
    <w:name w:val="Char5 Char"/>
    <w:uiPriority w:val="0"/>
    <w:rPr>
      <w:rFonts w:eastAsia="宋体"/>
      <w:kern w:val="2"/>
      <w:sz w:val="28"/>
      <w:lang w:val="en-US" w:eastAsia="zh-CN" w:bidi="ar-SA"/>
    </w:rPr>
  </w:style>
  <w:style w:type="character" w:customStyle="1" w:styleId="1366">
    <w:name w:val="Char4 Char"/>
    <w:uiPriority w:val="0"/>
    <w:rPr>
      <w:rFonts w:eastAsia="宋体"/>
      <w:sz w:val="21"/>
      <w:lang w:val="en-US" w:eastAsia="zh-CN" w:bidi="ar-SA"/>
    </w:rPr>
  </w:style>
  <w:style w:type="character" w:customStyle="1" w:styleId="1367">
    <w:name w:val="Char3 Char"/>
    <w:uiPriority w:val="0"/>
    <w:rPr>
      <w:rFonts w:ascii="宋体" w:hAnsi="宋体" w:eastAsia="宋体"/>
      <w:b/>
      <w:bCs/>
      <w:color w:val="000000"/>
      <w:kern w:val="2"/>
      <w:sz w:val="24"/>
      <w:szCs w:val="24"/>
      <w:lang w:val="en-US" w:eastAsia="zh-CN" w:bidi="ar-SA"/>
    </w:rPr>
  </w:style>
  <w:style w:type="character" w:customStyle="1" w:styleId="1368">
    <w:name w:val="标题1.1.1.1.1 Char1"/>
    <w:uiPriority w:val="0"/>
    <w:rPr>
      <w:rFonts w:ascii="宋体" w:eastAsia="宋体"/>
      <w:b/>
      <w:sz w:val="28"/>
      <w:lang w:val="en-US" w:eastAsia="zh-CN" w:bidi="ar-SA"/>
    </w:rPr>
  </w:style>
  <w:style w:type="character" w:customStyle="1" w:styleId="1369">
    <w:name w:val="干标题(a) Char"/>
    <w:uiPriority w:val="0"/>
    <w:rPr>
      <w:rFonts w:ascii="Arial" w:hAnsi="Arial" w:eastAsia="黑体"/>
      <w:sz w:val="21"/>
      <w:lang w:val="en-US" w:eastAsia="zh-CN" w:bidi="ar-SA"/>
    </w:rPr>
  </w:style>
  <w:style w:type="character" w:customStyle="1" w:styleId="1370">
    <w:name w:val="项标题(1) Char1"/>
    <w:uiPriority w:val="0"/>
    <w:rPr>
      <w:rFonts w:ascii="宋体" w:eastAsia="宋体"/>
      <w:b/>
      <w:sz w:val="24"/>
      <w:lang w:val="en-US" w:eastAsia="zh-CN" w:bidi="ar-SA"/>
    </w:rPr>
  </w:style>
  <w:style w:type="character" w:customStyle="1" w:styleId="1371">
    <w:name w:val="目标题 1) Char"/>
    <w:uiPriority w:val="0"/>
    <w:rPr>
      <w:rFonts w:ascii="Arial" w:hAnsi="Arial" w:eastAsia="黑体"/>
      <w:sz w:val="24"/>
      <w:lang w:val="en-US" w:eastAsia="zh-CN" w:bidi="ar-SA"/>
    </w:rPr>
  </w:style>
  <w:style w:type="character" w:customStyle="1" w:styleId="1372">
    <w:name w:val="正文文字缩进 31 Char Char"/>
    <w:uiPriority w:val="0"/>
    <w:rPr>
      <w:rFonts w:eastAsia="宋体"/>
      <w:kern w:val="2"/>
      <w:sz w:val="24"/>
      <w:lang w:val="en-US" w:eastAsia="zh-CN" w:bidi="ar-SA"/>
    </w:rPr>
  </w:style>
  <w:style w:type="paragraph" w:customStyle="1" w:styleId="1373">
    <w:name w:val="BodyText"/>
    <w:basedOn w:val="1"/>
    <w:qFormat/>
    <w:uiPriority w:val="0"/>
    <w:pPr>
      <w:tabs>
        <w:tab w:val="left" w:pos="737"/>
      </w:tabs>
      <w:adjustRightInd w:val="0"/>
      <w:snapToGrid w:val="0"/>
      <w:spacing w:before="120" w:line="360" w:lineRule="auto"/>
      <w:ind w:firstLine="200" w:firstLineChars="200"/>
      <w:textAlignment w:val="baseline"/>
    </w:pPr>
    <w:rPr>
      <w:color w:val="000000"/>
      <w:sz w:val="28"/>
      <w:szCs w:val="20"/>
    </w:rPr>
  </w:style>
  <w:style w:type="paragraph" w:customStyle="1" w:styleId="1374">
    <w:name w:val="13"/>
    <w:basedOn w:val="1"/>
    <w:next w:val="31"/>
    <w:qFormat/>
    <w:uiPriority w:val="0"/>
    <w:rPr>
      <w:rFonts w:hAnsi="Courier New"/>
      <w:szCs w:val="20"/>
    </w:rPr>
  </w:style>
  <w:style w:type="character" w:customStyle="1" w:styleId="1375">
    <w:name w:val="8-2 Char Char Char"/>
    <w:link w:val="1376"/>
    <w:uiPriority w:val="0"/>
    <w:rPr>
      <w:rFonts w:ascii="宋体" w:hAnsi="宋体" w:cs="宋体"/>
      <w:bCs/>
      <w:kern w:val="2"/>
      <w:sz w:val="24"/>
      <w:szCs w:val="24"/>
    </w:rPr>
  </w:style>
  <w:style w:type="paragraph" w:customStyle="1" w:styleId="1376">
    <w:name w:val="8-2 Char"/>
    <w:basedOn w:val="1"/>
    <w:link w:val="1375"/>
    <w:qFormat/>
    <w:uiPriority w:val="0"/>
    <w:pPr>
      <w:spacing w:line="440" w:lineRule="exact"/>
      <w:ind w:firstLine="480" w:firstLineChars="200"/>
    </w:pPr>
    <w:rPr>
      <w:bCs/>
    </w:rPr>
  </w:style>
  <w:style w:type="character" w:customStyle="1" w:styleId="1377">
    <w:name w:val="2 Char Char"/>
    <w:basedOn w:val="132"/>
    <w:uiPriority w:val="0"/>
  </w:style>
  <w:style w:type="character" w:customStyle="1" w:styleId="1378">
    <w:name w:val="Char Char121"/>
    <w:locked/>
    <w:uiPriority w:val="0"/>
    <w:rPr>
      <w:rFonts w:ascii="宋体" w:eastAsia="宋体"/>
      <w:b/>
      <w:sz w:val="24"/>
      <w:lang w:val="en-US" w:eastAsia="zh-CN" w:bidi="ar-SA"/>
    </w:rPr>
  </w:style>
  <w:style w:type="character" w:customStyle="1" w:styleId="1379">
    <w:name w:val="Char Char91"/>
    <w:locked/>
    <w:uiPriority w:val="0"/>
    <w:rPr>
      <w:rFonts w:ascii="宋体" w:hAnsi="宋体" w:eastAsia="宋体"/>
      <w:kern w:val="2"/>
      <w:sz w:val="18"/>
      <w:szCs w:val="18"/>
      <w:lang w:val="en-US" w:eastAsia="zh-CN" w:bidi="ar-SA"/>
    </w:rPr>
  </w:style>
  <w:style w:type="character" w:customStyle="1" w:styleId="1380">
    <w:name w:val="Char Char24"/>
    <w:locked/>
    <w:uiPriority w:val="0"/>
    <w:rPr>
      <w:rFonts w:ascii="宋体" w:hAnsi="宋体" w:eastAsia="宋体"/>
      <w:b/>
      <w:snapToGrid w:val="0"/>
      <w:sz w:val="24"/>
      <w:lang w:val="en-US" w:eastAsia="zh-CN" w:bidi="ar-SA"/>
    </w:rPr>
  </w:style>
  <w:style w:type="character" w:customStyle="1" w:styleId="1381">
    <w:name w:val="Char Char141"/>
    <w:locked/>
    <w:uiPriority w:val="0"/>
    <w:rPr>
      <w:rFonts w:ascii="宋体" w:hAnsi="宋体" w:eastAsia="宋体"/>
      <w:kern w:val="2"/>
      <w:sz w:val="21"/>
      <w:lang w:val="en-US" w:eastAsia="zh-CN" w:bidi="ar-SA"/>
    </w:rPr>
  </w:style>
  <w:style w:type="character" w:customStyle="1" w:styleId="1382">
    <w:name w:val="Char Char8"/>
    <w:locked/>
    <w:uiPriority w:val="0"/>
    <w:rPr>
      <w:rFonts w:ascii="宋体" w:hAnsi="宋体" w:eastAsia="宋体"/>
      <w:kern w:val="2"/>
      <w:sz w:val="28"/>
      <w:lang w:val="en-US" w:eastAsia="zh-CN" w:bidi="ar-SA"/>
    </w:rPr>
  </w:style>
  <w:style w:type="character" w:customStyle="1" w:styleId="1383">
    <w:name w:val="Char Char281"/>
    <w:locked/>
    <w:uiPriority w:val="0"/>
    <w:rPr>
      <w:rFonts w:ascii="宋体" w:hAnsi="宋体" w:eastAsia="宋体"/>
      <w:kern w:val="2"/>
      <w:sz w:val="24"/>
      <w:lang w:val="en-US" w:eastAsia="zh-CN" w:bidi="ar-SA"/>
    </w:rPr>
  </w:style>
  <w:style w:type="character" w:customStyle="1" w:styleId="1384">
    <w:name w:val="Char Char22"/>
    <w:locked/>
    <w:uiPriority w:val="0"/>
    <w:rPr>
      <w:rFonts w:ascii="宋体" w:hAnsi="宋体" w:eastAsia="宋体"/>
      <w:kern w:val="2"/>
      <w:sz w:val="21"/>
      <w:szCs w:val="24"/>
      <w:lang w:val="en-US" w:eastAsia="zh-CN" w:bidi="ar-SA"/>
    </w:rPr>
  </w:style>
  <w:style w:type="paragraph" w:customStyle="1" w:styleId="1385">
    <w:name w:val="Char Char Char3 Char Char Char Char Char Char Char Char Char Char Char Char Char1"/>
    <w:basedOn w:val="1"/>
    <w:qFormat/>
    <w:uiPriority w:val="0"/>
    <w:rPr>
      <w:szCs w:val="20"/>
    </w:rPr>
  </w:style>
  <w:style w:type="paragraph" w:customStyle="1" w:styleId="1386">
    <w:name w:val="Char Char Char1 Char11"/>
    <w:basedOn w:val="1"/>
    <w:qFormat/>
    <w:uiPriority w:val="0"/>
    <w:rPr>
      <w:szCs w:val="20"/>
    </w:rPr>
  </w:style>
  <w:style w:type="paragraph" w:customStyle="1" w:styleId="1387">
    <w:name w:val="Char Char Char1 Char Char Char Char1 Char Char1"/>
    <w:basedOn w:val="1"/>
    <w:qFormat/>
    <w:uiPriority w:val="0"/>
    <w:rPr>
      <w:szCs w:val="20"/>
    </w:rPr>
  </w:style>
  <w:style w:type="paragraph" w:customStyle="1" w:styleId="1388">
    <w:name w:val="Char Char Char1 Char Char Char Char11"/>
    <w:basedOn w:val="1"/>
    <w:qFormat/>
    <w:uiPriority w:val="0"/>
    <w:rPr>
      <w:szCs w:val="20"/>
    </w:rPr>
  </w:style>
  <w:style w:type="paragraph" w:customStyle="1" w:styleId="1389">
    <w:name w:val="Char Char Char Char Char2 Char Char Char Char1"/>
    <w:basedOn w:val="1"/>
    <w:qFormat/>
    <w:uiPriority w:val="0"/>
    <w:pPr>
      <w:adjustRightInd w:val="0"/>
      <w:snapToGrid w:val="0"/>
      <w:spacing w:line="360" w:lineRule="auto"/>
      <w:ind w:firstLine="200" w:firstLineChars="200"/>
    </w:pPr>
    <w:rPr>
      <w:szCs w:val="20"/>
    </w:rPr>
  </w:style>
  <w:style w:type="paragraph" w:customStyle="1" w:styleId="1390">
    <w:name w:val="Char Char7 Char Char Char Char1"/>
    <w:basedOn w:val="1"/>
    <w:qFormat/>
    <w:uiPriority w:val="0"/>
    <w:pPr>
      <w:spacing w:after="160" w:line="240" w:lineRule="exact"/>
    </w:pPr>
    <w:rPr>
      <w:rFonts w:ascii="Verdana" w:hAnsi="Verdana"/>
      <w:sz w:val="20"/>
      <w:szCs w:val="20"/>
      <w:lang w:eastAsia="en-US"/>
    </w:rPr>
  </w:style>
  <w:style w:type="paragraph" w:customStyle="1" w:styleId="1391">
    <w:name w:val="Char Char Char1 Char Char Char Char Char Char Char Char Char1"/>
    <w:basedOn w:val="1"/>
    <w:qFormat/>
    <w:uiPriority w:val="0"/>
    <w:rPr>
      <w:szCs w:val="20"/>
    </w:rPr>
  </w:style>
  <w:style w:type="paragraph" w:customStyle="1" w:styleId="1392">
    <w:name w:val="Char Char Char1 Char Char Char1 Char Char Char Char Char Char1 Char Char Char1 Char1"/>
    <w:basedOn w:val="1"/>
    <w:semiHidden/>
    <w:qFormat/>
    <w:uiPriority w:val="0"/>
  </w:style>
  <w:style w:type="character" w:customStyle="1" w:styleId="1393">
    <w:name w:val="普通文字 Char Char Char Char Char Char Char Char Char Char Char1"/>
    <w:uiPriority w:val="0"/>
    <w:rPr>
      <w:rFonts w:hint="eastAsia" w:ascii="宋体" w:hAnsi="Courier New" w:eastAsia="宋体"/>
      <w:kern w:val="2"/>
      <w:sz w:val="28"/>
      <w:lang w:val="en-US" w:eastAsia="zh-CN" w:bidi="ar-SA"/>
    </w:rPr>
  </w:style>
  <w:style w:type="character" w:customStyle="1" w:styleId="1394">
    <w:name w:val="emailstyle159"/>
    <w:semiHidden/>
    <w:qFormat/>
    <w:uiPriority w:val="0"/>
    <w:rPr>
      <w:rFonts w:hint="default" w:ascii="Arial" w:hAnsi="Arial" w:eastAsia="宋体" w:cs="Arial"/>
      <w:color w:val="auto"/>
      <w:sz w:val="20"/>
    </w:rPr>
  </w:style>
  <w:style w:type="character" w:customStyle="1" w:styleId="1395">
    <w:name w:val="Char Char261"/>
    <w:uiPriority w:val="0"/>
    <w:rPr>
      <w:rFonts w:hint="eastAsia" w:ascii="宋体" w:hAnsi="宋体" w:eastAsia="宋体"/>
      <w:color w:val="000000"/>
      <w:kern w:val="2"/>
      <w:sz w:val="24"/>
      <w:lang w:val="en-US" w:eastAsia="zh-CN"/>
    </w:rPr>
  </w:style>
  <w:style w:type="character" w:customStyle="1" w:styleId="1396">
    <w:name w:val="emailstyle443"/>
    <w:semiHidden/>
    <w:uiPriority w:val="0"/>
    <w:rPr>
      <w:rFonts w:hint="default" w:ascii="Arial" w:hAnsi="Arial" w:eastAsia="宋体" w:cs="Arial"/>
      <w:color w:val="auto"/>
      <w:sz w:val="20"/>
    </w:rPr>
  </w:style>
  <w:style w:type="character" w:customStyle="1" w:styleId="1397">
    <w:name w:val="Char Char131"/>
    <w:uiPriority w:val="0"/>
    <w:rPr>
      <w:rFonts w:hint="eastAsia" w:ascii="宋体" w:hAnsi="宋体" w:eastAsia="宋体"/>
      <w:color w:val="0000FF"/>
      <w:sz w:val="24"/>
      <w:lang w:val="en-US" w:eastAsia="zh-CN" w:bidi="ar-SA"/>
    </w:rPr>
  </w:style>
  <w:style w:type="character" w:customStyle="1" w:styleId="1398">
    <w:name w:val="Char Char51"/>
    <w:uiPriority w:val="0"/>
    <w:rPr>
      <w:rFonts w:hint="eastAsia" w:ascii="宋体" w:hAnsi="宋体" w:eastAsia="宋体"/>
      <w:sz w:val="24"/>
      <w:lang w:val="en-US" w:eastAsia="zh-CN" w:bidi="ar-SA"/>
    </w:rPr>
  </w:style>
  <w:style w:type="character" w:customStyle="1" w:styleId="1399">
    <w:name w:val="Char Char101"/>
    <w:uiPriority w:val="0"/>
    <w:rPr>
      <w:rFonts w:hint="default" w:ascii="Times New Roman" w:hAnsi="Times New Roman" w:eastAsia="宋体" w:cs="Times New Roman"/>
      <w:kern w:val="0"/>
      <w:sz w:val="28"/>
      <w:szCs w:val="20"/>
    </w:rPr>
  </w:style>
  <w:style w:type="character" w:customStyle="1" w:styleId="1400">
    <w:name w:val="Char Char251"/>
    <w:uiPriority w:val="0"/>
    <w:rPr>
      <w:rFonts w:hint="eastAsia" w:ascii="宋体" w:hAnsi="宋体" w:eastAsia="宋体"/>
      <w:kern w:val="2"/>
      <w:sz w:val="18"/>
      <w:lang w:val="en-US" w:eastAsia="zh-CN"/>
    </w:rPr>
  </w:style>
  <w:style w:type="character" w:customStyle="1" w:styleId="1401">
    <w:name w:val="Char Char321"/>
    <w:uiPriority w:val="0"/>
    <w:rPr>
      <w:rFonts w:hint="eastAsia" w:ascii="新宋体" w:hAnsi="新宋体" w:eastAsia="仿宋_GB2312"/>
      <w:b/>
      <w:kern w:val="2"/>
      <w:sz w:val="24"/>
      <w:lang w:val="en-US" w:eastAsia="zh-CN"/>
    </w:rPr>
  </w:style>
  <w:style w:type="character" w:customStyle="1" w:styleId="1402">
    <w:name w:val="Char Char381"/>
    <w:uiPriority w:val="0"/>
    <w:rPr>
      <w:rFonts w:hint="eastAsia" w:ascii="宋体" w:hAnsi="宋体" w:eastAsia="宋体"/>
      <w:b/>
      <w:kern w:val="2"/>
      <w:sz w:val="32"/>
    </w:rPr>
  </w:style>
  <w:style w:type="character" w:customStyle="1" w:styleId="1403">
    <w:name w:val="Char Char271"/>
    <w:uiPriority w:val="0"/>
    <w:rPr>
      <w:rFonts w:hint="eastAsia" w:ascii="宋体" w:hAnsi="宋体" w:eastAsia="宋体"/>
      <w:sz w:val="28"/>
      <w:lang w:val="en-US" w:eastAsia="zh-CN"/>
    </w:rPr>
  </w:style>
  <w:style w:type="character" w:customStyle="1" w:styleId="1404">
    <w:name w:val="Char Char301"/>
    <w:qFormat/>
    <w:uiPriority w:val="0"/>
    <w:rPr>
      <w:rFonts w:hint="default" w:ascii="Arial" w:hAnsi="Arial" w:eastAsia="黑体" w:cs="Arial"/>
      <w:kern w:val="2"/>
      <w:sz w:val="21"/>
      <w:lang w:val="en-US" w:eastAsia="zh-CN"/>
    </w:rPr>
  </w:style>
  <w:style w:type="character" w:customStyle="1" w:styleId="1405">
    <w:name w:val="Char Char201"/>
    <w:uiPriority w:val="0"/>
    <w:rPr>
      <w:b/>
      <w:sz w:val="24"/>
      <w:u w:val="single"/>
    </w:rPr>
  </w:style>
  <w:style w:type="character" w:customStyle="1" w:styleId="1406">
    <w:name w:val="Char Char351"/>
    <w:qFormat/>
    <w:uiPriority w:val="0"/>
    <w:rPr>
      <w:rFonts w:hint="eastAsia" w:ascii="宋体" w:hAnsi="宋体" w:eastAsia="宋体"/>
      <w:b/>
      <w:snapToGrid w:val="0"/>
      <w:kern w:val="4"/>
      <w:sz w:val="24"/>
    </w:rPr>
  </w:style>
  <w:style w:type="character" w:customStyle="1" w:styleId="1407">
    <w:name w:val="Char Char191"/>
    <w:uiPriority w:val="0"/>
    <w:rPr>
      <w:sz w:val="24"/>
    </w:rPr>
  </w:style>
  <w:style w:type="character" w:customStyle="1" w:styleId="1408">
    <w:name w:val="Char Char231"/>
    <w:qFormat/>
    <w:uiPriority w:val="0"/>
    <w:rPr>
      <w:rFonts w:hint="eastAsia" w:ascii="黑体" w:hAnsi="Courier New" w:eastAsia="黑体"/>
      <w:kern w:val="2"/>
      <w:sz w:val="28"/>
      <w:lang w:val="en-US" w:eastAsia="zh-CN"/>
    </w:rPr>
  </w:style>
  <w:style w:type="character" w:customStyle="1" w:styleId="1409">
    <w:name w:val="Char Char211"/>
    <w:qFormat/>
    <w:uiPriority w:val="0"/>
    <w:rPr>
      <w:rFonts w:hint="eastAsia" w:ascii="宋体" w:hAnsi="宋体" w:eastAsia="宋体"/>
      <w:kern w:val="2"/>
      <w:sz w:val="18"/>
      <w:lang w:val="en-US" w:eastAsia="zh-CN"/>
    </w:rPr>
  </w:style>
  <w:style w:type="character" w:customStyle="1" w:styleId="1410">
    <w:name w:val="Char Char331"/>
    <w:uiPriority w:val="0"/>
    <w:rPr>
      <w:rFonts w:hint="default" w:ascii="Arial" w:hAnsi="Arial" w:eastAsia="黑体" w:cs="Arial"/>
      <w:b/>
      <w:kern w:val="2"/>
      <w:sz w:val="24"/>
      <w:lang w:val="en-US" w:eastAsia="zh-CN"/>
    </w:rPr>
  </w:style>
  <w:style w:type="character" w:customStyle="1" w:styleId="1411">
    <w:name w:val="Char Char181"/>
    <w:qFormat/>
    <w:uiPriority w:val="0"/>
    <w:rPr>
      <w:rFonts w:hint="eastAsia" w:ascii="宋体" w:hAnsi="宋体" w:eastAsia="宋体"/>
      <w:kern w:val="2"/>
      <w:sz w:val="24"/>
      <w:lang w:val="en-US" w:eastAsia="zh-CN"/>
    </w:rPr>
  </w:style>
  <w:style w:type="character" w:customStyle="1" w:styleId="1412">
    <w:name w:val="Char Char291"/>
    <w:uiPriority w:val="0"/>
    <w:rPr>
      <w:rFonts w:hint="eastAsia" w:ascii="宋体" w:hAnsi="宋体" w:eastAsia="宋体"/>
      <w:kern w:val="2"/>
      <w:sz w:val="28"/>
      <w:lang w:val="en-US" w:eastAsia="zh-CN"/>
    </w:rPr>
  </w:style>
  <w:style w:type="character" w:customStyle="1" w:styleId="1413">
    <w:name w:val="Char Char311"/>
    <w:uiPriority w:val="0"/>
    <w:rPr>
      <w:rFonts w:hint="default" w:ascii="Arial" w:hAnsi="Arial" w:eastAsia="黑体" w:cs="Arial"/>
      <w:kern w:val="2"/>
      <w:sz w:val="24"/>
      <w:lang w:val="en-US" w:eastAsia="zh-CN"/>
    </w:rPr>
  </w:style>
  <w:style w:type="character" w:customStyle="1" w:styleId="1414">
    <w:name w:val="Char Char361"/>
    <w:qFormat/>
    <w:uiPriority w:val="0"/>
    <w:rPr>
      <w:rFonts w:hint="eastAsia" w:ascii="宋体" w:hAnsi="宋体" w:eastAsia="宋体"/>
      <w:b/>
      <w:kern w:val="24"/>
      <w:sz w:val="28"/>
      <w:lang w:val="zh-CN"/>
    </w:rPr>
  </w:style>
  <w:style w:type="character" w:customStyle="1" w:styleId="1415">
    <w:name w:val="Char Char371"/>
    <w:qFormat/>
    <w:uiPriority w:val="0"/>
    <w:rPr>
      <w:rFonts w:hint="eastAsia" w:ascii="宋体" w:hAnsi="宋体" w:eastAsia="宋体"/>
      <w:b/>
      <w:kern w:val="2"/>
      <w:sz w:val="28"/>
    </w:rPr>
  </w:style>
  <w:style w:type="character" w:customStyle="1" w:styleId="1416">
    <w:name w:val="Char Char341"/>
    <w:uiPriority w:val="0"/>
    <w:rPr>
      <w:rFonts w:hint="eastAsia" w:ascii="新宋体" w:hAnsi="新宋体" w:eastAsia="仿宋_GB2312"/>
      <w:b/>
      <w:kern w:val="2"/>
      <w:sz w:val="28"/>
      <w:lang w:val="en-US" w:eastAsia="zh-CN"/>
    </w:rPr>
  </w:style>
  <w:style w:type="character" w:customStyle="1" w:styleId="1417">
    <w:name w:val="font21"/>
    <w:uiPriority w:val="0"/>
    <w:rPr>
      <w:rFonts w:hint="eastAsia" w:ascii="宋体" w:hAnsi="宋体" w:eastAsia="宋体"/>
      <w:color w:val="000000"/>
      <w:sz w:val="18"/>
      <w:szCs w:val="18"/>
      <w:u w:val="none"/>
    </w:rPr>
  </w:style>
  <w:style w:type="character" w:customStyle="1" w:styleId="1418">
    <w:name w:val="font31"/>
    <w:uiPriority w:val="0"/>
    <w:rPr>
      <w:rFonts w:hint="eastAsia" w:ascii="宋体" w:hAnsi="宋体" w:eastAsia="宋体"/>
      <w:color w:val="000000"/>
      <w:sz w:val="18"/>
      <w:szCs w:val="18"/>
      <w:u w:val="none"/>
      <w:vertAlign w:val="subscript"/>
    </w:rPr>
  </w:style>
  <w:style w:type="paragraph" w:customStyle="1" w:styleId="1419">
    <w:name w:val="不缩进"/>
    <w:basedOn w:val="1"/>
    <w:autoRedefine/>
    <w:qFormat/>
    <w:uiPriority w:val="0"/>
    <w:pPr>
      <w:autoSpaceDE w:val="0"/>
      <w:autoSpaceDN w:val="0"/>
      <w:adjustRightInd w:val="0"/>
      <w:snapToGrid w:val="0"/>
      <w:spacing w:before="20" w:after="20"/>
      <w:jc w:val="center"/>
    </w:pPr>
    <w:rPr>
      <w:sz w:val="22"/>
      <w:szCs w:val="20"/>
    </w:rPr>
  </w:style>
  <w:style w:type="character" w:customStyle="1" w:styleId="1420">
    <w:name w:val="Heading 4 Char"/>
    <w:locked/>
    <w:uiPriority w:val="0"/>
    <w:rPr>
      <w:rFonts w:ascii="Arial" w:hAnsi="Arial" w:eastAsia="黑体" w:cs="Times New Roman"/>
      <w:b/>
      <w:bCs/>
      <w:kern w:val="2"/>
      <w:sz w:val="28"/>
      <w:szCs w:val="28"/>
    </w:rPr>
  </w:style>
  <w:style w:type="character" w:customStyle="1" w:styleId="1421">
    <w:name w:val="Heading 3 Char"/>
    <w:locked/>
    <w:uiPriority w:val="0"/>
    <w:rPr>
      <w:rFonts w:cs="Times New Roman"/>
      <w:b/>
      <w:bCs/>
      <w:kern w:val="2"/>
      <w:sz w:val="32"/>
      <w:szCs w:val="32"/>
    </w:rPr>
  </w:style>
  <w:style w:type="character" w:customStyle="1" w:styleId="1422">
    <w:name w:val="Balloon Text Char"/>
    <w:semiHidden/>
    <w:locked/>
    <w:uiPriority w:val="0"/>
    <w:rPr>
      <w:rFonts w:cs="Times New Roman"/>
      <w:kern w:val="2"/>
      <w:sz w:val="18"/>
      <w:szCs w:val="18"/>
    </w:rPr>
  </w:style>
  <w:style w:type="character" w:customStyle="1" w:styleId="1423">
    <w:name w:val="样式 表头 + (符号) Times Char"/>
    <w:link w:val="1424"/>
    <w:uiPriority w:val="0"/>
    <w:rPr>
      <w:rFonts w:ascii="仿宋_GB2312" w:hAnsi="宋体" w:eastAsia="仿宋_GB2312"/>
      <w:bCs/>
      <w:color w:val="000000"/>
      <w:sz w:val="24"/>
      <w:szCs w:val="24"/>
    </w:rPr>
  </w:style>
  <w:style w:type="paragraph" w:customStyle="1" w:styleId="1424">
    <w:name w:val="样式 表头 + (符号) Times"/>
    <w:basedOn w:val="201"/>
    <w:link w:val="1423"/>
    <w:qFormat/>
    <w:uiPriority w:val="0"/>
    <w:pPr>
      <w:spacing w:beforeLines="0" w:line="400" w:lineRule="exact"/>
      <w:ind w:firstLine="240" w:firstLineChars="100"/>
      <w:jc w:val="right"/>
    </w:pPr>
    <w:rPr>
      <w:rFonts w:ascii="仿宋_GB2312" w:eastAsia="仿宋_GB2312"/>
      <w:bCs/>
      <w:color w:val="000000"/>
      <w:szCs w:val="24"/>
    </w:rPr>
  </w:style>
  <w:style w:type="paragraph" w:customStyle="1" w:styleId="1425">
    <w:name w:val="样式14"/>
    <w:basedOn w:val="1"/>
    <w:link w:val="1426"/>
    <w:qFormat/>
    <w:uiPriority w:val="0"/>
    <w:pPr>
      <w:spacing w:line="500" w:lineRule="exact"/>
      <w:ind w:firstLine="480" w:firstLineChars="200"/>
    </w:pPr>
    <w:rPr>
      <w:rFonts w:eastAsia="华文中宋"/>
      <w:color w:val="000000"/>
    </w:rPr>
  </w:style>
  <w:style w:type="character" w:customStyle="1" w:styleId="1426">
    <w:name w:val="样式14 Char"/>
    <w:link w:val="1425"/>
    <w:uiPriority w:val="0"/>
    <w:rPr>
      <w:rFonts w:eastAsia="华文中宋"/>
      <w:color w:val="000000"/>
      <w:kern w:val="2"/>
      <w:sz w:val="24"/>
      <w:szCs w:val="24"/>
    </w:rPr>
  </w:style>
  <w:style w:type="character" w:customStyle="1" w:styleId="1427">
    <w:name w:val="Heading 2 Char"/>
    <w:locked/>
    <w:uiPriority w:val="0"/>
    <w:rPr>
      <w:rFonts w:ascii="Arial" w:hAnsi="Arial" w:eastAsia="黑体" w:cs="Times New Roman"/>
      <w:b/>
      <w:bCs/>
      <w:kern w:val="10"/>
      <w:sz w:val="32"/>
      <w:szCs w:val="32"/>
    </w:rPr>
  </w:style>
  <w:style w:type="paragraph" w:customStyle="1" w:styleId="1428">
    <w:name w:val="文本框文字"/>
    <w:basedOn w:val="1"/>
    <w:next w:val="8"/>
    <w:autoRedefine/>
    <w:qFormat/>
    <w:uiPriority w:val="0"/>
    <w:pPr>
      <w:spacing w:line="240" w:lineRule="atLeast"/>
    </w:pPr>
    <w:rPr>
      <w:rFonts w:ascii="Arial" w:hAnsi="Arial"/>
    </w:rPr>
  </w:style>
  <w:style w:type="paragraph" w:customStyle="1" w:styleId="1429">
    <w:name w:val="表格目录"/>
    <w:basedOn w:val="1"/>
    <w:next w:val="1"/>
    <w:autoRedefine/>
    <w:qFormat/>
    <w:uiPriority w:val="0"/>
    <w:pPr>
      <w:spacing w:line="440" w:lineRule="exact"/>
      <w:jc w:val="center"/>
    </w:pPr>
    <w:rPr>
      <w:b/>
      <w:bCs/>
      <w:iCs/>
    </w:rPr>
  </w:style>
  <w:style w:type="paragraph" w:customStyle="1" w:styleId="1430">
    <w:name w:val="符号后文字"/>
    <w:basedOn w:val="8"/>
    <w:autoRedefine/>
    <w:qFormat/>
    <w:uiPriority w:val="0"/>
    <w:pPr>
      <w:spacing w:line="440" w:lineRule="exact"/>
      <w:ind w:firstLine="482"/>
    </w:pPr>
    <w:rPr>
      <w:b/>
      <w:color w:val="0000FF"/>
      <w:szCs w:val="24"/>
      <w:u w:val="wave"/>
    </w:rPr>
  </w:style>
  <w:style w:type="paragraph" w:customStyle="1" w:styleId="1431">
    <w:name w:val="索引"/>
    <w:basedOn w:val="82"/>
    <w:next w:val="8"/>
    <w:qFormat/>
    <w:uiPriority w:val="0"/>
    <w:pPr>
      <w:keepNext/>
      <w:keepLines/>
      <w:tabs>
        <w:tab w:val="left" w:pos="0"/>
        <w:tab w:val="left" w:pos="360"/>
      </w:tabs>
      <w:spacing w:line="400" w:lineRule="exact"/>
      <w:ind w:left="340" w:leftChars="0" w:hanging="340"/>
    </w:pPr>
    <w:rPr>
      <w:szCs w:val="20"/>
    </w:rPr>
  </w:style>
  <w:style w:type="character" w:customStyle="1" w:styleId="1432">
    <w:name w:val="unnamednews1"/>
    <w:uiPriority w:val="0"/>
    <w:rPr>
      <w:rFonts w:hint="default"/>
      <w:color w:val="000000"/>
      <w:spacing w:val="480"/>
      <w:sz w:val="28"/>
      <w:szCs w:val="28"/>
      <w:u w:val="none"/>
    </w:rPr>
  </w:style>
  <w:style w:type="paragraph" w:customStyle="1" w:styleId="1433">
    <w:name w:val="Style Heading 1 + Times New Roman Justified Before:  0.5 line"/>
    <w:basedOn w:val="2"/>
    <w:qFormat/>
    <w:uiPriority w:val="0"/>
    <w:pPr>
      <w:tabs>
        <w:tab w:val="left" w:pos="900"/>
      </w:tabs>
      <w:spacing w:beforeLines="50" w:afterLines="0" w:line="480" w:lineRule="auto"/>
      <w:ind w:left="900" w:hanging="420"/>
    </w:pPr>
    <w:rPr>
      <w:sz w:val="28"/>
      <w:szCs w:val="20"/>
    </w:rPr>
  </w:style>
  <w:style w:type="paragraph" w:customStyle="1" w:styleId="1434">
    <w:name w:val="标题3，小四黑体，6磅"/>
    <w:basedOn w:val="1"/>
    <w:qFormat/>
    <w:uiPriority w:val="0"/>
    <w:pPr>
      <w:keepNext/>
      <w:keepLines/>
      <w:spacing w:before="120" w:after="120" w:line="415" w:lineRule="auto"/>
      <w:outlineLvl w:val="2"/>
    </w:pPr>
    <w:rPr>
      <w:rFonts w:ascii="黑体" w:eastAsia="黑体"/>
      <w:b/>
      <w:bCs/>
      <w:szCs w:val="32"/>
    </w:rPr>
  </w:style>
  <w:style w:type="paragraph" w:customStyle="1" w:styleId="1435">
    <w:name w:val="标题2，四号黑体，13磅，"/>
    <w:basedOn w:val="3"/>
    <w:qFormat/>
    <w:uiPriority w:val="0"/>
    <w:pPr>
      <w:spacing w:beforeLines="0" w:afterLines="0" w:line="416" w:lineRule="auto"/>
    </w:pPr>
    <w:rPr>
      <w:rFonts w:ascii="黑体" w:hAnsi="Arial" w:eastAsia="黑体"/>
      <w:color w:val="FF00FF"/>
      <w:sz w:val="28"/>
    </w:rPr>
  </w:style>
  <w:style w:type="paragraph" w:customStyle="1" w:styleId="1436">
    <w:name w:val="标题1，三号黑体，居中，"/>
    <w:basedOn w:val="2"/>
    <w:qFormat/>
    <w:uiPriority w:val="0"/>
    <w:pPr>
      <w:spacing w:beforeLines="0" w:afterLines="0" w:line="578" w:lineRule="auto"/>
      <w:jc w:val="center"/>
    </w:pPr>
    <w:rPr>
      <w:rFonts w:ascii="黑体" w:eastAsia="黑体"/>
      <w:sz w:val="32"/>
    </w:rPr>
  </w:style>
  <w:style w:type="paragraph" w:customStyle="1" w:styleId="1437">
    <w:name w:val="样式 宋体 小四 左 行距: 固定值 22 磅"/>
    <w:basedOn w:val="1"/>
    <w:qFormat/>
    <w:uiPriority w:val="0"/>
    <w:pPr>
      <w:spacing w:line="440" w:lineRule="exact"/>
      <w:ind w:firstLine="200" w:firstLineChars="200"/>
    </w:pPr>
    <w:rPr>
      <w:szCs w:val="20"/>
    </w:rPr>
  </w:style>
  <w:style w:type="paragraph" w:customStyle="1" w:styleId="1438">
    <w:name w:val="样式 样式 样式1 + 首行缩进:  2 字符 + 首行缩进:  2 字符"/>
    <w:basedOn w:val="1"/>
    <w:autoRedefine/>
    <w:qFormat/>
    <w:uiPriority w:val="0"/>
    <w:pPr>
      <w:spacing w:line="0" w:lineRule="atLeast"/>
    </w:pPr>
    <w:rPr>
      <w:bCs/>
      <w:color w:val="FF0000"/>
    </w:rPr>
  </w:style>
  <w:style w:type="paragraph" w:customStyle="1" w:styleId="1439">
    <w:name w:val="方案正文样式"/>
    <w:basedOn w:val="1"/>
    <w:link w:val="1440"/>
    <w:qFormat/>
    <w:uiPriority w:val="0"/>
    <w:pPr>
      <w:adjustRightInd w:val="0"/>
      <w:snapToGrid w:val="0"/>
      <w:spacing w:line="360" w:lineRule="auto"/>
      <w:ind w:firstLine="454"/>
      <w:textAlignment w:val="baseline"/>
    </w:pPr>
    <w:rPr>
      <w:snapToGrid w:val="0"/>
    </w:rPr>
  </w:style>
  <w:style w:type="character" w:customStyle="1" w:styleId="1440">
    <w:name w:val="方案正文样式 Char"/>
    <w:link w:val="1439"/>
    <w:uiPriority w:val="0"/>
    <w:rPr>
      <w:snapToGrid w:val="0"/>
      <w:sz w:val="24"/>
      <w:szCs w:val="24"/>
    </w:rPr>
  </w:style>
  <w:style w:type="paragraph" w:customStyle="1" w:styleId="1441">
    <w:name w:val="Style Heading 2 Char标题 2 Char节(C+F2) + Left:  0 cm First line:..."/>
    <w:basedOn w:val="3"/>
    <w:qFormat/>
    <w:uiPriority w:val="0"/>
    <w:pPr>
      <w:tabs>
        <w:tab w:val="left" w:pos="576"/>
      </w:tabs>
      <w:spacing w:beforeLines="0" w:afterLines="0" w:line="500" w:lineRule="exact"/>
      <w:ind w:left="576" w:hanging="576"/>
    </w:pPr>
    <w:rPr>
      <w:rFonts w:ascii="Arial" w:hAnsi="Arial"/>
      <w:sz w:val="24"/>
      <w:szCs w:val="20"/>
    </w:rPr>
  </w:style>
  <w:style w:type="paragraph" w:customStyle="1" w:styleId="1442">
    <w:name w:val="Style Heading 3小节标题4(C+F3) + 宋体 Bold Before:  0.5 line"/>
    <w:basedOn w:val="4"/>
    <w:qFormat/>
    <w:uiPriority w:val="0"/>
    <w:pPr>
      <w:spacing w:before="120" w:afterLines="0" w:line="400" w:lineRule="exact"/>
    </w:pPr>
    <w:rPr>
      <w:sz w:val="24"/>
      <w:szCs w:val="20"/>
    </w:rPr>
  </w:style>
  <w:style w:type="paragraph" w:customStyle="1" w:styleId="1443">
    <w:name w:val="Style Style Heading 3小节标题4(C+F3) + 宋体 Bold Before:  0.5 line + Befo..."/>
    <w:basedOn w:val="1442"/>
    <w:qFormat/>
    <w:uiPriority w:val="0"/>
    <w:pPr>
      <w:tabs>
        <w:tab w:val="left" w:pos="720"/>
      </w:tabs>
      <w:spacing w:before="156"/>
      <w:ind w:left="720" w:hanging="720"/>
    </w:pPr>
  </w:style>
  <w:style w:type="paragraph" w:customStyle="1" w:styleId="1444">
    <w:name w:val="Style Heading 1 + Left Before:  0.5 line"/>
    <w:basedOn w:val="2"/>
    <w:next w:val="2"/>
    <w:link w:val="1445"/>
    <w:qFormat/>
    <w:uiPriority w:val="0"/>
    <w:pPr>
      <w:tabs>
        <w:tab w:val="left" w:pos="927"/>
      </w:tabs>
      <w:spacing w:beforeLines="50" w:afterLines="0" w:line="480" w:lineRule="auto"/>
      <w:ind w:left="711" w:hanging="144"/>
    </w:pPr>
    <w:rPr>
      <w:rFonts w:ascii="Arial" w:hAnsi="Arial"/>
      <w:b w:val="0"/>
      <w:sz w:val="28"/>
      <w:szCs w:val="24"/>
    </w:rPr>
  </w:style>
  <w:style w:type="character" w:customStyle="1" w:styleId="1445">
    <w:name w:val="Style Heading 1 + Left Before:  0.5 line Char"/>
    <w:link w:val="1444"/>
    <w:uiPriority w:val="0"/>
    <w:rPr>
      <w:rFonts w:ascii="Arial" w:hAnsi="Arial"/>
      <w:bCs/>
      <w:kern w:val="44"/>
      <w:sz w:val="28"/>
      <w:szCs w:val="24"/>
    </w:rPr>
  </w:style>
  <w:style w:type="paragraph" w:customStyle="1" w:styleId="1446">
    <w:name w:val="Style Heading 2 Char标题 2 Char节(C+F2)节，一宋三标题 2-王鹏节标题 1.11.1..."/>
    <w:basedOn w:val="3"/>
    <w:qFormat/>
    <w:uiPriority w:val="0"/>
    <w:pPr>
      <w:spacing w:beforeLines="0" w:afterLines="0" w:line="300" w:lineRule="auto"/>
    </w:pPr>
    <w:rPr>
      <w:smallCaps/>
      <w:kern w:val="28"/>
      <w:sz w:val="24"/>
      <w:szCs w:val="20"/>
    </w:rPr>
  </w:style>
  <w:style w:type="paragraph" w:customStyle="1" w:styleId="1447">
    <w:name w:val="Style Style Heading 2 Char标题 2 Char节(C+F2)节，一宋三标题 2-王鹏节标题 1.11.1......"/>
    <w:basedOn w:val="1446"/>
    <w:qFormat/>
    <w:uiPriority w:val="0"/>
    <w:pPr>
      <w:tabs>
        <w:tab w:val="left" w:pos="851"/>
      </w:tabs>
      <w:ind w:left="567" w:hanging="567"/>
    </w:pPr>
    <w:rPr>
      <w:sz w:val="28"/>
    </w:rPr>
  </w:style>
  <w:style w:type="paragraph" w:customStyle="1" w:styleId="1448">
    <w:name w:val="Style Heading 1H1标题 1-王鹏章标题 1-*+h11st levelSection Headl1b..."/>
    <w:basedOn w:val="2"/>
    <w:qFormat/>
    <w:uiPriority w:val="0"/>
    <w:pPr>
      <w:tabs>
        <w:tab w:val="left" w:pos="567"/>
      </w:tabs>
      <w:spacing w:beforeLines="50" w:afterLines="0" w:line="300" w:lineRule="auto"/>
      <w:ind w:left="432" w:hanging="432"/>
    </w:pPr>
    <w:rPr>
      <w:caps/>
      <w:kern w:val="28"/>
      <w:sz w:val="30"/>
      <w:szCs w:val="20"/>
    </w:rPr>
  </w:style>
  <w:style w:type="character" w:customStyle="1" w:styleId="1449">
    <w:name w:val="表文字 Char2"/>
    <w:uiPriority w:val="0"/>
    <w:rPr>
      <w:rFonts w:eastAsia="宋体"/>
      <w:kern w:val="2"/>
      <w:sz w:val="21"/>
      <w:szCs w:val="21"/>
      <w:lang w:val="en-US" w:eastAsia="zh-CN" w:bidi="ar-SA"/>
    </w:rPr>
  </w:style>
  <w:style w:type="paragraph" w:customStyle="1" w:styleId="1450">
    <w:name w:val="封面工程项目名称"/>
    <w:basedOn w:val="1"/>
    <w:qFormat/>
    <w:uiPriority w:val="0"/>
    <w:pPr>
      <w:spacing w:line="360" w:lineRule="auto"/>
      <w:jc w:val="center"/>
    </w:pPr>
    <w:rPr>
      <w:rFonts w:eastAsia="楷体_GB2312"/>
      <w:b/>
      <w:bCs/>
      <w:spacing w:val="24"/>
      <w:sz w:val="52"/>
      <w:szCs w:val="20"/>
    </w:rPr>
  </w:style>
  <w:style w:type="paragraph" w:customStyle="1" w:styleId="1451">
    <w:name w:val="环境影响报告书"/>
    <w:basedOn w:val="1"/>
    <w:next w:val="1"/>
    <w:qFormat/>
    <w:uiPriority w:val="0"/>
    <w:pPr>
      <w:jc w:val="center"/>
    </w:pPr>
    <w:rPr>
      <w:rFonts w:eastAsia="黑体"/>
      <w:b/>
      <w:bCs/>
      <w:spacing w:val="30"/>
      <w:sz w:val="52"/>
      <w:szCs w:val="20"/>
    </w:rPr>
  </w:style>
  <w:style w:type="paragraph" w:customStyle="1" w:styleId="1452">
    <w:name w:val="正文首行缩进 2 + Times New Roman"/>
    <w:basedOn w:val="1"/>
    <w:link w:val="1453"/>
    <w:autoRedefine/>
    <w:qFormat/>
    <w:uiPriority w:val="0"/>
    <w:pPr>
      <w:tabs>
        <w:tab w:val="left" w:pos="-57"/>
        <w:tab w:val="left" w:pos="0"/>
      </w:tabs>
      <w:autoSpaceDE w:val="0"/>
      <w:autoSpaceDN w:val="0"/>
      <w:spacing w:line="360" w:lineRule="auto"/>
      <w:ind w:firstLine="360" w:firstLineChars="200"/>
    </w:pPr>
    <w:rPr>
      <w:color w:val="000000"/>
      <w:sz w:val="18"/>
      <w:szCs w:val="18"/>
    </w:rPr>
  </w:style>
  <w:style w:type="character" w:customStyle="1" w:styleId="1453">
    <w:name w:val="正文首行缩进 2 + Times New Roman Char"/>
    <w:link w:val="1452"/>
    <w:uiPriority w:val="0"/>
    <w:rPr>
      <w:rFonts w:ascii="宋体" w:hAnsi="宋体"/>
      <w:color w:val="000000"/>
      <w:sz w:val="18"/>
      <w:szCs w:val="18"/>
    </w:rPr>
  </w:style>
  <w:style w:type="character" w:customStyle="1" w:styleId="1454">
    <w:name w:val="表格备注"/>
    <w:uiPriority w:val="0"/>
    <w:rPr>
      <w:rFonts w:ascii="华文楷体" w:hAnsi="华文楷体" w:eastAsia="楷体_GB2312"/>
      <w:kern w:val="0"/>
      <w:sz w:val="21"/>
    </w:rPr>
  </w:style>
  <w:style w:type="paragraph" w:customStyle="1" w:styleId="1455">
    <w:name w:val="表格文字1"/>
    <w:basedOn w:val="1"/>
    <w:autoRedefine/>
    <w:qFormat/>
    <w:uiPriority w:val="0"/>
    <w:pPr>
      <w:tabs>
        <w:tab w:val="left" w:pos="277"/>
        <w:tab w:val="left" w:pos="600"/>
        <w:tab w:val="left" w:pos="780"/>
        <w:tab w:val="left" w:pos="2517"/>
      </w:tabs>
      <w:adjustRightInd w:val="0"/>
      <w:snapToGrid w:val="0"/>
      <w:jc w:val="center"/>
      <w:textAlignment w:val="baseline"/>
    </w:pPr>
    <w:rPr>
      <w:i/>
      <w:spacing w:val="5"/>
      <w:szCs w:val="21"/>
    </w:rPr>
  </w:style>
  <w:style w:type="paragraph" w:customStyle="1" w:styleId="1456">
    <w:name w:val="送审/报批稿"/>
    <w:basedOn w:val="1"/>
    <w:next w:val="1"/>
    <w:qFormat/>
    <w:uiPriority w:val="0"/>
    <w:pPr>
      <w:jc w:val="center"/>
    </w:pPr>
    <w:rPr>
      <w:rFonts w:ascii="华文新魏" w:eastAsia="华文新魏"/>
      <w:sz w:val="44"/>
      <w:szCs w:val="20"/>
    </w:rPr>
  </w:style>
  <w:style w:type="paragraph" w:customStyle="1" w:styleId="1457">
    <w:name w:val="环科院名称"/>
    <w:basedOn w:val="1"/>
    <w:qFormat/>
    <w:uiPriority w:val="0"/>
    <w:pPr>
      <w:ind w:left="-7" w:leftChars="-10" w:hanging="14" w:hangingChars="4"/>
      <w:jc w:val="center"/>
    </w:pPr>
    <w:rPr>
      <w:rFonts w:ascii="楷体_GB2312" w:hAnsi="华文楷体" w:eastAsia="楷体_GB2312"/>
      <w:b/>
      <w:bCs/>
      <w:spacing w:val="20"/>
      <w:sz w:val="32"/>
      <w:szCs w:val="20"/>
    </w:rPr>
  </w:style>
  <w:style w:type="paragraph" w:customStyle="1" w:styleId="1458">
    <w:name w:val="环科院英文名称"/>
    <w:basedOn w:val="1"/>
    <w:qFormat/>
    <w:uiPriority w:val="0"/>
    <w:pPr>
      <w:pBdr>
        <w:top w:val="single" w:color="auto" w:sz="4" w:space="1"/>
        <w:between w:val="single" w:color="auto" w:sz="4" w:space="1"/>
      </w:pBdr>
      <w:ind w:firstLine="21" w:firstLineChars="10"/>
      <w:jc w:val="center"/>
    </w:pPr>
    <w:rPr>
      <w:szCs w:val="20"/>
    </w:rPr>
  </w:style>
  <w:style w:type="paragraph" w:customStyle="1" w:styleId="1459">
    <w:name w:val="AnnexLetter"/>
    <w:basedOn w:val="1"/>
    <w:qFormat/>
    <w:uiPriority w:val="0"/>
    <w:pPr>
      <w:overflowPunct w:val="0"/>
      <w:autoSpaceDE w:val="0"/>
      <w:autoSpaceDN w:val="0"/>
      <w:adjustRightInd w:val="0"/>
      <w:spacing w:before="2400" w:line="264" w:lineRule="auto"/>
      <w:ind w:left="1418" w:right="1418"/>
      <w:textAlignment w:val="baseline"/>
    </w:pPr>
    <w:rPr>
      <w:rFonts w:ascii="Book Antiqua" w:hAnsi="Book Antiqua"/>
      <w:sz w:val="22"/>
      <w:szCs w:val="20"/>
      <w:lang w:val="en-GB"/>
    </w:rPr>
  </w:style>
  <w:style w:type="paragraph" w:customStyle="1" w:styleId="1460">
    <w:name w:val="AnnexTitle"/>
    <w:basedOn w:val="1"/>
    <w:next w:val="1"/>
    <w:qFormat/>
    <w:uiPriority w:val="0"/>
    <w:pPr>
      <w:overflowPunct w:val="0"/>
      <w:autoSpaceDE w:val="0"/>
      <w:autoSpaceDN w:val="0"/>
      <w:adjustRightInd w:val="0"/>
      <w:spacing w:before="720" w:after="16000" w:line="264" w:lineRule="auto"/>
      <w:ind w:left="1418" w:right="1418"/>
      <w:textAlignment w:val="baseline"/>
    </w:pPr>
    <w:rPr>
      <w:rFonts w:ascii="Book Antiqua" w:hAnsi="Book Antiqua"/>
      <w:sz w:val="36"/>
      <w:szCs w:val="20"/>
      <w:lang w:val="en-GB"/>
    </w:rPr>
  </w:style>
  <w:style w:type="paragraph" w:customStyle="1" w:styleId="1461">
    <w:name w:val="CoverClientName"/>
    <w:basedOn w:val="1"/>
    <w:next w:val="1"/>
    <w:qFormat/>
    <w:uiPriority w:val="0"/>
    <w:pPr>
      <w:overflowPunct w:val="0"/>
      <w:autoSpaceDE w:val="0"/>
      <w:autoSpaceDN w:val="0"/>
      <w:adjustRightInd w:val="0"/>
      <w:spacing w:after="480" w:line="264" w:lineRule="auto"/>
      <w:textAlignment w:val="baseline"/>
    </w:pPr>
    <w:rPr>
      <w:rFonts w:ascii="Book Antiqua" w:hAnsi="Book Antiqua"/>
      <w:sz w:val="22"/>
      <w:szCs w:val="20"/>
      <w:lang w:val="en-GB"/>
    </w:rPr>
  </w:style>
  <w:style w:type="paragraph" w:customStyle="1" w:styleId="1462">
    <w:name w:val="CoverDate"/>
    <w:basedOn w:val="1"/>
    <w:qFormat/>
    <w:uiPriority w:val="0"/>
    <w:pPr>
      <w:overflowPunct w:val="0"/>
      <w:autoSpaceDE w:val="0"/>
      <w:autoSpaceDN w:val="0"/>
      <w:adjustRightInd w:val="0"/>
      <w:spacing w:before="1200" w:line="264" w:lineRule="auto"/>
      <w:textAlignment w:val="baseline"/>
    </w:pPr>
    <w:rPr>
      <w:rFonts w:ascii="Book Antiqua" w:hAnsi="Book Antiqua"/>
      <w:sz w:val="22"/>
      <w:szCs w:val="20"/>
      <w:lang w:val="en-GB"/>
    </w:rPr>
  </w:style>
  <w:style w:type="paragraph" w:customStyle="1" w:styleId="1463">
    <w:name w:val="CoverMainTitle"/>
    <w:basedOn w:val="1"/>
    <w:next w:val="1"/>
    <w:qFormat/>
    <w:uiPriority w:val="0"/>
    <w:pPr>
      <w:overflowPunct w:val="0"/>
      <w:autoSpaceDE w:val="0"/>
      <w:autoSpaceDN w:val="0"/>
      <w:adjustRightInd w:val="0"/>
      <w:spacing w:before="480" w:line="264" w:lineRule="auto"/>
      <w:textAlignment w:val="baseline"/>
    </w:pPr>
    <w:rPr>
      <w:rFonts w:ascii="Book Antiqua" w:hAnsi="Book Antiqua"/>
      <w:sz w:val="28"/>
      <w:szCs w:val="20"/>
      <w:lang w:val="en-GB"/>
    </w:rPr>
  </w:style>
  <w:style w:type="paragraph" w:customStyle="1" w:styleId="1464">
    <w:name w:val="CoverReverseHeader"/>
    <w:basedOn w:val="1"/>
    <w:next w:val="1461"/>
    <w:qFormat/>
    <w:uiPriority w:val="0"/>
    <w:pPr>
      <w:pBdr>
        <w:top w:val="single" w:color="auto" w:sz="6" w:space="0"/>
        <w:left w:val="single" w:color="auto" w:sz="6" w:space="0"/>
        <w:bottom w:val="single" w:color="auto" w:sz="6" w:space="0"/>
        <w:right w:val="single" w:color="auto" w:sz="6" w:space="0"/>
      </w:pBdr>
      <w:shd w:val="pct90" w:color="000000" w:fill="000000"/>
      <w:overflowPunct w:val="0"/>
      <w:autoSpaceDE w:val="0"/>
      <w:autoSpaceDN w:val="0"/>
      <w:adjustRightInd w:val="0"/>
      <w:spacing w:after="2280" w:line="264" w:lineRule="auto"/>
      <w:jc w:val="center"/>
      <w:textAlignment w:val="baseline"/>
    </w:pPr>
    <w:rPr>
      <w:rFonts w:ascii="Book Antiqua" w:hAnsi="Book Antiqua"/>
      <w:caps/>
      <w:color w:val="FFFFFF"/>
      <w:sz w:val="22"/>
      <w:szCs w:val="20"/>
      <w:lang w:val="en-GB"/>
    </w:rPr>
  </w:style>
  <w:style w:type="paragraph" w:customStyle="1" w:styleId="1465">
    <w:name w:val="Graphics Text"/>
    <w:basedOn w:val="1"/>
    <w:qFormat/>
    <w:uiPriority w:val="0"/>
    <w:pPr>
      <w:overflowPunct w:val="0"/>
      <w:autoSpaceDE w:val="0"/>
      <w:autoSpaceDN w:val="0"/>
      <w:adjustRightInd w:val="0"/>
      <w:spacing w:line="264" w:lineRule="auto"/>
      <w:textAlignment w:val="baseline"/>
    </w:pPr>
    <w:rPr>
      <w:rFonts w:ascii="Arial Narrow" w:hAnsi="Arial Narrow"/>
      <w:sz w:val="18"/>
      <w:szCs w:val="20"/>
      <w:lang w:val="en-GB"/>
    </w:rPr>
  </w:style>
  <w:style w:type="paragraph" w:customStyle="1" w:styleId="1466">
    <w:name w:val="Heading4"/>
    <w:basedOn w:val="1"/>
    <w:qFormat/>
    <w:uiPriority w:val="0"/>
    <w:pPr>
      <w:overflowPunct w:val="0"/>
      <w:autoSpaceDE w:val="0"/>
      <w:autoSpaceDN w:val="0"/>
      <w:adjustRightInd w:val="0"/>
      <w:spacing w:after="240" w:line="264" w:lineRule="auto"/>
      <w:textAlignment w:val="baseline"/>
    </w:pPr>
    <w:rPr>
      <w:rFonts w:ascii="Book Antiqua" w:hAnsi="Book Antiqua"/>
      <w:i/>
      <w:sz w:val="22"/>
      <w:szCs w:val="20"/>
      <w:lang w:val="en-GB"/>
    </w:rPr>
  </w:style>
  <w:style w:type="paragraph" w:customStyle="1" w:styleId="1467">
    <w:name w:val="MarginRelease"/>
    <w:basedOn w:val="1"/>
    <w:next w:val="1"/>
    <w:qFormat/>
    <w:uiPriority w:val="0"/>
    <w:pPr>
      <w:overflowPunct w:val="0"/>
      <w:autoSpaceDE w:val="0"/>
      <w:autoSpaceDN w:val="0"/>
      <w:adjustRightInd w:val="0"/>
      <w:spacing w:line="264" w:lineRule="auto"/>
      <w:ind w:hanging="1418"/>
      <w:textAlignment w:val="baseline"/>
    </w:pPr>
    <w:rPr>
      <w:rFonts w:ascii="Book Antiqua" w:hAnsi="Book Antiqua"/>
      <w:sz w:val="22"/>
      <w:szCs w:val="20"/>
      <w:lang w:val="en-GB"/>
    </w:rPr>
  </w:style>
  <w:style w:type="paragraph" w:customStyle="1" w:styleId="1468">
    <w:name w:val="OtherHeader"/>
    <w:basedOn w:val="56"/>
    <w:next w:val="1"/>
    <w:qFormat/>
    <w:uiPriority w:val="0"/>
    <w:pPr>
      <w:pBdr>
        <w:bottom w:val="none" w:color="auto" w:sz="0" w:space="0"/>
      </w:pBdr>
      <w:tabs>
        <w:tab w:val="left" w:pos="4153"/>
        <w:tab w:val="right" w:pos="7655"/>
      </w:tabs>
      <w:overflowPunct w:val="0"/>
      <w:autoSpaceDE w:val="0"/>
      <w:autoSpaceDN w:val="0"/>
      <w:adjustRightInd w:val="0"/>
      <w:snapToGrid/>
      <w:spacing w:before="360" w:after="240" w:line="264" w:lineRule="auto"/>
      <w:jc w:val="left"/>
      <w:textAlignment w:val="baseline"/>
    </w:pPr>
    <w:rPr>
      <w:rFonts w:ascii="Book Antiqua" w:hAnsi="Book Antiqua"/>
      <w:b/>
      <w:i/>
      <w:caps/>
      <w:sz w:val="22"/>
      <w:szCs w:val="20"/>
      <w:lang w:val="en-GB"/>
    </w:rPr>
  </w:style>
  <w:style w:type="paragraph" w:customStyle="1" w:styleId="1469">
    <w:name w:val="Subtext"/>
    <w:basedOn w:val="1"/>
    <w:qFormat/>
    <w:uiPriority w:val="0"/>
    <w:pPr>
      <w:overflowPunct w:val="0"/>
      <w:autoSpaceDE w:val="0"/>
      <w:autoSpaceDN w:val="0"/>
      <w:adjustRightInd w:val="0"/>
      <w:spacing w:line="264" w:lineRule="auto"/>
      <w:textAlignment w:val="baseline"/>
    </w:pPr>
    <w:rPr>
      <w:rFonts w:ascii="Book Antiqua" w:hAnsi="Book Antiqua"/>
      <w:sz w:val="18"/>
      <w:szCs w:val="20"/>
      <w:lang w:val="en-GB"/>
    </w:rPr>
  </w:style>
  <w:style w:type="paragraph" w:customStyle="1" w:styleId="1470">
    <w:name w:val="XecSumm"/>
    <w:basedOn w:val="1"/>
    <w:qFormat/>
    <w:uiPriority w:val="0"/>
    <w:pPr>
      <w:overflowPunct w:val="0"/>
      <w:autoSpaceDE w:val="0"/>
      <w:autoSpaceDN w:val="0"/>
      <w:adjustRightInd w:val="0"/>
      <w:spacing w:line="264" w:lineRule="auto"/>
      <w:textAlignment w:val="baseline"/>
    </w:pPr>
    <w:rPr>
      <w:rFonts w:ascii="Book Antiqua" w:hAnsi="Book Antiqua"/>
      <w:i/>
      <w:sz w:val="22"/>
      <w:szCs w:val="20"/>
      <w:lang w:val="en-GB"/>
    </w:rPr>
  </w:style>
  <w:style w:type="character" w:customStyle="1" w:styleId="1471">
    <w:name w:val="XFootNote"/>
    <w:uiPriority w:val="0"/>
    <w:rPr>
      <w:rFonts w:ascii="Book Antiqua" w:hAnsi="Book Antiqua"/>
      <w:position w:val="6"/>
      <w:sz w:val="14"/>
      <w:vertAlign w:val="baseline"/>
    </w:rPr>
  </w:style>
  <w:style w:type="character" w:customStyle="1" w:styleId="1472">
    <w:name w:val="XFootNoteText"/>
    <w:uiPriority w:val="0"/>
    <w:rPr>
      <w:rFonts w:ascii="Book Antiqua" w:hAnsi="Book Antiqua"/>
      <w:position w:val="0"/>
      <w:sz w:val="14"/>
      <w:vertAlign w:val="baseline"/>
    </w:rPr>
  </w:style>
  <w:style w:type="paragraph" w:customStyle="1" w:styleId="1473">
    <w:name w:val="Style Heading 2§1.1§1.1.H21标题 2 Char Char节标题 1.1（一）Underrub...3"/>
    <w:basedOn w:val="3"/>
    <w:autoRedefine/>
    <w:qFormat/>
    <w:uiPriority w:val="0"/>
    <w:pPr>
      <w:tabs>
        <w:tab w:val="left" w:pos="-1418"/>
        <w:tab w:val="left" w:pos="2835"/>
      </w:tabs>
      <w:spacing w:beforeLines="0" w:afterLines="0"/>
      <w:ind w:hanging="1412"/>
    </w:pPr>
    <w:rPr>
      <w:iCs/>
      <w:smallCaps/>
      <w:kern w:val="28"/>
      <w:sz w:val="28"/>
      <w:szCs w:val="28"/>
    </w:rPr>
  </w:style>
  <w:style w:type="paragraph" w:customStyle="1" w:styleId="1474">
    <w:name w:val="Style Heading 3§1.1.1.H3标题 3zym条标题1.1.1标题 3 Charh3level_3PI..."/>
    <w:basedOn w:val="4"/>
    <w:autoRedefine/>
    <w:qFormat/>
    <w:uiPriority w:val="0"/>
    <w:pPr>
      <w:tabs>
        <w:tab w:val="left" w:pos="-1418"/>
        <w:tab w:val="left" w:pos="851"/>
      </w:tabs>
      <w:spacing w:beforeLines="0" w:afterLines="0"/>
      <w:ind w:left="720" w:hanging="720"/>
    </w:pPr>
    <w:rPr>
      <w:rFonts w:ascii="黑体" w:eastAsia="黑体"/>
      <w:iCs/>
      <w:kern w:val="28"/>
      <w:sz w:val="24"/>
      <w:szCs w:val="24"/>
    </w:rPr>
  </w:style>
  <w:style w:type="paragraph" w:customStyle="1" w:styleId="1475">
    <w:name w:val="河石管道 表头"/>
    <w:autoRedefine/>
    <w:qFormat/>
    <w:uiPriority w:val="0"/>
    <w:pPr>
      <w:jc w:val="center"/>
    </w:pPr>
    <w:rPr>
      <w:rFonts w:ascii="Times New Roman" w:hAnsi="Times New Roman" w:eastAsia="宋体" w:cs="Times New Roman"/>
      <w:b/>
      <w:bCs/>
      <w:sz w:val="18"/>
      <w:lang w:val="en-US" w:eastAsia="zh-CN" w:bidi="ar-SA"/>
    </w:rPr>
  </w:style>
  <w:style w:type="character" w:customStyle="1" w:styleId="1476">
    <w:name w:val="HTML 地址 Char"/>
    <w:link w:val="41"/>
    <w:semiHidden/>
    <w:uiPriority w:val="0"/>
    <w:rPr>
      <w:i/>
      <w:iCs/>
      <w:kern w:val="2"/>
      <w:sz w:val="21"/>
      <w:szCs w:val="24"/>
    </w:rPr>
  </w:style>
  <w:style w:type="character" w:customStyle="1" w:styleId="1477">
    <w:name w:val="电子邮件签名 Char"/>
    <w:link w:val="20"/>
    <w:semiHidden/>
    <w:uiPriority w:val="0"/>
    <w:rPr>
      <w:kern w:val="2"/>
      <w:sz w:val="21"/>
      <w:szCs w:val="24"/>
    </w:rPr>
  </w:style>
  <w:style w:type="character" w:customStyle="1" w:styleId="1478">
    <w:name w:val="签名 Char"/>
    <w:link w:val="57"/>
    <w:semiHidden/>
    <w:uiPriority w:val="0"/>
    <w:rPr>
      <w:kern w:val="2"/>
      <w:sz w:val="21"/>
      <w:szCs w:val="24"/>
    </w:rPr>
  </w:style>
  <w:style w:type="character" w:customStyle="1" w:styleId="1479">
    <w:name w:val="信息标题 Char"/>
    <w:link w:val="78"/>
    <w:semiHidden/>
    <w:uiPriority w:val="0"/>
    <w:rPr>
      <w:rFonts w:ascii="Arial" w:hAnsi="Arial" w:cs="Arial"/>
      <w:kern w:val="2"/>
      <w:sz w:val="21"/>
      <w:szCs w:val="24"/>
      <w:shd w:val="pct20" w:color="auto" w:fill="auto"/>
    </w:rPr>
  </w:style>
  <w:style w:type="paragraph" w:customStyle="1" w:styleId="1480">
    <w:name w:val="小四正文"/>
    <w:link w:val="1481"/>
    <w:autoRedefine/>
    <w:qFormat/>
    <w:uiPriority w:val="0"/>
    <w:pPr>
      <w:spacing w:line="480" w:lineRule="exac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1481">
    <w:name w:val="小四正文 Char"/>
    <w:link w:val="1480"/>
    <w:uiPriority w:val="0"/>
    <w:rPr>
      <w:kern w:val="2"/>
      <w:sz w:val="24"/>
      <w:szCs w:val="24"/>
      <w:lang w:bidi="ar-SA"/>
    </w:rPr>
  </w:style>
  <w:style w:type="paragraph" w:customStyle="1" w:styleId="1482">
    <w:name w:val="报告1"/>
    <w:basedOn w:val="1"/>
    <w:qFormat/>
    <w:uiPriority w:val="0"/>
    <w:pPr>
      <w:spacing w:line="360" w:lineRule="auto"/>
      <w:ind w:firstLine="505"/>
    </w:pPr>
    <w:rPr>
      <w:kern w:val="24"/>
    </w:rPr>
  </w:style>
  <w:style w:type="paragraph" w:customStyle="1" w:styleId="1483">
    <w:name w:val="South Sulige Main Text"/>
    <w:basedOn w:val="8"/>
    <w:autoRedefine/>
    <w:qFormat/>
    <w:uiPriority w:val="0"/>
    <w:pPr>
      <w:spacing w:beforeLines="50" w:afterLines="50" w:line="360" w:lineRule="auto"/>
      <w:ind w:firstLine="480"/>
    </w:pPr>
    <w:rPr>
      <w:snapToGrid w:val="0"/>
      <w:kern w:val="28"/>
    </w:rPr>
  </w:style>
  <w:style w:type="paragraph" w:customStyle="1" w:styleId="1484">
    <w:name w:val="报告表格"/>
    <w:basedOn w:val="1"/>
    <w:qFormat/>
    <w:uiPriority w:val="0"/>
    <w:pPr>
      <w:spacing w:before="40" w:after="40"/>
      <w:jc w:val="center"/>
      <w:textAlignment w:val="bottom"/>
    </w:pPr>
  </w:style>
  <w:style w:type="character" w:customStyle="1" w:styleId="1485">
    <w:name w:val="论文正文文字 Char"/>
    <w:link w:val="1486"/>
    <w:uiPriority w:val="0"/>
    <w:rPr>
      <w:rFonts w:cs="宋体"/>
      <w:sz w:val="24"/>
      <w:szCs w:val="24"/>
    </w:rPr>
  </w:style>
  <w:style w:type="paragraph" w:customStyle="1" w:styleId="1486">
    <w:name w:val="论文正文文字"/>
    <w:basedOn w:val="1"/>
    <w:link w:val="1485"/>
    <w:qFormat/>
    <w:uiPriority w:val="0"/>
    <w:pPr>
      <w:spacing w:line="400" w:lineRule="exact"/>
      <w:ind w:firstLine="200" w:firstLineChars="200"/>
    </w:pPr>
  </w:style>
  <w:style w:type="character" w:customStyle="1" w:styleId="1487">
    <w:name w:val="文本块 Char"/>
    <w:link w:val="39"/>
    <w:uiPriority w:val="0"/>
    <w:rPr>
      <w:spacing w:val="26"/>
      <w:kern w:val="2"/>
      <w:sz w:val="28"/>
    </w:rPr>
  </w:style>
  <w:style w:type="character" w:customStyle="1" w:styleId="1488">
    <w:name w:val="cn1"/>
    <w:uiPriority w:val="0"/>
    <w:rPr>
      <w:spacing w:val="360"/>
      <w:sz w:val="21"/>
      <w:szCs w:val="21"/>
    </w:rPr>
  </w:style>
  <w:style w:type="character" w:customStyle="1" w:styleId="1489">
    <w:name w:val="题注 Char"/>
    <w:link w:val="22"/>
    <w:uiPriority w:val="0"/>
    <w:rPr>
      <w:rFonts w:ascii="Arial" w:hAnsi="Arial" w:eastAsia="黑体" w:cs="Arial"/>
      <w:kern w:val="2"/>
    </w:rPr>
  </w:style>
  <w:style w:type="character" w:customStyle="1" w:styleId="1490">
    <w:name w:val="正文文字 Char Char1"/>
    <w:uiPriority w:val="0"/>
    <w:rPr>
      <w:rFonts w:eastAsia="宋体"/>
      <w:kern w:val="2"/>
      <w:sz w:val="21"/>
      <w:szCs w:val="24"/>
      <w:lang w:val="en-US" w:eastAsia="zh-CN" w:bidi="ar-SA"/>
    </w:rPr>
  </w:style>
  <w:style w:type="character" w:customStyle="1" w:styleId="1491">
    <w:name w:val="正文首行缩进 Char1 Char Char3"/>
    <w:uiPriority w:val="0"/>
    <w:rPr>
      <w:rFonts w:eastAsia="宋体"/>
      <w:kern w:val="2"/>
      <w:sz w:val="21"/>
      <w:szCs w:val="24"/>
      <w:lang w:val="en-US" w:eastAsia="zh-CN" w:bidi="ar-SA"/>
    </w:rPr>
  </w:style>
  <w:style w:type="paragraph" w:customStyle="1" w:styleId="1492">
    <w:name w:val="样式 标题 3 + 段前: 0.3 行"/>
    <w:basedOn w:val="4"/>
    <w:next w:val="1"/>
    <w:autoRedefine/>
    <w:qFormat/>
    <w:uiPriority w:val="0"/>
    <w:pPr>
      <w:keepNext w:val="0"/>
      <w:spacing w:beforeLines="0" w:afterLines="0"/>
      <w:ind w:firstLine="493"/>
    </w:pPr>
    <w:rPr>
      <w:b w:val="0"/>
      <w:bCs w:val="0"/>
      <w:spacing w:val="16"/>
      <w:w w:val="95"/>
      <w:sz w:val="24"/>
      <w:szCs w:val="24"/>
    </w:rPr>
  </w:style>
  <w:style w:type="paragraph" w:customStyle="1" w:styleId="1493">
    <w:name w:val="样式 正文首行缩进 + 首行缩进:  2 字符1"/>
    <w:basedOn w:val="379"/>
    <w:qFormat/>
    <w:uiPriority w:val="0"/>
  </w:style>
  <w:style w:type="character" w:customStyle="1" w:styleId="1494">
    <w:name w:val="正文首行缩进1 Char"/>
    <w:uiPriority w:val="0"/>
    <w:rPr>
      <w:rFonts w:eastAsia="宋体"/>
      <w:snapToGrid/>
      <w:spacing w:val="10"/>
      <w:kern w:val="24"/>
      <w:sz w:val="28"/>
      <w:szCs w:val="28"/>
      <w:lang w:val="en-US" w:eastAsia="zh-CN" w:bidi="ar-SA"/>
    </w:rPr>
  </w:style>
  <w:style w:type="paragraph" w:customStyle="1" w:styleId="1495">
    <w:name w:val="标题2，第二标题"/>
    <w:basedOn w:val="379"/>
    <w:next w:val="379"/>
    <w:autoRedefine/>
    <w:qFormat/>
    <w:uiPriority w:val="0"/>
    <w:pPr>
      <w:tabs>
        <w:tab w:val="left" w:pos="628"/>
        <w:tab w:val="left" w:pos="1727"/>
        <w:tab w:val="left" w:pos="1884"/>
        <w:tab w:val="left" w:pos="2660"/>
        <w:tab w:val="left" w:pos="5460"/>
      </w:tabs>
      <w:snapToGrid w:val="0"/>
      <w:spacing w:beforeLines="30" w:afterLines="30" w:line="440" w:lineRule="exact"/>
      <w:ind w:firstLine="0" w:firstLineChars="0"/>
      <w:outlineLvl w:val="1"/>
    </w:pPr>
    <w:rPr>
      <w:rFonts w:eastAsia="黑体"/>
      <w:sz w:val="28"/>
      <w:szCs w:val="20"/>
    </w:rPr>
  </w:style>
  <w:style w:type="paragraph" w:customStyle="1" w:styleId="1496">
    <w:name w:val="表格文字居中"/>
    <w:basedOn w:val="379"/>
    <w:qFormat/>
    <w:uiPriority w:val="0"/>
    <w:pPr>
      <w:tabs>
        <w:tab w:val="left" w:pos="628"/>
        <w:tab w:val="left" w:pos="1727"/>
        <w:tab w:val="left" w:pos="1884"/>
      </w:tabs>
      <w:snapToGrid w:val="0"/>
      <w:spacing w:line="240" w:lineRule="auto"/>
      <w:ind w:firstLine="0" w:firstLineChars="0"/>
      <w:jc w:val="center"/>
    </w:pPr>
    <w:rPr>
      <w:bCs/>
      <w:sz w:val="18"/>
      <w:szCs w:val="18"/>
    </w:rPr>
  </w:style>
  <w:style w:type="paragraph" w:customStyle="1" w:styleId="1497">
    <w:name w:val="样式 标题 3 + 左侧:  0 厘米 首行缩进:  0 厘米"/>
    <w:basedOn w:val="4"/>
    <w:autoRedefine/>
    <w:qFormat/>
    <w:uiPriority w:val="0"/>
    <w:pPr>
      <w:spacing w:beforeLines="0" w:afterLines="0" w:line="300" w:lineRule="auto"/>
    </w:pPr>
    <w:rPr>
      <w:rFonts w:ascii="Arial" w:hAnsi="Arial" w:eastAsia="黑体"/>
      <w:b w:val="0"/>
      <w:bCs w:val="0"/>
      <w:sz w:val="30"/>
      <w:szCs w:val="24"/>
    </w:rPr>
  </w:style>
  <w:style w:type="paragraph" w:customStyle="1" w:styleId="1498">
    <w:name w:val="样式 表头 + Times New Roman 两端对齐 段前: 7.8 磅 段后: 6 磅 行距: 固定值 22 磅"/>
    <w:basedOn w:val="201"/>
    <w:qFormat/>
    <w:uiPriority w:val="0"/>
    <w:pPr>
      <w:keepNext/>
      <w:tabs>
        <w:tab w:val="left" w:pos="720"/>
        <w:tab w:val="left" w:pos="3319"/>
      </w:tabs>
      <w:spacing w:beforeLines="0" w:after="120" w:line="440" w:lineRule="exact"/>
      <w:ind w:firstLine="945" w:firstLineChars="418"/>
      <w:jc w:val="both"/>
    </w:pPr>
    <w:rPr>
      <w:bCs/>
      <w:color w:val="FF0000"/>
      <w:spacing w:val="8"/>
      <w:kern w:val="21"/>
    </w:rPr>
  </w:style>
  <w:style w:type="paragraph" w:customStyle="1" w:styleId="1499">
    <w:name w:val="样式 报告正文 + 行距: 多倍行距 1.4 字行"/>
    <w:basedOn w:val="1"/>
    <w:qFormat/>
    <w:uiPriority w:val="0"/>
    <w:pPr>
      <w:adjustRightInd w:val="0"/>
      <w:snapToGrid w:val="0"/>
      <w:spacing w:line="336" w:lineRule="auto"/>
      <w:ind w:firstLine="200" w:firstLineChars="200"/>
    </w:pPr>
    <w:rPr>
      <w:sz w:val="28"/>
      <w:szCs w:val="20"/>
    </w:rPr>
  </w:style>
  <w:style w:type="paragraph" w:customStyle="1" w:styleId="1500">
    <w:name w:val="Body Text First Indent3"/>
    <w:basedOn w:val="6"/>
    <w:qFormat/>
    <w:uiPriority w:val="0"/>
    <w:pPr>
      <w:widowControl w:val="0"/>
      <w:tabs>
        <w:tab w:val="left" w:pos="7840"/>
      </w:tabs>
      <w:adjustRightInd w:val="0"/>
      <w:spacing w:before="120" w:line="360" w:lineRule="auto"/>
      <w:ind w:firstLine="567"/>
      <w:jc w:val="both"/>
      <w:textAlignment w:val="baseline"/>
    </w:pPr>
    <w:rPr>
      <w:kern w:val="28"/>
      <w:sz w:val="28"/>
      <w:szCs w:val="20"/>
    </w:rPr>
  </w:style>
  <w:style w:type="paragraph" w:customStyle="1" w:styleId="1501">
    <w:name w:val="责任表文"/>
    <w:basedOn w:val="1"/>
    <w:autoRedefine/>
    <w:qFormat/>
    <w:uiPriority w:val="0"/>
    <w:pPr>
      <w:adjustRightInd w:val="0"/>
      <w:snapToGrid w:val="0"/>
      <w:spacing w:before="120" w:after="120"/>
      <w:ind w:firstLine="480"/>
      <w:jc w:val="center"/>
      <w:textAlignment w:val="baseline"/>
    </w:pPr>
    <w:rPr>
      <w:snapToGrid w:val="0"/>
      <w:kern w:val="24"/>
      <w:szCs w:val="20"/>
    </w:rPr>
  </w:style>
  <w:style w:type="paragraph" w:customStyle="1" w:styleId="1502">
    <w:name w:val="Body Text First Indent1"/>
    <w:basedOn w:val="6"/>
    <w:qFormat/>
    <w:uiPriority w:val="0"/>
    <w:pPr>
      <w:widowControl w:val="0"/>
      <w:tabs>
        <w:tab w:val="left" w:pos="7840"/>
      </w:tabs>
      <w:adjustRightInd w:val="0"/>
      <w:spacing w:line="360" w:lineRule="auto"/>
      <w:ind w:firstLine="567"/>
      <w:jc w:val="both"/>
      <w:textAlignment w:val="baseline"/>
    </w:pPr>
    <w:rPr>
      <w:kern w:val="28"/>
      <w:sz w:val="28"/>
      <w:szCs w:val="20"/>
    </w:rPr>
  </w:style>
  <w:style w:type="paragraph" w:customStyle="1" w:styleId="1503">
    <w:name w:val="下标"/>
    <w:basedOn w:val="379"/>
    <w:qFormat/>
    <w:uiPriority w:val="0"/>
    <w:pPr>
      <w:tabs>
        <w:tab w:val="left" w:pos="0"/>
      </w:tabs>
      <w:autoSpaceDE w:val="0"/>
      <w:autoSpaceDN w:val="0"/>
      <w:spacing w:before="60" w:after="60"/>
      <w:ind w:firstLine="567" w:firstLineChars="0"/>
    </w:pPr>
    <w:rPr>
      <w:spacing w:val="20"/>
      <w:vertAlign w:val="subscript"/>
    </w:rPr>
  </w:style>
  <w:style w:type="paragraph" w:customStyle="1" w:styleId="1504">
    <w:name w:val="页面标题2"/>
    <w:basedOn w:val="1"/>
    <w:qFormat/>
    <w:uiPriority w:val="0"/>
    <w:pPr>
      <w:overflowPunct w:val="0"/>
      <w:topLinePunct/>
      <w:adjustRightInd w:val="0"/>
      <w:spacing w:line="360" w:lineRule="auto"/>
      <w:ind w:firstLine="480" w:firstLineChars="200"/>
      <w:jc w:val="center"/>
      <w:textAlignment w:val="baseline"/>
    </w:pPr>
    <w:rPr>
      <w:rFonts w:ascii="黑体" w:eastAsia="黑体"/>
      <w:b/>
      <w:kern w:val="24"/>
      <w:sz w:val="44"/>
      <w:szCs w:val="20"/>
    </w:rPr>
  </w:style>
  <w:style w:type="paragraph" w:customStyle="1" w:styleId="1505">
    <w:name w:val="格式"/>
    <w:basedOn w:val="1"/>
    <w:qFormat/>
    <w:uiPriority w:val="0"/>
    <w:pPr>
      <w:snapToGrid w:val="0"/>
      <w:spacing w:line="400" w:lineRule="atLeast"/>
      <w:ind w:firstLine="567"/>
      <w:jc w:val="center"/>
    </w:pPr>
    <w:rPr>
      <w:rFonts w:eastAsia="仿宋_GB2312"/>
      <w:szCs w:val="20"/>
    </w:rPr>
  </w:style>
  <w:style w:type="paragraph" w:customStyle="1" w:styleId="1506">
    <w:name w:val="样式 两端对齐 首行缩进:  0.74 厘米 段后: 1 行"/>
    <w:basedOn w:val="1"/>
    <w:qFormat/>
    <w:uiPriority w:val="0"/>
    <w:pPr>
      <w:spacing w:line="360" w:lineRule="auto"/>
      <w:ind w:firstLine="420"/>
    </w:pPr>
    <w:rPr>
      <w:rFonts w:ascii="Arial" w:hAnsi="Arial"/>
      <w:szCs w:val="20"/>
      <w:lang w:val="zh-CN"/>
    </w:rPr>
  </w:style>
  <w:style w:type="paragraph" w:customStyle="1" w:styleId="1507">
    <w:name w:val="1111"/>
    <w:basedOn w:val="1"/>
    <w:autoRedefine/>
    <w:qFormat/>
    <w:uiPriority w:val="0"/>
    <w:pPr>
      <w:adjustRightInd w:val="0"/>
      <w:spacing w:line="360" w:lineRule="exact"/>
      <w:jc w:val="center"/>
      <w:textAlignment w:val="baseline"/>
    </w:pPr>
    <w:rPr>
      <w:bCs/>
    </w:rPr>
  </w:style>
  <w:style w:type="paragraph" w:customStyle="1" w:styleId="1508">
    <w:name w:val="样式 样式 正文首行缩进 + 首行缩进:  2 字符 + 首行缩进:  2 字符"/>
    <w:basedOn w:val="1"/>
    <w:qFormat/>
    <w:uiPriority w:val="0"/>
    <w:pPr>
      <w:topLinePunct/>
      <w:adjustRightInd w:val="0"/>
      <w:snapToGrid w:val="0"/>
      <w:spacing w:line="360" w:lineRule="auto"/>
      <w:ind w:firstLine="480" w:firstLineChars="200"/>
      <w:textAlignment w:val="baseline"/>
    </w:pPr>
    <w:rPr>
      <w:rFonts w:eastAsia="Times New Roman"/>
    </w:rPr>
  </w:style>
  <w:style w:type="paragraph" w:customStyle="1" w:styleId="1509">
    <w:name w:val="样式 标题 4 + 段后: 1 行"/>
    <w:basedOn w:val="5"/>
    <w:autoRedefine/>
    <w:qFormat/>
    <w:uiPriority w:val="0"/>
    <w:pPr>
      <w:widowControl w:val="0"/>
      <w:tabs>
        <w:tab w:val="left" w:pos="1931"/>
      </w:tabs>
      <w:overflowPunct/>
      <w:autoSpaceDE/>
      <w:autoSpaceDN/>
      <w:adjustRightInd/>
      <w:spacing w:beforeLines="0" w:afterLines="100"/>
      <w:ind w:left="1559"/>
      <w:textAlignment w:val="auto"/>
    </w:pPr>
    <w:rPr>
      <w:rFonts w:ascii="Arial" w:hAnsi="Arial"/>
      <w:bCs/>
      <w:i w:val="0"/>
      <w:kern w:val="2"/>
      <w:lang w:val="zh-CN"/>
    </w:rPr>
  </w:style>
  <w:style w:type="paragraph" w:customStyle="1" w:styleId="1510">
    <w:name w:val="正文31"/>
    <w:basedOn w:val="1"/>
    <w:qFormat/>
    <w:uiPriority w:val="0"/>
    <w:pPr>
      <w:keepNext/>
      <w:adjustRightInd w:val="0"/>
      <w:jc w:val="center"/>
      <w:textAlignment w:val="baseline"/>
    </w:pPr>
    <w:rPr>
      <w:sz w:val="28"/>
      <w:szCs w:val="20"/>
    </w:rPr>
  </w:style>
  <w:style w:type="paragraph" w:customStyle="1" w:styleId="1511">
    <w:name w:val="样式 正文首行缩进 + 首行缩进:  1 字符"/>
    <w:basedOn w:val="379"/>
    <w:autoRedefine/>
    <w:qFormat/>
    <w:uiPriority w:val="0"/>
    <w:rPr>
      <w:bCs/>
    </w:rPr>
  </w:style>
  <w:style w:type="paragraph" w:customStyle="1" w:styleId="1512">
    <w:name w:val="条目"/>
    <w:basedOn w:val="299"/>
    <w:qFormat/>
    <w:uiPriority w:val="0"/>
    <w:pPr>
      <w:tabs>
        <w:tab w:val="left" w:pos="1134"/>
      </w:tabs>
      <w:overflowPunct w:val="0"/>
      <w:autoSpaceDE w:val="0"/>
      <w:autoSpaceDN w:val="0"/>
      <w:adjustRightInd/>
      <w:spacing w:before="60" w:after="60" w:line="400" w:lineRule="atLeast"/>
      <w:ind w:firstLine="482"/>
      <w:textAlignment w:val="auto"/>
    </w:pPr>
    <w:rPr>
      <w:kern w:val="2"/>
      <w:szCs w:val="24"/>
    </w:rPr>
  </w:style>
  <w:style w:type="paragraph" w:customStyle="1" w:styleId="1513">
    <w:name w:val="样式 表头 + 黑色 行距: 固定值 25 磅"/>
    <w:basedOn w:val="201"/>
    <w:autoRedefine/>
    <w:qFormat/>
    <w:uiPriority w:val="0"/>
    <w:pPr>
      <w:tabs>
        <w:tab w:val="left" w:pos="720"/>
        <w:tab w:val="left" w:pos="3319"/>
      </w:tabs>
      <w:spacing w:beforeLines="0"/>
      <w:ind w:firstLine="240" w:firstLineChars="100"/>
      <w:jc w:val="both"/>
    </w:pPr>
    <w:rPr>
      <w:rFonts w:ascii="黑体"/>
      <w:color w:val="000000"/>
      <w:szCs w:val="21"/>
    </w:rPr>
  </w:style>
  <w:style w:type="paragraph" w:customStyle="1" w:styleId="1514">
    <w:name w:val="zhengwen"/>
    <w:basedOn w:val="1"/>
    <w:qFormat/>
    <w:uiPriority w:val="0"/>
    <w:pPr>
      <w:spacing w:line="360" w:lineRule="auto"/>
      <w:ind w:firstLine="200" w:firstLineChars="200"/>
    </w:pPr>
    <w:rPr>
      <w:rFonts w:ascii="Times" w:hAnsi="Times"/>
      <w:spacing w:val="8"/>
    </w:rPr>
  </w:style>
  <w:style w:type="paragraph" w:customStyle="1" w:styleId="1515">
    <w:name w:val="－正文"/>
    <w:basedOn w:val="1"/>
    <w:qFormat/>
    <w:uiPriority w:val="0"/>
    <w:pPr>
      <w:spacing w:line="540" w:lineRule="atLeast"/>
      <w:ind w:firstLine="200" w:firstLineChars="200"/>
    </w:pPr>
    <w:rPr>
      <w:spacing w:val="8"/>
      <w:sz w:val="28"/>
      <w:szCs w:val="28"/>
    </w:rPr>
  </w:style>
  <w:style w:type="paragraph" w:customStyle="1" w:styleId="1516">
    <w:name w:val="wenjian"/>
    <w:basedOn w:val="1514"/>
    <w:qFormat/>
    <w:uiPriority w:val="0"/>
    <w:pPr>
      <w:ind w:firstLine="512"/>
    </w:pPr>
    <w:rPr>
      <w:sz w:val="21"/>
    </w:rPr>
  </w:style>
  <w:style w:type="paragraph" w:customStyle="1" w:styleId="1517">
    <w:name w:val="shu 表题"/>
    <w:basedOn w:val="1"/>
    <w:qFormat/>
    <w:uiPriority w:val="0"/>
    <w:pPr>
      <w:autoSpaceDE w:val="0"/>
      <w:autoSpaceDN w:val="0"/>
      <w:adjustRightInd w:val="0"/>
      <w:jc w:val="center"/>
    </w:pPr>
    <w:rPr>
      <w:rFonts w:ascii="Times" w:hAnsi="Times"/>
      <w:b/>
      <w:spacing w:val="20"/>
      <w:szCs w:val="23"/>
    </w:rPr>
  </w:style>
  <w:style w:type="paragraph" w:customStyle="1" w:styleId="1518">
    <w:name w:val="shu表文"/>
    <w:basedOn w:val="1"/>
    <w:qFormat/>
    <w:uiPriority w:val="0"/>
    <w:pPr>
      <w:autoSpaceDE w:val="0"/>
      <w:autoSpaceDN w:val="0"/>
      <w:adjustRightInd w:val="0"/>
      <w:jc w:val="center"/>
    </w:pPr>
    <w:rPr>
      <w:rFonts w:ascii="Times" w:hAnsi="Times"/>
      <w:spacing w:val="20"/>
      <w:szCs w:val="23"/>
    </w:rPr>
  </w:style>
  <w:style w:type="paragraph" w:customStyle="1" w:styleId="1519">
    <w:name w:val="+标题2"/>
    <w:basedOn w:val="3"/>
    <w:autoRedefine/>
    <w:qFormat/>
    <w:uiPriority w:val="0"/>
    <w:pPr>
      <w:tabs>
        <w:tab w:val="left" w:pos="567"/>
      </w:tabs>
      <w:spacing w:beforeLines="0" w:afterLines="0"/>
    </w:pPr>
    <w:rPr>
      <w:rFonts w:ascii="黑体" w:eastAsia="黑体"/>
      <w:sz w:val="28"/>
      <w:szCs w:val="28"/>
    </w:rPr>
  </w:style>
  <w:style w:type="paragraph" w:customStyle="1" w:styleId="1520">
    <w:name w:val="报告正文 Char Char"/>
    <w:basedOn w:val="1"/>
    <w:link w:val="2237"/>
    <w:qFormat/>
    <w:uiPriority w:val="0"/>
    <w:pPr>
      <w:adjustRightInd w:val="0"/>
      <w:spacing w:beforeLines="25" w:line="360" w:lineRule="auto"/>
      <w:ind w:firstLine="482"/>
      <w:textAlignment w:val="baseline"/>
    </w:pPr>
    <w:rPr>
      <w:snapToGrid w:val="0"/>
      <w:kern w:val="24"/>
      <w:szCs w:val="20"/>
    </w:rPr>
  </w:style>
  <w:style w:type="paragraph" w:customStyle="1" w:styleId="1521">
    <w:name w:val="样式 表头 + 行距: 固定值 25 磅"/>
    <w:basedOn w:val="201"/>
    <w:autoRedefine/>
    <w:qFormat/>
    <w:uiPriority w:val="0"/>
    <w:pPr>
      <w:tabs>
        <w:tab w:val="left" w:pos="720"/>
        <w:tab w:val="left" w:pos="3319"/>
      </w:tabs>
      <w:spacing w:beforeLines="0"/>
      <w:ind w:left="539" w:firstLine="240" w:firstLineChars="100"/>
      <w:jc w:val="both"/>
    </w:pPr>
    <w:rPr>
      <w:color w:val="FF0000"/>
    </w:rPr>
  </w:style>
  <w:style w:type="paragraph" w:customStyle="1" w:styleId="1522">
    <w:name w:val="表问"/>
    <w:basedOn w:val="1"/>
    <w:qFormat/>
    <w:uiPriority w:val="0"/>
    <w:pPr>
      <w:spacing w:line="240" w:lineRule="atLeast"/>
      <w:jc w:val="center"/>
    </w:pPr>
    <w:rPr>
      <w:szCs w:val="28"/>
    </w:rPr>
  </w:style>
  <w:style w:type="paragraph" w:customStyle="1" w:styleId="1523">
    <w:name w:val="xl428"/>
    <w:basedOn w:val="1"/>
    <w:qFormat/>
    <w:uiPriority w:val="0"/>
    <w:pPr>
      <w:spacing w:before="100" w:beforeAutospacing="1" w:after="100" w:afterAutospacing="1" w:line="360" w:lineRule="auto"/>
      <w:ind w:firstLine="200" w:firstLineChars="200"/>
      <w:jc w:val="center"/>
      <w:textAlignment w:val="center"/>
    </w:pPr>
    <w:rPr>
      <w:rFonts w:hint="eastAsia"/>
    </w:rPr>
  </w:style>
  <w:style w:type="paragraph" w:customStyle="1" w:styleId="1524">
    <w:name w:val="样式 左  0 字符"/>
    <w:basedOn w:val="1"/>
    <w:qFormat/>
    <w:uiPriority w:val="0"/>
    <w:pPr>
      <w:spacing w:line="360" w:lineRule="auto"/>
      <w:ind w:firstLine="225" w:firstLineChars="225"/>
    </w:pPr>
    <w:rPr>
      <w:szCs w:val="20"/>
    </w:rPr>
  </w:style>
  <w:style w:type="paragraph" w:customStyle="1" w:styleId="1525">
    <w:name w:val="依据文字"/>
    <w:basedOn w:val="86"/>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szCs w:val="28"/>
    </w:rPr>
  </w:style>
  <w:style w:type="paragraph" w:customStyle="1" w:styleId="1526">
    <w:name w:val="总标题"/>
    <w:basedOn w:val="1"/>
    <w:autoRedefine/>
    <w:qFormat/>
    <w:uiPriority w:val="0"/>
    <w:pPr>
      <w:adjustRightInd w:val="0"/>
      <w:spacing w:line="360" w:lineRule="auto"/>
      <w:ind w:left="85" w:right="-488"/>
      <w:jc w:val="center"/>
      <w:textAlignment w:val="baseline"/>
    </w:pPr>
    <w:rPr>
      <w:rFonts w:ascii="方正魏碑简体" w:hAnsi="Bookman Old Style" w:eastAsia="方正魏碑简体"/>
      <w:b/>
      <w:spacing w:val="5"/>
      <w:kern w:val="44"/>
      <w:sz w:val="32"/>
      <w:szCs w:val="21"/>
    </w:rPr>
  </w:style>
  <w:style w:type="paragraph" w:customStyle="1" w:styleId="1527">
    <w:name w:val="样式 正文首行缩进 2 + 段前: 0.25 行1"/>
    <w:basedOn w:val="86"/>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szCs w:val="20"/>
    </w:rPr>
  </w:style>
  <w:style w:type="paragraph" w:customStyle="1" w:styleId="1528">
    <w:name w:val="123"/>
    <w:basedOn w:val="1"/>
    <w:qFormat/>
    <w:uiPriority w:val="0"/>
    <w:pPr>
      <w:spacing w:line="360" w:lineRule="auto"/>
      <w:ind w:firstLine="454"/>
    </w:pPr>
    <w:rPr>
      <w:szCs w:val="21"/>
    </w:rPr>
  </w:style>
  <w:style w:type="paragraph" w:customStyle="1" w:styleId="1529">
    <w:name w:val="正文中对齐"/>
    <w:basedOn w:val="1"/>
    <w:qFormat/>
    <w:uiPriority w:val="0"/>
    <w:pPr>
      <w:snapToGrid w:val="0"/>
      <w:spacing w:before="60" w:after="60" w:line="60" w:lineRule="atLeast"/>
      <w:jc w:val="center"/>
    </w:pPr>
    <w:rPr>
      <w:szCs w:val="21"/>
    </w:rPr>
  </w:style>
  <w:style w:type="paragraph" w:customStyle="1" w:styleId="1530">
    <w:name w:val="宏福正文-2"/>
    <w:basedOn w:val="379"/>
    <w:qFormat/>
    <w:uiPriority w:val="0"/>
    <w:pPr>
      <w:snapToGrid w:val="0"/>
      <w:spacing w:before="240" w:line="400" w:lineRule="atLeast"/>
      <w:ind w:firstLine="567" w:firstLineChars="0"/>
    </w:pPr>
    <w:rPr>
      <w:sz w:val="28"/>
      <w:szCs w:val="28"/>
    </w:rPr>
  </w:style>
  <w:style w:type="paragraph" w:customStyle="1" w:styleId="1531">
    <w:name w:val="宏福4"/>
    <w:basedOn w:val="1530"/>
    <w:qFormat/>
    <w:uiPriority w:val="0"/>
    <w:pPr>
      <w:spacing w:before="0"/>
    </w:pPr>
  </w:style>
  <w:style w:type="paragraph" w:customStyle="1" w:styleId="1532">
    <w:name w:val="图文"/>
    <w:basedOn w:val="404"/>
    <w:autoRedefine/>
    <w:qFormat/>
    <w:uiPriority w:val="0"/>
    <w:pPr>
      <w:overflowPunct w:val="0"/>
      <w:autoSpaceDE w:val="0"/>
      <w:autoSpaceDN w:val="0"/>
      <w:adjustRightInd w:val="0"/>
      <w:snapToGrid/>
      <w:spacing w:line="160" w:lineRule="atLeast"/>
      <w:ind w:firstLine="240" w:firstLineChars="100"/>
      <w:jc w:val="both"/>
      <w:textAlignment w:val="bottom"/>
    </w:pPr>
    <w:rPr>
      <w:rFonts w:eastAsia="宋体"/>
      <w:iCs/>
      <w:sz w:val="21"/>
      <w:szCs w:val="24"/>
    </w:rPr>
  </w:style>
  <w:style w:type="paragraph" w:customStyle="1" w:styleId="1533">
    <w:name w:val="样式 样式 正文首行缩进 + Times New Roman + 首行缩进:  2 字符"/>
    <w:basedOn w:val="1"/>
    <w:qFormat/>
    <w:uiPriority w:val="0"/>
    <w:pPr>
      <w:tabs>
        <w:tab w:val="left" w:pos="0"/>
      </w:tabs>
      <w:autoSpaceDE w:val="0"/>
      <w:autoSpaceDN w:val="0"/>
      <w:adjustRightInd w:val="0"/>
      <w:spacing w:line="360" w:lineRule="auto"/>
      <w:ind w:firstLine="200" w:firstLineChars="200"/>
      <w:textAlignment w:val="baseline"/>
    </w:pPr>
    <w:rPr>
      <w:szCs w:val="20"/>
    </w:rPr>
  </w:style>
  <w:style w:type="paragraph" w:customStyle="1" w:styleId="1534">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1535">
    <w:name w:val="基准篇眉"/>
    <w:basedOn w:val="1"/>
    <w:qFormat/>
    <w:uiPriority w:val="0"/>
    <w:pPr>
      <w:keepLines/>
      <w:tabs>
        <w:tab w:val="center" w:pos="7200"/>
        <w:tab w:val="right" w:pos="14400"/>
      </w:tabs>
      <w:overflowPunct w:val="0"/>
      <w:autoSpaceDE w:val="0"/>
      <w:autoSpaceDN w:val="0"/>
      <w:adjustRightInd w:val="0"/>
      <w:jc w:val="center"/>
      <w:textAlignment w:val="baseline"/>
    </w:pPr>
    <w:rPr>
      <w:spacing w:val="80"/>
      <w:sz w:val="20"/>
      <w:szCs w:val="20"/>
    </w:rPr>
  </w:style>
  <w:style w:type="paragraph" w:customStyle="1" w:styleId="1536">
    <w:name w:val="首页脚注"/>
    <w:basedOn w:val="54"/>
    <w:qFormat/>
    <w:uiPriority w:val="0"/>
    <w:pPr>
      <w:keepLines/>
      <w:tabs>
        <w:tab w:val="center" w:pos="4320"/>
        <w:tab w:val="clear" w:pos="4153"/>
        <w:tab w:val="clear" w:pos="8306"/>
      </w:tabs>
      <w:snapToGrid/>
      <w:spacing w:line="360" w:lineRule="auto"/>
      <w:jc w:val="center"/>
    </w:pPr>
    <w:rPr>
      <w:sz w:val="28"/>
      <w:szCs w:val="28"/>
    </w:rPr>
  </w:style>
  <w:style w:type="paragraph" w:customStyle="1" w:styleId="1537">
    <w:name w:val="样式 左侧:  2 字符"/>
    <w:basedOn w:val="1"/>
    <w:qFormat/>
    <w:uiPriority w:val="0"/>
    <w:pPr>
      <w:spacing w:line="360" w:lineRule="auto"/>
      <w:ind w:firstLine="480" w:firstLineChars="200"/>
    </w:pPr>
    <w:rPr>
      <w:szCs w:val="20"/>
    </w:rPr>
  </w:style>
  <w:style w:type="paragraph" w:customStyle="1" w:styleId="1538">
    <w:name w:val="页面标题3"/>
    <w:basedOn w:val="1504"/>
    <w:qFormat/>
    <w:uiPriority w:val="0"/>
    <w:pPr>
      <w:ind w:left="200" w:leftChars="200"/>
    </w:pPr>
    <w:rPr>
      <w:sz w:val="32"/>
    </w:rPr>
  </w:style>
  <w:style w:type="paragraph" w:customStyle="1" w:styleId="1539">
    <w:name w:val="样式 标题 1 + Times New Roman"/>
    <w:basedOn w:val="2"/>
    <w:next w:val="50"/>
    <w:autoRedefine/>
    <w:qFormat/>
    <w:uiPriority w:val="0"/>
    <w:pPr>
      <w:spacing w:beforeLines="0" w:afterLines="0"/>
    </w:pPr>
    <w:rPr>
      <w:sz w:val="32"/>
      <w:szCs w:val="21"/>
    </w:rPr>
  </w:style>
  <w:style w:type="paragraph" w:customStyle="1" w:styleId="1540">
    <w:name w:val="样式 标题 2 + 段后: 6 磅"/>
    <w:basedOn w:val="3"/>
    <w:next w:val="86"/>
    <w:autoRedefine/>
    <w:qFormat/>
    <w:uiPriority w:val="0"/>
    <w:pPr>
      <w:spacing w:beforeLines="0" w:beforeAutospacing="1" w:after="120"/>
    </w:pPr>
    <w:rPr>
      <w:smallCaps/>
      <w:sz w:val="28"/>
      <w:szCs w:val="24"/>
    </w:rPr>
  </w:style>
  <w:style w:type="paragraph" w:customStyle="1" w:styleId="1541">
    <w:name w:val="正文缩"/>
    <w:basedOn w:val="1"/>
    <w:next w:val="1"/>
    <w:qFormat/>
    <w:uiPriority w:val="0"/>
    <w:pPr>
      <w:adjustRightInd w:val="0"/>
      <w:snapToGrid w:val="0"/>
      <w:spacing w:line="480" w:lineRule="atLeast"/>
      <w:ind w:firstLine="567"/>
      <w:textAlignment w:val="baseline"/>
    </w:pPr>
    <w:rPr>
      <w:snapToGrid w:val="0"/>
      <w:spacing w:val="6"/>
      <w:sz w:val="28"/>
      <w:szCs w:val="20"/>
    </w:rPr>
  </w:style>
  <w:style w:type="paragraph" w:customStyle="1" w:styleId="1542">
    <w:name w:val="样式 样式 正文文字缩进 + 行距: 1.5 倍行距 首行缩进:  2.18 字符 + 首行缩进:  2.18 字符"/>
    <w:basedOn w:val="1"/>
    <w:autoRedefine/>
    <w:qFormat/>
    <w:uiPriority w:val="0"/>
    <w:pPr>
      <w:spacing w:line="360" w:lineRule="auto"/>
      <w:ind w:firstLine="523" w:firstLineChars="218"/>
    </w:pPr>
    <w:rPr>
      <w:szCs w:val="20"/>
    </w:rPr>
  </w:style>
  <w:style w:type="paragraph" w:customStyle="1" w:styleId="1543">
    <w:name w:val="样式 正文文字缩进 + 紧缩量  0.5 磅 行距: 1.5 倍行距"/>
    <w:basedOn w:val="35"/>
    <w:autoRedefine/>
    <w:qFormat/>
    <w:uiPriority w:val="0"/>
    <w:pPr>
      <w:spacing w:after="0" w:line="360" w:lineRule="auto"/>
      <w:ind w:left="0" w:leftChars="0" w:firstLine="567" w:firstLineChars="218"/>
    </w:pPr>
    <w:rPr>
      <w:spacing w:val="-10"/>
      <w:szCs w:val="20"/>
    </w:rPr>
  </w:style>
  <w:style w:type="paragraph" w:customStyle="1" w:styleId="1544">
    <w:name w:val="样式 正文文字缩进 + 行距: 1.5 倍行距 首行缩进:  4.37 字符"/>
    <w:basedOn w:val="35"/>
    <w:autoRedefine/>
    <w:qFormat/>
    <w:uiPriority w:val="0"/>
    <w:pPr>
      <w:spacing w:after="0" w:line="360" w:lineRule="auto"/>
      <w:ind w:left="0" w:leftChars="0" w:firstLine="1224" w:firstLineChars="437"/>
    </w:pPr>
    <w:rPr>
      <w:szCs w:val="20"/>
    </w:rPr>
  </w:style>
  <w:style w:type="paragraph" w:customStyle="1" w:styleId="1545">
    <w:name w:val="样式 样式 标题 3 + 段前: 0.5 行 段后: 0.5 行 + 段前: 0.5 行 段后: 0.5 行"/>
    <w:basedOn w:val="1"/>
    <w:qFormat/>
    <w:uiPriority w:val="0"/>
    <w:rPr>
      <w:szCs w:val="21"/>
    </w:rPr>
  </w:style>
  <w:style w:type="paragraph" w:customStyle="1" w:styleId="1546">
    <w:name w:val="样式 标题 2 + 段后: 0.5 行"/>
    <w:basedOn w:val="3"/>
    <w:next w:val="1"/>
    <w:autoRedefine/>
    <w:qFormat/>
    <w:uiPriority w:val="0"/>
    <w:pPr>
      <w:tabs>
        <w:tab w:val="left" w:pos="1200"/>
      </w:tabs>
      <w:spacing w:beforeLines="0" w:afterLines="0"/>
      <w:ind w:hanging="720" w:hangingChars="343"/>
    </w:pPr>
    <w:rPr>
      <w:smallCaps/>
      <w:sz w:val="28"/>
      <w:szCs w:val="24"/>
    </w:rPr>
  </w:style>
  <w:style w:type="paragraph" w:customStyle="1" w:styleId="1547">
    <w:name w:val="样式 正文文本缩进 2 + 首行缩进:  2 字符 段前: 0.5 行 段后: 0.5 行"/>
    <w:basedOn w:val="50"/>
    <w:autoRedefine/>
    <w:qFormat/>
    <w:uiPriority w:val="0"/>
    <w:pPr>
      <w:adjustRightInd/>
      <w:snapToGrid/>
      <w:spacing w:after="0" w:line="348" w:lineRule="auto"/>
      <w:ind w:left="0" w:leftChars="0" w:firstLine="200" w:firstLineChars="200"/>
    </w:pPr>
    <w:rPr>
      <w:szCs w:val="20"/>
    </w:rPr>
  </w:style>
  <w:style w:type="paragraph" w:customStyle="1" w:styleId="1548">
    <w:name w:val="样式 题注 + (中文) 黑体 加粗"/>
    <w:basedOn w:val="22"/>
    <w:autoRedefine/>
    <w:qFormat/>
    <w:uiPriority w:val="0"/>
    <w:pPr>
      <w:spacing w:before="100" w:beforeAutospacing="1" w:after="120"/>
      <w:ind w:firstLine="2087" w:firstLineChars="990"/>
    </w:pPr>
    <w:rPr>
      <w:rFonts w:eastAsia="宋体"/>
      <w:b/>
      <w:bCs/>
      <w:sz w:val="21"/>
    </w:rPr>
  </w:style>
  <w:style w:type="paragraph" w:customStyle="1" w:styleId="1549">
    <w:name w:val="样式 题注 + (中文) 黑体"/>
    <w:basedOn w:val="22"/>
    <w:autoRedefine/>
    <w:qFormat/>
    <w:uiPriority w:val="0"/>
    <w:pPr>
      <w:spacing w:before="100" w:beforeAutospacing="1" w:after="120"/>
      <w:ind w:firstLine="2087" w:firstLineChars="990"/>
    </w:pPr>
    <w:rPr>
      <w:rFonts w:eastAsia="宋体"/>
      <w:sz w:val="21"/>
    </w:rPr>
  </w:style>
  <w:style w:type="paragraph" w:customStyle="1" w:styleId="1550">
    <w:name w:val="样式 标题 1章标题章ChChapter HeadingIBM Section Head标题 1 Char Char..."/>
    <w:basedOn w:val="2"/>
    <w:qFormat/>
    <w:uiPriority w:val="0"/>
    <w:pPr>
      <w:tabs>
        <w:tab w:val="left" w:pos="532"/>
      </w:tabs>
      <w:spacing w:afterLines="0"/>
      <w:ind w:left="532" w:hanging="432"/>
    </w:pPr>
    <w:rPr>
      <w:rFonts w:eastAsia="黑体"/>
      <w:szCs w:val="24"/>
    </w:rPr>
  </w:style>
  <w:style w:type="paragraph" w:customStyle="1" w:styleId="1551">
    <w:name w:val="密级编号"/>
    <w:basedOn w:val="1"/>
    <w:qFormat/>
    <w:uiPriority w:val="0"/>
    <w:pPr>
      <w:adjustRightInd w:val="0"/>
      <w:jc w:val="center"/>
      <w:textAlignment w:val="baseline"/>
    </w:pPr>
    <w:rPr>
      <w:rFonts w:ascii="仿宋_GB2312" w:eastAsia="仿宋_GB2312"/>
      <w:szCs w:val="20"/>
    </w:rPr>
  </w:style>
  <w:style w:type="paragraph" w:customStyle="1" w:styleId="1552">
    <w:name w:val="文3"/>
    <w:basedOn w:val="1"/>
    <w:qFormat/>
    <w:uiPriority w:val="0"/>
    <w:pPr>
      <w:tabs>
        <w:tab w:val="left" w:pos="425"/>
      </w:tabs>
      <w:adjustRightInd w:val="0"/>
      <w:spacing w:line="500" w:lineRule="atLeast"/>
      <w:ind w:left="425" w:hanging="425"/>
      <w:textAlignment w:val="baseline"/>
    </w:pPr>
    <w:rPr>
      <w:sz w:val="28"/>
      <w:szCs w:val="20"/>
    </w:rPr>
  </w:style>
  <w:style w:type="paragraph" w:customStyle="1" w:styleId="1553">
    <w:name w:val="文"/>
    <w:basedOn w:val="1"/>
    <w:qFormat/>
    <w:uiPriority w:val="0"/>
    <w:pPr>
      <w:adjustRightInd w:val="0"/>
      <w:spacing w:line="500" w:lineRule="atLeast"/>
      <w:ind w:firstLine="540"/>
      <w:textAlignment w:val="baseline"/>
    </w:pPr>
    <w:rPr>
      <w:sz w:val="28"/>
      <w:szCs w:val="20"/>
    </w:rPr>
  </w:style>
  <w:style w:type="paragraph" w:customStyle="1" w:styleId="1554">
    <w:name w:val="xl120"/>
    <w:basedOn w:val="1"/>
    <w:qFormat/>
    <w:uiPriority w:val="0"/>
    <w:pPr>
      <w:pBdr>
        <w:left w:val="single" w:color="auto" w:sz="8" w:space="0"/>
        <w:bottom w:val="single" w:color="auto" w:sz="8" w:space="0"/>
        <w:right w:val="single" w:color="auto" w:sz="4" w:space="0"/>
      </w:pBdr>
      <w:spacing w:before="100" w:beforeAutospacing="1" w:after="100" w:afterAutospacing="1"/>
      <w:jc w:val="center"/>
    </w:pPr>
    <w:rPr>
      <w:rFonts w:hint="eastAsia" w:cs="Arial Unicode MS"/>
      <w:sz w:val="20"/>
      <w:szCs w:val="20"/>
    </w:rPr>
  </w:style>
  <w:style w:type="paragraph" w:customStyle="1" w:styleId="1555">
    <w:name w:val="样式3 Char Char"/>
    <w:basedOn w:val="8"/>
    <w:autoRedefine/>
    <w:qFormat/>
    <w:uiPriority w:val="0"/>
    <w:pPr>
      <w:overflowPunct w:val="0"/>
      <w:autoSpaceDE w:val="0"/>
      <w:autoSpaceDN w:val="0"/>
      <w:adjustRightInd w:val="0"/>
      <w:spacing w:line="360" w:lineRule="auto"/>
      <w:ind w:firstLine="491"/>
      <w:textAlignment w:val="baseline"/>
    </w:pPr>
    <w:rPr>
      <w:szCs w:val="24"/>
    </w:rPr>
  </w:style>
  <w:style w:type="paragraph" w:customStyle="1" w:styleId="1556">
    <w:name w:val="样式 Char Char Char Char Char Char Char Char Char Char Char Char Char Char Char Char Char"/>
    <w:basedOn w:val="8"/>
    <w:autoRedefine/>
    <w:qFormat/>
    <w:uiPriority w:val="0"/>
    <w:pPr>
      <w:overflowPunct w:val="0"/>
      <w:autoSpaceDE w:val="0"/>
      <w:autoSpaceDN w:val="0"/>
      <w:adjustRightInd w:val="0"/>
      <w:ind w:firstLine="491"/>
      <w:textAlignment w:val="baseline"/>
    </w:pPr>
    <w:rPr>
      <w:szCs w:val="24"/>
    </w:rPr>
  </w:style>
  <w:style w:type="paragraph" w:customStyle="1" w:styleId="1557">
    <w:name w:val="样式 正文缩进 + 五号"/>
    <w:basedOn w:val="8"/>
    <w:autoRedefine/>
    <w:qFormat/>
    <w:uiPriority w:val="0"/>
    <w:pPr>
      <w:overflowPunct w:val="0"/>
      <w:autoSpaceDE w:val="0"/>
      <w:autoSpaceDN w:val="0"/>
      <w:adjustRightInd w:val="0"/>
      <w:ind w:firstLine="0" w:firstLineChars="0"/>
      <w:textAlignment w:val="baseline"/>
    </w:pPr>
  </w:style>
  <w:style w:type="paragraph" w:customStyle="1" w:styleId="1558">
    <w:name w:val="样式3 Char Char Char"/>
    <w:basedOn w:val="8"/>
    <w:autoRedefine/>
    <w:qFormat/>
    <w:uiPriority w:val="0"/>
    <w:pPr>
      <w:overflowPunct w:val="0"/>
      <w:autoSpaceDE w:val="0"/>
      <w:autoSpaceDN w:val="0"/>
      <w:adjustRightInd w:val="0"/>
      <w:spacing w:line="360" w:lineRule="auto"/>
      <w:ind w:firstLine="491"/>
      <w:textAlignment w:val="baseline"/>
    </w:pPr>
    <w:rPr>
      <w:szCs w:val="24"/>
    </w:rPr>
  </w:style>
  <w:style w:type="paragraph" w:customStyle="1" w:styleId="1559">
    <w:name w:val="样式 Char Char Char Char Char Char Char Char Char Char Char Char Char Char Char Char"/>
    <w:basedOn w:val="8"/>
    <w:autoRedefine/>
    <w:qFormat/>
    <w:uiPriority w:val="0"/>
    <w:pPr>
      <w:overflowPunct w:val="0"/>
      <w:autoSpaceDE w:val="0"/>
      <w:autoSpaceDN w:val="0"/>
      <w:adjustRightInd w:val="0"/>
      <w:ind w:firstLine="491"/>
      <w:textAlignment w:val="baseline"/>
    </w:pPr>
    <w:rPr>
      <w:szCs w:val="24"/>
    </w:rPr>
  </w:style>
  <w:style w:type="paragraph" w:customStyle="1" w:styleId="1560">
    <w:name w:val="样式 Char Char Char Char Char Char Char Char Char Char Char Char Char Char Char"/>
    <w:basedOn w:val="8"/>
    <w:autoRedefine/>
    <w:qFormat/>
    <w:uiPriority w:val="0"/>
    <w:pPr>
      <w:overflowPunct w:val="0"/>
      <w:autoSpaceDE w:val="0"/>
      <w:autoSpaceDN w:val="0"/>
      <w:adjustRightInd w:val="0"/>
      <w:ind w:firstLine="491"/>
      <w:textAlignment w:val="baseline"/>
    </w:pPr>
    <w:rPr>
      <w:szCs w:val="24"/>
    </w:rPr>
  </w:style>
  <w:style w:type="paragraph" w:customStyle="1" w:styleId="1561">
    <w:name w:val="样式 正文缩进 + 五号 Char Char Char Char Char Char Char Char Char Char Char Char Char Char Char Char Char Char Char Char Char Char Char Char Char Char Char Char Char Char Char Char Char Char Char Char Char Char Char Char Char Char Char Char Char Char Char Char1"/>
    <w:basedOn w:val="8"/>
    <w:autoRedefine/>
    <w:qFormat/>
    <w:uiPriority w:val="0"/>
    <w:pPr>
      <w:overflowPunct w:val="0"/>
      <w:autoSpaceDE w:val="0"/>
      <w:autoSpaceDN w:val="0"/>
      <w:adjustRightInd w:val="0"/>
      <w:ind w:firstLine="491"/>
      <w:textAlignment w:val="baseline"/>
    </w:pPr>
  </w:style>
  <w:style w:type="paragraph" w:customStyle="1" w:styleId="1562">
    <w:name w:val="新表格"/>
    <w:basedOn w:val="1"/>
    <w:qFormat/>
    <w:uiPriority w:val="0"/>
    <w:pPr>
      <w:ind w:left="420"/>
      <w:jc w:val="center"/>
    </w:pPr>
    <w:rPr>
      <w:b/>
      <w:bCs/>
    </w:rPr>
  </w:style>
  <w:style w:type="paragraph" w:customStyle="1" w:styleId="1563">
    <w:name w:val="样式 标题（3）新 + 首行缩进:  0.71 字符 段后: 0.5 行1 + 首行缩进:  0.71 字符 段后: 0.5 行"/>
    <w:basedOn w:val="1"/>
    <w:qFormat/>
    <w:uiPriority w:val="0"/>
    <w:pPr>
      <w:keepNext/>
      <w:keepLines/>
      <w:spacing w:before="120" w:afterLines="50"/>
      <w:ind w:firstLine="213" w:firstLineChars="71"/>
      <w:outlineLvl w:val="2"/>
    </w:pPr>
    <w:rPr>
      <w:rFonts w:hint="eastAsia"/>
      <w:b/>
      <w:bCs/>
      <w:sz w:val="30"/>
      <w:szCs w:val="20"/>
    </w:rPr>
  </w:style>
  <w:style w:type="paragraph" w:customStyle="1" w:styleId="1564">
    <w:name w:val="样式 标题 3头小标题 + 自动设置"/>
    <w:basedOn w:val="4"/>
    <w:qFormat/>
    <w:uiPriority w:val="0"/>
    <w:pPr>
      <w:spacing w:beforeLines="0" w:afterLines="0"/>
      <w:ind w:firstLine="213" w:firstLineChars="71"/>
    </w:pPr>
    <w:rPr>
      <w:sz w:val="30"/>
      <w:szCs w:val="24"/>
    </w:rPr>
  </w:style>
  <w:style w:type="paragraph" w:customStyle="1" w:styleId="1565">
    <w:name w:val="方程式"/>
    <w:basedOn w:val="1"/>
    <w:qFormat/>
    <w:uiPriority w:val="0"/>
    <w:pPr>
      <w:overflowPunct w:val="0"/>
      <w:autoSpaceDE w:val="0"/>
      <w:autoSpaceDN w:val="0"/>
      <w:adjustRightInd w:val="0"/>
      <w:spacing w:before="60" w:after="60"/>
      <w:textAlignment w:val="bottom"/>
    </w:pPr>
    <w:rPr>
      <w:spacing w:val="24"/>
      <w:szCs w:val="20"/>
    </w:rPr>
  </w:style>
  <w:style w:type="paragraph" w:customStyle="1" w:styleId="1566">
    <w:name w:val="样式 标题 1-*+章标题 1 + (中文) 宋体 三号 加粗 首行缩进:  0.31 字符 段前: 6 磅 行距..."/>
    <w:basedOn w:val="2"/>
    <w:qFormat/>
    <w:uiPriority w:val="0"/>
    <w:pPr>
      <w:keepLines w:val="0"/>
      <w:tabs>
        <w:tab w:val="left" w:pos="532"/>
      </w:tabs>
      <w:spacing w:beforeLines="0" w:afterLines="0"/>
      <w:ind w:left="532" w:hanging="432"/>
    </w:pPr>
    <w:rPr>
      <w:rFonts w:eastAsia="黑体"/>
      <w:kern w:val="2"/>
    </w:rPr>
  </w:style>
  <w:style w:type="paragraph" w:customStyle="1" w:styleId="1567">
    <w:name w:val="样式 标题 2节标题 1.1 + 小三 加粗 段前: 0 磅 段后: 0 磅 行距: 1.5 倍行距"/>
    <w:basedOn w:val="3"/>
    <w:qFormat/>
    <w:uiPriority w:val="0"/>
    <w:pPr>
      <w:tabs>
        <w:tab w:val="left" w:pos="-426"/>
        <w:tab w:val="left" w:pos="360"/>
      </w:tabs>
      <w:spacing w:beforeLines="0" w:afterLines="0"/>
      <w:ind w:left="-426" w:hanging="357"/>
    </w:pPr>
    <w:rPr>
      <w:rFonts w:eastAsia="黑体"/>
      <w:sz w:val="30"/>
      <w:szCs w:val="24"/>
    </w:rPr>
  </w:style>
  <w:style w:type="paragraph" w:customStyle="1" w:styleId="1568">
    <w:name w:val="样式 标题 3条标题1.1.13h33rd levelH3l3CT头小标题 + 段前: 3 磅 段后: 3 ..."/>
    <w:basedOn w:val="4"/>
    <w:qFormat/>
    <w:uiPriority w:val="0"/>
    <w:pPr>
      <w:tabs>
        <w:tab w:val="left" w:pos="0"/>
      </w:tabs>
      <w:spacing w:beforeLines="0" w:afterLines="0"/>
    </w:pPr>
    <w:rPr>
      <w:sz w:val="24"/>
      <w:szCs w:val="24"/>
    </w:rPr>
  </w:style>
  <w:style w:type="paragraph" w:customStyle="1" w:styleId="1569">
    <w:name w:val="样式 标题 4款标题1.1.1.1 + 段前: 7.8 磅 段后: 7.8 磅"/>
    <w:basedOn w:val="5"/>
    <w:autoRedefine/>
    <w:qFormat/>
    <w:uiPriority w:val="0"/>
    <w:pPr>
      <w:keepNext w:val="0"/>
      <w:widowControl w:val="0"/>
      <w:tabs>
        <w:tab w:val="left" w:pos="964"/>
      </w:tabs>
      <w:overflowPunct/>
      <w:autoSpaceDE/>
      <w:autoSpaceDN/>
      <w:adjustRightInd/>
      <w:spacing w:beforeLines="0" w:afterLines="0"/>
      <w:ind w:left="964" w:hanging="864"/>
      <w:textAlignment w:val="auto"/>
    </w:pPr>
    <w:rPr>
      <w:bCs/>
      <w:i w:val="0"/>
      <w:kern w:val="2"/>
    </w:rPr>
  </w:style>
  <w:style w:type="paragraph" w:customStyle="1" w:styleId="1570">
    <w:name w:val="样式 标题 2节标题 1.1节标题节SeMajor HeadingIBM Subhead 2h2标题 2 Cha..."/>
    <w:basedOn w:val="3"/>
    <w:qFormat/>
    <w:uiPriority w:val="0"/>
    <w:pPr>
      <w:keepNext w:val="0"/>
      <w:keepLines w:val="0"/>
      <w:tabs>
        <w:tab w:val="left" w:pos="576"/>
        <w:tab w:val="left" w:pos="851"/>
      </w:tabs>
      <w:snapToGrid w:val="0"/>
      <w:spacing w:beforeLines="0" w:afterLines="0"/>
      <w:ind w:left="578" w:hanging="578"/>
    </w:pPr>
    <w:rPr>
      <w:rFonts w:ascii="Arial" w:hAnsi="Arial" w:eastAsia="黑体"/>
      <w:sz w:val="30"/>
      <w:szCs w:val="24"/>
    </w:rPr>
  </w:style>
  <w:style w:type="paragraph" w:customStyle="1" w:styleId="1571">
    <w:name w:val="样式 标题 3条标题1.1.13h33rd levelH3l3CT头小标题小节标题头 Char标题 31..."/>
    <w:basedOn w:val="4"/>
    <w:qFormat/>
    <w:uiPriority w:val="0"/>
    <w:pPr>
      <w:keepNext w:val="0"/>
      <w:keepLines w:val="0"/>
      <w:tabs>
        <w:tab w:val="left" w:pos="720"/>
        <w:tab w:val="left" w:pos="851"/>
        <w:tab w:val="left" w:pos="907"/>
      </w:tabs>
      <w:spacing w:beforeLines="0" w:afterLines="0"/>
      <w:ind w:left="720" w:hanging="720"/>
    </w:pPr>
    <w:rPr>
      <w:rFonts w:eastAsia="黑体"/>
      <w:sz w:val="24"/>
      <w:szCs w:val="24"/>
    </w:rPr>
  </w:style>
  <w:style w:type="paragraph" w:customStyle="1" w:styleId="1572">
    <w:name w:val="样式 标题 2节标题 1.1 + 加粗 行距: 1.5 倍行距"/>
    <w:basedOn w:val="3"/>
    <w:qFormat/>
    <w:uiPriority w:val="0"/>
    <w:pPr>
      <w:tabs>
        <w:tab w:val="left" w:pos="576"/>
        <w:tab w:val="left" w:pos="851"/>
      </w:tabs>
      <w:spacing w:beforeLines="0" w:afterLines="0"/>
    </w:pPr>
    <w:rPr>
      <w:rFonts w:eastAsia="黑体"/>
      <w:sz w:val="30"/>
      <w:szCs w:val="24"/>
    </w:rPr>
  </w:style>
  <w:style w:type="paragraph" w:customStyle="1" w:styleId="1573">
    <w:name w:val="样式 标题 3条标题1.1.13h33rd levelH3l3CT头小标题 + 段后: 3 磅 行距: 1...."/>
    <w:basedOn w:val="4"/>
    <w:qFormat/>
    <w:uiPriority w:val="0"/>
    <w:pPr>
      <w:tabs>
        <w:tab w:val="left" w:pos="1"/>
        <w:tab w:val="left" w:pos="851"/>
        <w:tab w:val="left" w:pos="907"/>
      </w:tabs>
      <w:spacing w:beforeLines="0" w:afterLines="0"/>
      <w:ind w:left="1" w:hanging="720"/>
    </w:pPr>
    <w:rPr>
      <w:sz w:val="24"/>
      <w:szCs w:val="24"/>
    </w:rPr>
  </w:style>
  <w:style w:type="paragraph" w:customStyle="1" w:styleId="1574">
    <w:name w:val="样式 首行缩进:  0.95 厘米 段前: 3 磅 行距: 固定值 23 磅"/>
    <w:basedOn w:val="1"/>
    <w:qFormat/>
    <w:uiPriority w:val="0"/>
    <w:pPr>
      <w:adjustRightInd w:val="0"/>
      <w:spacing w:line="360" w:lineRule="auto"/>
      <w:ind w:firstLine="539"/>
      <w:textAlignment w:val="baseline"/>
    </w:pPr>
  </w:style>
  <w:style w:type="paragraph" w:customStyle="1" w:styleId="1575">
    <w:name w:val="样式 标题 3小标题小节标题头 Char标题 31小标题1小节标题1小节标题1 Char Char头 Char ..."/>
    <w:basedOn w:val="4"/>
    <w:qFormat/>
    <w:uiPriority w:val="0"/>
    <w:pPr>
      <w:tabs>
        <w:tab w:val="left" w:pos="720"/>
        <w:tab w:val="left" w:pos="851"/>
        <w:tab w:val="left" w:pos="907"/>
      </w:tabs>
      <w:spacing w:beforeLines="0" w:afterLines="0"/>
      <w:ind w:left="720" w:hanging="720"/>
    </w:pPr>
    <w:rPr>
      <w:bCs w:val="0"/>
      <w:sz w:val="24"/>
      <w:szCs w:val="24"/>
    </w:rPr>
  </w:style>
  <w:style w:type="paragraph" w:customStyle="1" w:styleId="1576">
    <w:name w:val="样式 标题 4L4Minor Heading + Times New Roman"/>
    <w:basedOn w:val="5"/>
    <w:next w:val="50"/>
    <w:autoRedefine/>
    <w:qFormat/>
    <w:uiPriority w:val="0"/>
    <w:pPr>
      <w:keepLines/>
      <w:widowControl w:val="0"/>
      <w:tabs>
        <w:tab w:val="left" w:pos="964"/>
      </w:tabs>
      <w:overflowPunct/>
      <w:autoSpaceDE/>
      <w:autoSpaceDN/>
      <w:adjustRightInd/>
      <w:spacing w:beforeLines="25" w:line="240" w:lineRule="auto"/>
      <w:ind w:left="964" w:hanging="864"/>
      <w:textAlignment w:val="auto"/>
    </w:pPr>
    <w:rPr>
      <w:bCs/>
      <w:i w:val="0"/>
      <w:kern w:val="2"/>
      <w:szCs w:val="28"/>
    </w:rPr>
  </w:style>
  <w:style w:type="paragraph" w:customStyle="1" w:styleId="1577">
    <w:name w:val="样式 标题"/>
    <w:basedOn w:val="5"/>
    <w:qFormat/>
    <w:uiPriority w:val="0"/>
    <w:pPr>
      <w:keepLines/>
      <w:widowControl w:val="0"/>
      <w:tabs>
        <w:tab w:val="left" w:pos="964"/>
      </w:tabs>
      <w:overflowPunct/>
      <w:autoSpaceDE/>
      <w:autoSpaceDN/>
      <w:adjustRightInd/>
      <w:spacing w:beforeLines="25" w:line="240" w:lineRule="auto"/>
      <w:ind w:left="964" w:hanging="864"/>
      <w:textAlignment w:val="auto"/>
    </w:pPr>
    <w:rPr>
      <w:rFonts w:eastAsia="黑体"/>
      <w:bCs/>
      <w:i w:val="0"/>
      <w:kern w:val="2"/>
      <w:szCs w:val="28"/>
    </w:rPr>
  </w:style>
  <w:style w:type="paragraph" w:customStyle="1" w:styleId="1578">
    <w:name w:val="样式 图表目录 + 左侧:  2 字符"/>
    <w:basedOn w:val="72"/>
    <w:autoRedefine/>
    <w:qFormat/>
    <w:uiPriority w:val="0"/>
    <w:pPr>
      <w:spacing w:line="300" w:lineRule="auto"/>
      <w:ind w:left="0" w:firstLine="0"/>
      <w:jc w:val="both"/>
    </w:pPr>
    <w:rPr>
      <w:smallCaps w:val="0"/>
      <w:sz w:val="24"/>
    </w:rPr>
  </w:style>
  <w:style w:type="paragraph" w:customStyle="1" w:styleId="1579">
    <w:name w:val="样式 样式 标题 3标题 13标题 3 Char + (中文) 黑体 小三 加粗 段前: 0.5 行 段后: 0.5 行 + 宋..."/>
    <w:basedOn w:val="1"/>
    <w:qFormat/>
    <w:uiPriority w:val="0"/>
    <w:pPr>
      <w:keepNext/>
      <w:keepLines/>
      <w:tabs>
        <w:tab w:val="left" w:pos="1080"/>
      </w:tabs>
      <w:spacing w:beforeLines="50" w:afterLines="50" w:line="500" w:lineRule="exact"/>
      <w:ind w:left="625" w:leftChars="200" w:hanging="425"/>
      <w:outlineLvl w:val="2"/>
    </w:pPr>
    <w:rPr>
      <w:b/>
      <w:bCs/>
      <w:szCs w:val="20"/>
    </w:rPr>
  </w:style>
  <w:style w:type="paragraph" w:customStyle="1" w:styleId="1580">
    <w:name w:val="样式 正文首行缩进 2 + 首行缩进:  2 字符"/>
    <w:basedOn w:val="86"/>
    <w:autoRedefine/>
    <w:qFormat/>
    <w:uiPriority w:val="0"/>
    <w:pPr>
      <w:spacing w:after="0" w:line="460" w:lineRule="exact"/>
      <w:ind w:left="0" w:leftChars="0" w:firstLine="480"/>
    </w:pPr>
  </w:style>
  <w:style w:type="paragraph" w:customStyle="1" w:styleId="1581">
    <w:name w:val="样式 标题 4L4Minor Heading标题 4 Char Char款标题1.1.1.1 + 左侧:  0 厘米 ..."/>
    <w:basedOn w:val="5"/>
    <w:qFormat/>
    <w:uiPriority w:val="0"/>
    <w:pPr>
      <w:keepLines/>
      <w:widowControl w:val="0"/>
      <w:overflowPunct/>
      <w:autoSpaceDE/>
      <w:autoSpaceDN/>
      <w:adjustRightInd/>
      <w:spacing w:beforeLines="0" w:afterLines="0" w:line="376" w:lineRule="atLeast"/>
      <w:ind w:left="864" w:hanging="864"/>
      <w:textAlignment w:val="auto"/>
    </w:pPr>
    <w:rPr>
      <w:rFonts w:hAnsi="Arial" w:eastAsia="黑体"/>
      <w:bCs/>
      <w:i w:val="0"/>
      <w:kern w:val="2"/>
    </w:rPr>
  </w:style>
  <w:style w:type="paragraph" w:customStyle="1" w:styleId="1582">
    <w:name w:val="宝钢正文"/>
    <w:basedOn w:val="1"/>
    <w:qFormat/>
    <w:uiPriority w:val="0"/>
    <w:pPr>
      <w:tabs>
        <w:tab w:val="left" w:pos="3060"/>
      </w:tabs>
      <w:spacing w:beforeLines="50" w:afterLines="50" w:line="440" w:lineRule="exact"/>
      <w:ind w:firstLine="480" w:firstLineChars="200"/>
      <w:outlineLvl w:val="3"/>
    </w:pPr>
    <w:rPr>
      <w:b/>
      <w:szCs w:val="20"/>
    </w:rPr>
  </w:style>
  <w:style w:type="paragraph" w:customStyle="1" w:styleId="1583">
    <w:name w:val="正文正文正文正文"/>
    <w:basedOn w:val="1"/>
    <w:next w:val="1"/>
    <w:autoRedefine/>
    <w:qFormat/>
    <w:uiPriority w:val="0"/>
    <w:pPr>
      <w:keepNext/>
      <w:keepLines/>
      <w:adjustRightInd w:val="0"/>
      <w:spacing w:before="40" w:after="40" w:line="360" w:lineRule="auto"/>
      <w:ind w:firstLine="200" w:firstLineChars="200"/>
      <w:textAlignment w:val="baseline"/>
    </w:pPr>
    <w:rPr>
      <w:bCs/>
      <w:szCs w:val="28"/>
    </w:rPr>
  </w:style>
  <w:style w:type="paragraph" w:customStyle="1" w:styleId="1584">
    <w:name w:val="TABLE2"/>
    <w:basedOn w:val="1"/>
    <w:qFormat/>
    <w:uiPriority w:val="0"/>
    <w:pPr>
      <w:adjustRightInd w:val="0"/>
      <w:spacing w:line="240" w:lineRule="atLeast"/>
      <w:jc w:val="center"/>
      <w:textAlignment w:val="baseline"/>
    </w:pPr>
  </w:style>
  <w:style w:type="paragraph" w:customStyle="1" w:styleId="1585">
    <w:name w:val="LNG－表格"/>
    <w:basedOn w:val="1"/>
    <w:qFormat/>
    <w:uiPriority w:val="0"/>
    <w:pPr>
      <w:spacing w:line="360" w:lineRule="auto"/>
      <w:jc w:val="center"/>
    </w:pPr>
    <w:rPr>
      <w:szCs w:val="21"/>
    </w:rPr>
  </w:style>
  <w:style w:type="character" w:customStyle="1" w:styleId="1586">
    <w:name w:val="正文首行缩进 Char Char1"/>
    <w:uiPriority w:val="0"/>
    <w:rPr>
      <w:rFonts w:eastAsia="宋体"/>
      <w:kern w:val="2"/>
      <w:sz w:val="21"/>
      <w:lang w:val="en-US" w:eastAsia="zh-CN" w:bidi="ar-SA"/>
    </w:rPr>
  </w:style>
  <w:style w:type="character" w:customStyle="1" w:styleId="1587">
    <w:name w:val="小标题2"/>
    <w:uiPriority w:val="0"/>
    <w:rPr>
      <w:rFonts w:eastAsia="宋体"/>
      <w:b/>
      <w:snapToGrid/>
      <w:color w:val="000000"/>
      <w:kern w:val="24"/>
      <w:sz w:val="24"/>
      <w:lang w:val="en-US" w:eastAsia="zh-CN" w:bidi="ar-SA"/>
    </w:rPr>
  </w:style>
  <w:style w:type="character" w:customStyle="1" w:styleId="1588">
    <w:name w:val="正文首行缩进 Char1 Char Char"/>
    <w:uiPriority w:val="0"/>
    <w:rPr>
      <w:rFonts w:ascii="宋体" w:eastAsia="宋体"/>
      <w:kern w:val="2"/>
      <w:sz w:val="28"/>
      <w:szCs w:val="28"/>
      <w:lang w:val="en-US" w:eastAsia="zh-CN" w:bidi="ar-SA"/>
    </w:rPr>
  </w:style>
  <w:style w:type="character" w:customStyle="1" w:styleId="1589">
    <w:name w:val="标题 3 Char1 Char"/>
    <w:uiPriority w:val="0"/>
    <w:rPr>
      <w:rFonts w:ascii="黑体" w:eastAsia="黑体"/>
      <w:b/>
      <w:kern w:val="2"/>
      <w:sz w:val="24"/>
      <w:szCs w:val="21"/>
      <w:lang w:val="en-US" w:eastAsia="zh-CN" w:bidi="ar-SA"/>
    </w:rPr>
  </w:style>
  <w:style w:type="character" w:customStyle="1" w:styleId="1590">
    <w:name w:val="Hyperlink1"/>
    <w:uiPriority w:val="0"/>
    <w:rPr>
      <w:color w:val="0000FF"/>
      <w:u w:val="single"/>
    </w:rPr>
  </w:style>
  <w:style w:type="character" w:customStyle="1" w:styleId="1591">
    <w:name w:val="c1"/>
    <w:uiPriority w:val="0"/>
    <w:rPr>
      <w:sz w:val="28"/>
      <w:szCs w:val="28"/>
    </w:rPr>
  </w:style>
  <w:style w:type="character" w:customStyle="1" w:styleId="1592">
    <w:name w:val="fieldlabel1"/>
    <w:uiPriority w:val="0"/>
    <w:rPr>
      <w:rFonts w:hint="default" w:ascii="Verdana" w:hAnsi="Verdana"/>
      <w:b/>
      <w:bCs/>
      <w:color w:val="000000"/>
      <w:sz w:val="24"/>
      <w:szCs w:val="24"/>
    </w:rPr>
  </w:style>
  <w:style w:type="character" w:customStyle="1" w:styleId="1593">
    <w:name w:val="fieldcontents1"/>
    <w:uiPriority w:val="0"/>
    <w:rPr>
      <w:rFonts w:hint="default" w:ascii="Verdana" w:hAnsi="Verdana"/>
      <w:color w:val="000000"/>
      <w:sz w:val="24"/>
      <w:szCs w:val="24"/>
    </w:rPr>
  </w:style>
  <w:style w:type="character" w:customStyle="1" w:styleId="1594">
    <w:name w:val="题注 Char Char Char Char Char"/>
    <w:uiPriority w:val="0"/>
    <w:rPr>
      <w:rFonts w:ascii="Arial" w:hAnsi="Arial" w:eastAsia="黑体" w:cs="Arial"/>
      <w:kern w:val="2"/>
      <w:lang w:val="en-US" w:eastAsia="zh-CN" w:bidi="ar-SA"/>
    </w:rPr>
  </w:style>
  <w:style w:type="character" w:customStyle="1" w:styleId="1595">
    <w:name w:val="样式 题注 + (中文) 黑体 加粗 Char"/>
    <w:uiPriority w:val="0"/>
    <w:rPr>
      <w:rFonts w:ascii="Arial" w:hAnsi="Arial" w:eastAsia="宋体" w:cs="Arial"/>
      <w:b/>
      <w:bCs/>
      <w:kern w:val="2"/>
      <w:sz w:val="24"/>
      <w:lang w:val="en-US" w:eastAsia="zh-CN" w:bidi="ar-SA"/>
    </w:rPr>
  </w:style>
  <w:style w:type="character" w:customStyle="1" w:styleId="1596">
    <w:name w:val="样式 题注 + (中文) 黑体 Char"/>
    <w:uiPriority w:val="0"/>
    <w:rPr>
      <w:rFonts w:ascii="Arial" w:hAnsi="Arial" w:eastAsia="宋体" w:cs="Arial"/>
      <w:kern w:val="2"/>
      <w:sz w:val="24"/>
      <w:lang w:val="en-US" w:eastAsia="zh-CN" w:bidi="ar-SA"/>
    </w:rPr>
  </w:style>
  <w:style w:type="character" w:customStyle="1" w:styleId="1597">
    <w:name w:val="yangshi-h41"/>
    <w:uiPriority w:val="0"/>
    <w:rPr>
      <w:rFonts w:ascii="黑体" w:eastAsia="黑体"/>
      <w:b/>
      <w:bCs/>
      <w:color w:val="000000"/>
      <w:sz w:val="24"/>
      <w:szCs w:val="24"/>
    </w:rPr>
  </w:style>
  <w:style w:type="character" w:customStyle="1" w:styleId="1598">
    <w:name w:val="正文缩进 Char1 Char Char Char1"/>
    <w:uiPriority w:val="0"/>
    <w:rPr>
      <w:rFonts w:eastAsia="宋体"/>
      <w:lang w:val="en-US" w:eastAsia="zh-CN"/>
    </w:rPr>
  </w:style>
  <w:style w:type="character" w:customStyle="1" w:styleId="1599">
    <w:name w:val="样式3 Char Char Char Char Char"/>
    <w:uiPriority w:val="0"/>
    <w:rPr>
      <w:rFonts w:eastAsia="宋体"/>
      <w:sz w:val="24"/>
      <w:szCs w:val="24"/>
      <w:lang w:val="en-US" w:eastAsia="zh-CN" w:bidi="ar-SA"/>
    </w:rPr>
  </w:style>
  <w:style w:type="character" w:customStyle="1" w:styleId="1600">
    <w:name w:val="样式3 Char Char Char Char Char Char"/>
    <w:uiPriority w:val="0"/>
    <w:rPr>
      <w:rFonts w:eastAsia="宋体"/>
      <w:sz w:val="24"/>
      <w:szCs w:val="24"/>
      <w:lang w:val="en-US" w:eastAsia="zh-CN" w:bidi="ar-SA"/>
    </w:rPr>
  </w:style>
  <w:style w:type="character" w:customStyle="1" w:styleId="1601">
    <w:name w:val="样式2 Char Char Char"/>
    <w:uiPriority w:val="0"/>
    <w:rPr>
      <w:rFonts w:eastAsia="宋体"/>
      <w:sz w:val="24"/>
      <w:szCs w:val="24"/>
      <w:lang w:val="en-US" w:eastAsia="zh-CN"/>
    </w:rPr>
  </w:style>
  <w:style w:type="character" w:customStyle="1" w:styleId="1602">
    <w:name w:val="样式 Char Char Char Char Char Char Char Char Char Char Char Char Char Char Char Char Char Char"/>
    <w:uiPriority w:val="0"/>
    <w:rPr>
      <w:rFonts w:eastAsia="宋体"/>
      <w:sz w:val="24"/>
      <w:szCs w:val="24"/>
      <w:lang w:val="en-US" w:eastAsia="zh-CN" w:bidi="ar-SA"/>
    </w:rPr>
  </w:style>
  <w:style w:type="character" w:customStyle="1" w:styleId="1603">
    <w:name w:val="样式2 Char Char"/>
    <w:uiPriority w:val="0"/>
    <w:rPr>
      <w:rFonts w:eastAsia="宋体"/>
      <w:kern w:val="2"/>
      <w:sz w:val="24"/>
      <w:szCs w:val="24"/>
      <w:lang w:val="en-US" w:eastAsia="zh-CN" w:bidi="ar-SA"/>
    </w:rPr>
  </w:style>
  <w:style w:type="character" w:customStyle="1" w:styleId="1604">
    <w:name w:val="样式3 Char Char Char Char"/>
    <w:uiPriority w:val="0"/>
    <w:rPr>
      <w:rFonts w:eastAsia="宋体"/>
      <w:sz w:val="24"/>
      <w:szCs w:val="24"/>
      <w:lang w:val="en-US" w:eastAsia="zh-CN" w:bidi="ar-SA"/>
    </w:rPr>
  </w:style>
  <w:style w:type="character" w:customStyle="1" w:styleId="1605">
    <w:name w:val="样式 Char Char Char Char Char Char Char Char Char Char Char Char Char Char Char Char Char1"/>
    <w:uiPriority w:val="0"/>
    <w:rPr>
      <w:rFonts w:eastAsia="宋体"/>
      <w:kern w:val="2"/>
      <w:sz w:val="24"/>
      <w:szCs w:val="24"/>
      <w:lang w:val="en-US" w:eastAsia="zh-CN" w:bidi="ar-SA"/>
    </w:rPr>
  </w:style>
  <w:style w:type="character" w:customStyle="1" w:styleId="1606">
    <w:name w:val="样式 紧缩量  0.2 磅"/>
    <w:uiPriority w:val="0"/>
    <w:rPr>
      <w:spacing w:val="-4"/>
      <w:sz w:val="24"/>
    </w:rPr>
  </w:style>
  <w:style w:type="character" w:customStyle="1" w:styleId="1607">
    <w:name w:val="Small"/>
    <w:uiPriority w:val="0"/>
    <w:rPr>
      <w:rFonts w:ascii="Book Antiqua" w:hAnsi="Book Antiqua"/>
      <w:b/>
      <w:i/>
      <w:smallCaps/>
      <w:sz w:val="18"/>
    </w:rPr>
  </w:style>
  <w:style w:type="paragraph" w:customStyle="1" w:styleId="1608">
    <w:name w:val="样式 正文首行缩进 + 黑色"/>
    <w:basedOn w:val="379"/>
    <w:link w:val="1609"/>
    <w:autoRedefine/>
    <w:qFormat/>
    <w:uiPriority w:val="0"/>
    <w:pPr>
      <w:widowControl/>
      <w:topLinePunct/>
      <w:snapToGrid w:val="0"/>
      <w:spacing w:line="420" w:lineRule="exact"/>
      <w:jc w:val="left"/>
    </w:pPr>
    <w:rPr>
      <w:color w:val="000000"/>
      <w:kern w:val="0"/>
    </w:rPr>
  </w:style>
  <w:style w:type="character" w:customStyle="1" w:styleId="1609">
    <w:name w:val="样式 正文首行缩进 + 黑色 Char"/>
    <w:link w:val="1608"/>
    <w:uiPriority w:val="0"/>
    <w:rPr>
      <w:rFonts w:cs="宋体"/>
      <w:color w:val="000000"/>
      <w:sz w:val="24"/>
      <w:szCs w:val="24"/>
    </w:rPr>
  </w:style>
  <w:style w:type="paragraph" w:customStyle="1" w:styleId="1610">
    <w:name w:val="中远正文"/>
    <w:basedOn w:val="1"/>
    <w:link w:val="1611"/>
    <w:autoRedefine/>
    <w:qFormat/>
    <w:uiPriority w:val="0"/>
    <w:pPr>
      <w:adjustRightInd w:val="0"/>
      <w:spacing w:line="360" w:lineRule="auto"/>
      <w:ind w:right="-21" w:rightChars="-10" w:firstLine="720" w:firstLineChars="300"/>
      <w:textAlignment w:val="baseline"/>
    </w:pPr>
    <w:rPr>
      <w:snapToGrid w:val="0"/>
      <w:kern w:val="24"/>
      <w:szCs w:val="20"/>
    </w:rPr>
  </w:style>
  <w:style w:type="character" w:customStyle="1" w:styleId="1611">
    <w:name w:val="中远正文 Char"/>
    <w:link w:val="1610"/>
    <w:uiPriority w:val="0"/>
    <w:rPr>
      <w:snapToGrid w:val="0"/>
      <w:kern w:val="24"/>
      <w:sz w:val="24"/>
    </w:rPr>
  </w:style>
  <w:style w:type="paragraph" w:customStyle="1" w:styleId="1612">
    <w:name w:val="table1"/>
    <w:basedOn w:val="1"/>
    <w:qFormat/>
    <w:uiPriority w:val="0"/>
    <w:pPr>
      <w:adjustRightInd w:val="0"/>
      <w:spacing w:line="240" w:lineRule="atLeast"/>
      <w:jc w:val="center"/>
      <w:textAlignment w:val="baseline"/>
    </w:pPr>
    <w:rPr>
      <w:rFonts w:eastAsia="黑体"/>
    </w:rPr>
  </w:style>
  <w:style w:type="paragraph" w:customStyle="1" w:styleId="1613">
    <w:name w:val="表格题注"/>
    <w:basedOn w:val="1"/>
    <w:link w:val="1614"/>
    <w:autoRedefine/>
    <w:qFormat/>
    <w:uiPriority w:val="0"/>
    <w:pPr>
      <w:adjustRightInd w:val="0"/>
      <w:spacing w:line="360" w:lineRule="auto"/>
      <w:jc w:val="center"/>
      <w:textAlignment w:val="baseline"/>
    </w:pPr>
    <w:rPr>
      <w:b/>
      <w:snapToGrid w:val="0"/>
      <w:kern w:val="24"/>
      <w:szCs w:val="21"/>
    </w:rPr>
  </w:style>
  <w:style w:type="character" w:customStyle="1" w:styleId="1614">
    <w:name w:val="表格题注 Char"/>
    <w:link w:val="1613"/>
    <w:uiPriority w:val="0"/>
    <w:rPr>
      <w:b/>
      <w:snapToGrid w:val="0"/>
      <w:kern w:val="24"/>
      <w:sz w:val="21"/>
      <w:szCs w:val="21"/>
    </w:rPr>
  </w:style>
  <w:style w:type="paragraph" w:customStyle="1" w:styleId="1615">
    <w:name w:val="表中文字居中"/>
    <w:basedOn w:val="1"/>
    <w:link w:val="1616"/>
    <w:autoRedefine/>
    <w:qFormat/>
    <w:uiPriority w:val="0"/>
    <w:pPr>
      <w:shd w:val="clear" w:color="auto" w:fill="FFFFFF"/>
      <w:tabs>
        <w:tab w:val="left" w:pos="360"/>
        <w:tab w:val="left" w:pos="1727"/>
        <w:tab w:val="left" w:pos="1884"/>
        <w:tab w:val="right" w:leader="middleDot" w:pos="9072"/>
      </w:tabs>
      <w:adjustRightInd w:val="0"/>
      <w:snapToGrid w:val="0"/>
      <w:spacing w:line="0" w:lineRule="atLeast"/>
      <w:ind w:left="1" w:leftChars="-34" w:right="-101" w:rightChars="-36" w:hanging="96" w:hangingChars="40"/>
      <w:jc w:val="center"/>
      <w:outlineLvl w:val="0"/>
    </w:pPr>
    <w:rPr>
      <w:szCs w:val="20"/>
    </w:rPr>
  </w:style>
  <w:style w:type="character" w:customStyle="1" w:styleId="1616">
    <w:name w:val="表中文字居中 Char"/>
    <w:link w:val="1615"/>
    <w:uiPriority w:val="0"/>
    <w:rPr>
      <w:rFonts w:ascii="宋体"/>
      <w:kern w:val="2"/>
      <w:sz w:val="24"/>
      <w:shd w:val="clear" w:color="auto" w:fill="FFFFFF"/>
    </w:rPr>
  </w:style>
  <w:style w:type="paragraph" w:customStyle="1" w:styleId="1617">
    <w:name w:val="样式 报告正文 + 行距: 多倍行距 1.4 字行1"/>
    <w:basedOn w:val="797"/>
    <w:qFormat/>
    <w:uiPriority w:val="0"/>
    <w:pPr>
      <w:adjustRightInd w:val="0"/>
      <w:snapToGrid w:val="0"/>
      <w:spacing w:line="336" w:lineRule="auto"/>
      <w:ind w:firstLine="560" w:firstLineChars="200"/>
    </w:pPr>
    <w:rPr>
      <w:rFonts w:eastAsia="宋体"/>
      <w:szCs w:val="28"/>
    </w:rPr>
  </w:style>
  <w:style w:type="table" w:customStyle="1" w:styleId="1618">
    <w:name w:val="毛的表格"/>
    <w:basedOn w:val="87"/>
    <w:uiPriority w:val="0"/>
    <w:pPr>
      <w:jc w:val="center"/>
    </w:pPr>
    <w:rPr>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paragraph" w:customStyle="1" w:styleId="1619">
    <w:name w:val="燕山正文"/>
    <w:basedOn w:val="1"/>
    <w:link w:val="1620"/>
    <w:autoRedefine/>
    <w:qFormat/>
    <w:uiPriority w:val="0"/>
    <w:pPr>
      <w:tabs>
        <w:tab w:val="left" w:pos="4680"/>
      </w:tabs>
      <w:adjustRightInd w:val="0"/>
      <w:snapToGrid w:val="0"/>
      <w:spacing w:line="360" w:lineRule="auto"/>
      <w:ind w:firstLine="560" w:firstLineChars="200"/>
    </w:pPr>
    <w:rPr>
      <w:color w:val="000000"/>
      <w:szCs w:val="28"/>
    </w:rPr>
  </w:style>
  <w:style w:type="character" w:customStyle="1" w:styleId="1620">
    <w:name w:val="燕山正文 Char"/>
    <w:link w:val="1619"/>
    <w:uiPriority w:val="0"/>
    <w:rPr>
      <w:rFonts w:ascii="宋体" w:hAnsi="宋体"/>
      <w:color w:val="000000"/>
      <w:kern w:val="2"/>
      <w:sz w:val="24"/>
      <w:szCs w:val="28"/>
    </w:rPr>
  </w:style>
  <w:style w:type="paragraph" w:customStyle="1" w:styleId="1621">
    <w:name w:val="样式 样式 样式 正文首行缩进 2 + 首行缩进:  2 字符 + 首行缩进:  2 字符 + 首行缩进:  2 字符"/>
    <w:basedOn w:val="1"/>
    <w:qFormat/>
    <w:uiPriority w:val="0"/>
    <w:pPr>
      <w:spacing w:line="440" w:lineRule="exact"/>
      <w:ind w:firstLine="200" w:firstLineChars="200"/>
    </w:pPr>
    <w:rPr>
      <w:szCs w:val="20"/>
    </w:rPr>
  </w:style>
  <w:style w:type="paragraph" w:customStyle="1" w:styleId="1622">
    <w:name w:val="表中文字中"/>
    <w:basedOn w:val="1"/>
    <w:next w:val="1"/>
    <w:autoRedefine/>
    <w:qFormat/>
    <w:uiPriority w:val="0"/>
    <w:pPr>
      <w:overflowPunct w:val="0"/>
      <w:autoSpaceDE w:val="0"/>
      <w:autoSpaceDN w:val="0"/>
      <w:adjustRightInd w:val="0"/>
      <w:snapToGrid w:val="0"/>
      <w:spacing w:line="0" w:lineRule="atLeast"/>
    </w:pPr>
    <w:rPr>
      <w:rFonts w:ascii="仿宋_GB2312" w:eastAsia="仿宋_GB2312"/>
      <w:lang w:val="zh-CN"/>
    </w:rPr>
  </w:style>
  <w:style w:type="paragraph" w:customStyle="1" w:styleId="1623">
    <w:name w:val="样式 标题 1章标题 1文章标题h11st levelSection Headl1章b1H1章节标题1标题..."/>
    <w:basedOn w:val="2"/>
    <w:autoRedefine/>
    <w:qFormat/>
    <w:uiPriority w:val="0"/>
    <w:pPr>
      <w:spacing w:beforeLines="50" w:after="240"/>
    </w:pPr>
    <w:rPr>
      <w:rFonts w:eastAsia="黑体"/>
      <w:b w:val="0"/>
      <w:bCs w:val="0"/>
      <w:color w:val="000000"/>
      <w:sz w:val="32"/>
      <w:szCs w:val="32"/>
    </w:rPr>
  </w:style>
  <w:style w:type="paragraph" w:customStyle="1" w:styleId="1624">
    <w:name w:val="1级样式."/>
    <w:basedOn w:val="1"/>
    <w:autoRedefine/>
    <w:qFormat/>
    <w:uiPriority w:val="0"/>
    <w:pPr>
      <w:keepNext/>
      <w:keepLines/>
      <w:spacing w:beforeLines="30" w:afterLines="30" w:line="300" w:lineRule="auto"/>
      <w:outlineLvl w:val="0"/>
    </w:pPr>
    <w:rPr>
      <w:rFonts w:eastAsia="黑体"/>
      <w:color w:val="000000"/>
      <w:kern w:val="44"/>
      <w:sz w:val="32"/>
      <w:szCs w:val="20"/>
    </w:rPr>
  </w:style>
  <w:style w:type="paragraph" w:customStyle="1" w:styleId="1625">
    <w:name w:val="样式 标题 22级样式 + 段前: 0.3 行 段后: 0.3 行"/>
    <w:basedOn w:val="3"/>
    <w:autoRedefine/>
    <w:qFormat/>
    <w:uiPriority w:val="0"/>
    <w:pPr>
      <w:spacing w:beforeLines="30" w:afterLines="30"/>
    </w:pPr>
    <w:rPr>
      <w:rFonts w:eastAsia="黑体"/>
      <w:b w:val="0"/>
      <w:bCs w:val="0"/>
      <w:color w:val="003300"/>
      <w:sz w:val="30"/>
      <w:szCs w:val="30"/>
    </w:rPr>
  </w:style>
  <w:style w:type="paragraph" w:customStyle="1" w:styleId="1626">
    <w:name w:val="4级样式"/>
    <w:basedOn w:val="5"/>
    <w:link w:val="1627"/>
    <w:autoRedefine/>
    <w:qFormat/>
    <w:uiPriority w:val="0"/>
    <w:pPr>
      <w:keepLines/>
      <w:widowControl w:val="0"/>
      <w:numPr>
        <w:ilvl w:val="2"/>
        <w:numId w:val="9"/>
      </w:numPr>
      <w:overflowPunct/>
      <w:autoSpaceDE/>
      <w:autoSpaceDN/>
      <w:adjustRightInd/>
      <w:spacing w:beforeLines="0" w:afterLines="0"/>
      <w:textAlignment w:val="auto"/>
    </w:pPr>
    <w:rPr>
      <w:rFonts w:ascii="Arial" w:hAnsi="Arial" w:eastAsia="黑体"/>
      <w:b w:val="0"/>
      <w:bCs/>
      <w:i w:val="0"/>
      <w:color w:val="339966"/>
      <w:kern w:val="2"/>
    </w:rPr>
  </w:style>
  <w:style w:type="character" w:customStyle="1" w:styleId="1627">
    <w:name w:val="4级样式 Char"/>
    <w:link w:val="1626"/>
    <w:uiPriority w:val="0"/>
    <w:rPr>
      <w:rFonts w:ascii="Arial" w:hAnsi="Arial" w:eastAsia="黑体" w:cs="宋体"/>
      <w:bCs/>
      <w:color w:val="339966"/>
      <w:kern w:val="2"/>
      <w:sz w:val="24"/>
      <w:szCs w:val="24"/>
    </w:rPr>
  </w:style>
  <w:style w:type="paragraph" w:customStyle="1" w:styleId="1628">
    <w:name w:val="3 级样式"/>
    <w:basedOn w:val="4"/>
    <w:autoRedefine/>
    <w:qFormat/>
    <w:uiPriority w:val="0"/>
    <w:pPr>
      <w:spacing w:beforeLines="20" w:afterLines="30" w:line="300" w:lineRule="auto"/>
    </w:pPr>
    <w:rPr>
      <w:rFonts w:eastAsia="黑体"/>
      <w:b w:val="0"/>
      <w:bCs w:val="0"/>
      <w:color w:val="339966"/>
      <w:kern w:val="28"/>
      <w:sz w:val="28"/>
      <w:szCs w:val="28"/>
    </w:rPr>
  </w:style>
  <w:style w:type="paragraph" w:customStyle="1" w:styleId="1629">
    <w:name w:val="2 级样式"/>
    <w:basedOn w:val="3"/>
    <w:autoRedefine/>
    <w:qFormat/>
    <w:uiPriority w:val="0"/>
    <w:pPr>
      <w:spacing w:beforeLines="30" w:afterLines="30" w:line="300" w:lineRule="auto"/>
    </w:pPr>
    <w:rPr>
      <w:rFonts w:eastAsia="黑体"/>
      <w:b w:val="0"/>
      <w:bCs w:val="0"/>
      <w:color w:val="003300"/>
      <w:sz w:val="30"/>
      <w:szCs w:val="30"/>
    </w:rPr>
  </w:style>
  <w:style w:type="paragraph" w:customStyle="1" w:styleId="1630">
    <w:name w:val="首选正文"/>
    <w:basedOn w:val="1"/>
    <w:autoRedefine/>
    <w:qFormat/>
    <w:uiPriority w:val="0"/>
    <w:pPr>
      <w:spacing w:line="460" w:lineRule="exact"/>
      <w:ind w:firstLine="200" w:firstLineChars="200"/>
    </w:pPr>
  </w:style>
  <w:style w:type="paragraph" w:customStyle="1" w:styleId="1631">
    <w:name w:val="大写标题"/>
    <w:basedOn w:val="1"/>
    <w:autoRedefine/>
    <w:qFormat/>
    <w:uiPriority w:val="0"/>
    <w:pPr>
      <w:spacing w:beforeLines="50" w:afterLines="100" w:line="360" w:lineRule="auto"/>
      <w:jc w:val="center"/>
    </w:pPr>
    <w:rPr>
      <w:rFonts w:eastAsia="黑体"/>
      <w:sz w:val="32"/>
      <w:szCs w:val="32"/>
    </w:rPr>
  </w:style>
  <w:style w:type="paragraph" w:customStyle="1" w:styleId="1632">
    <w:name w:val="大 写 标 题"/>
    <w:basedOn w:val="1631"/>
    <w:autoRedefine/>
    <w:qFormat/>
    <w:uiPriority w:val="0"/>
    <w:pPr>
      <w:spacing w:before="156" w:after="312"/>
    </w:pPr>
    <w:rPr>
      <w:sz w:val="36"/>
      <w:szCs w:val="20"/>
    </w:rPr>
  </w:style>
  <w:style w:type="paragraph" w:customStyle="1" w:styleId="1633">
    <w:name w:val="表格 文字"/>
    <w:basedOn w:val="379"/>
    <w:autoRedefine/>
    <w:qFormat/>
    <w:uiPriority w:val="0"/>
    <w:pPr>
      <w:tabs>
        <w:tab w:val="left" w:pos="628"/>
        <w:tab w:val="left" w:pos="1727"/>
        <w:tab w:val="left" w:pos="1884"/>
      </w:tabs>
      <w:snapToGrid w:val="0"/>
      <w:spacing w:line="240" w:lineRule="auto"/>
      <w:ind w:firstLine="0" w:firstLineChars="0"/>
      <w:jc w:val="center"/>
    </w:pPr>
    <w:rPr>
      <w:bCs/>
      <w:sz w:val="18"/>
      <w:szCs w:val="18"/>
    </w:rPr>
  </w:style>
  <w:style w:type="character" w:customStyle="1" w:styleId="1634">
    <w:name w:val="正文首行缩进 Char1 Char Char2"/>
    <w:uiPriority w:val="0"/>
    <w:rPr>
      <w:rFonts w:eastAsia="宋体"/>
      <w:kern w:val="2"/>
      <w:sz w:val="21"/>
      <w:szCs w:val="24"/>
      <w:lang w:val="en-US" w:eastAsia="zh-CN" w:bidi="ar-SA"/>
    </w:rPr>
  </w:style>
  <w:style w:type="paragraph" w:customStyle="1" w:styleId="1635">
    <w:name w:val="表格中的文字"/>
    <w:basedOn w:val="1633"/>
    <w:autoRedefine/>
    <w:qFormat/>
    <w:uiPriority w:val="0"/>
    <w:rPr>
      <w:bCs w:val="0"/>
    </w:rPr>
  </w:style>
  <w:style w:type="paragraph" w:customStyle="1" w:styleId="1636">
    <w:name w:val="前言正文"/>
    <w:basedOn w:val="1632"/>
    <w:qFormat/>
    <w:uiPriority w:val="0"/>
    <w:pPr>
      <w:spacing w:beforeLines="0" w:afterLines="0" w:line="300" w:lineRule="auto"/>
      <w:ind w:firstLine="200" w:firstLineChars="200"/>
      <w:jc w:val="both"/>
    </w:pPr>
    <w:rPr>
      <w:rFonts w:eastAsia="华文楷体"/>
      <w:sz w:val="24"/>
    </w:rPr>
  </w:style>
  <w:style w:type="paragraph" w:customStyle="1" w:styleId="1637">
    <w:name w:val="首行缩进正文"/>
    <w:basedOn w:val="379"/>
    <w:autoRedefine/>
    <w:qFormat/>
    <w:uiPriority w:val="0"/>
    <w:pPr>
      <w:spacing w:line="460" w:lineRule="exact"/>
    </w:pPr>
    <w:rPr>
      <w:color w:val="339966"/>
      <w:szCs w:val="18"/>
    </w:rPr>
  </w:style>
  <w:style w:type="paragraph" w:customStyle="1" w:styleId="1638">
    <w:name w:val="样式 表头 + 海绿 段前: 7.8 磅 段后: 7.8 磅"/>
    <w:basedOn w:val="201"/>
    <w:autoRedefine/>
    <w:qFormat/>
    <w:uiPriority w:val="0"/>
    <w:pPr>
      <w:keepNext/>
      <w:tabs>
        <w:tab w:val="left" w:pos="720"/>
        <w:tab w:val="left" w:pos="3319"/>
      </w:tabs>
      <w:spacing w:beforeLines="0" w:after="120" w:line="440" w:lineRule="exact"/>
      <w:ind w:firstLine="240" w:firstLineChars="100"/>
      <w:jc w:val="both"/>
    </w:pPr>
    <w:rPr>
      <w:bCs/>
      <w:color w:val="339966"/>
      <w:spacing w:val="8"/>
      <w:kern w:val="21"/>
    </w:rPr>
  </w:style>
  <w:style w:type="paragraph" w:customStyle="1" w:styleId="1639">
    <w:name w:val="表格内容（新）"/>
    <w:basedOn w:val="1"/>
    <w:autoRedefine/>
    <w:qFormat/>
    <w:uiPriority w:val="0"/>
    <w:pPr>
      <w:jc w:val="center"/>
    </w:pPr>
    <w:rPr>
      <w:color w:val="339966"/>
      <w:sz w:val="18"/>
      <w:szCs w:val="18"/>
    </w:rPr>
  </w:style>
  <w:style w:type="paragraph" w:customStyle="1" w:styleId="1640">
    <w:name w:val="样式 燕山正文 + 首行缩进:  3.5 字符2"/>
    <w:basedOn w:val="1619"/>
    <w:autoRedefine/>
    <w:qFormat/>
    <w:uiPriority w:val="0"/>
    <w:pPr>
      <w:spacing w:line="460" w:lineRule="exact"/>
      <w:ind w:firstLine="480"/>
    </w:pPr>
    <w:rPr>
      <w:rFonts w:ascii="Times New Roman" w:hAnsi="Times New Roman"/>
      <w:color w:val="auto"/>
      <w:szCs w:val="24"/>
    </w:rPr>
  </w:style>
  <w:style w:type="paragraph" w:customStyle="1" w:styleId="1641">
    <w:name w:val="样式 首行缩进正文 + 小四"/>
    <w:basedOn w:val="1637"/>
    <w:autoRedefine/>
    <w:qFormat/>
    <w:uiPriority w:val="0"/>
    <w:rPr>
      <w:rFonts w:cs="Times New Roman"/>
      <w:color w:val="auto"/>
      <w:szCs w:val="24"/>
    </w:rPr>
  </w:style>
  <w:style w:type="paragraph" w:customStyle="1" w:styleId="1642">
    <w:name w:val="Char Char Char1 Char Char Char Char Char Char Char Char Char Char6"/>
    <w:basedOn w:val="1"/>
    <w:qFormat/>
    <w:uiPriority w:val="0"/>
    <w:rPr>
      <w:szCs w:val="21"/>
    </w:rPr>
  </w:style>
  <w:style w:type="paragraph" w:customStyle="1" w:styleId="1643">
    <w:name w:val="表格内部"/>
    <w:basedOn w:val="1"/>
    <w:qFormat/>
    <w:uiPriority w:val="0"/>
    <w:pPr>
      <w:adjustRightInd w:val="0"/>
      <w:snapToGrid w:val="0"/>
      <w:spacing w:line="240" w:lineRule="atLeast"/>
      <w:ind w:right="28"/>
      <w:jc w:val="center"/>
      <w:textAlignment w:val="baseline"/>
    </w:pPr>
    <w:rPr>
      <w:rFonts w:ascii="Arial" w:hAnsi="Arial" w:cs="Arial"/>
      <w:szCs w:val="20"/>
    </w:rPr>
  </w:style>
  <w:style w:type="paragraph" w:customStyle="1" w:styleId="1644">
    <w:name w:val="段落文字"/>
    <w:basedOn w:val="1"/>
    <w:link w:val="1645"/>
    <w:qFormat/>
    <w:uiPriority w:val="0"/>
    <w:pPr>
      <w:adjustRightInd w:val="0"/>
      <w:snapToGrid w:val="0"/>
      <w:spacing w:line="520" w:lineRule="exact"/>
      <w:ind w:firstLine="560" w:firstLineChars="200"/>
    </w:pPr>
    <w:rPr>
      <w:sz w:val="28"/>
    </w:rPr>
  </w:style>
  <w:style w:type="character" w:customStyle="1" w:styleId="1645">
    <w:name w:val="段落文字 Char"/>
    <w:link w:val="1644"/>
    <w:uiPriority w:val="0"/>
    <w:rPr>
      <w:sz w:val="28"/>
      <w:szCs w:val="24"/>
    </w:rPr>
  </w:style>
  <w:style w:type="paragraph" w:customStyle="1" w:styleId="1646">
    <w:name w:val="王秀中"/>
    <w:basedOn w:val="1"/>
    <w:qFormat/>
    <w:uiPriority w:val="0"/>
    <w:pPr>
      <w:autoSpaceDE w:val="0"/>
      <w:autoSpaceDN w:val="0"/>
      <w:adjustRightInd w:val="0"/>
      <w:snapToGrid w:val="0"/>
      <w:spacing w:line="312" w:lineRule="auto"/>
      <w:ind w:firstLine="567"/>
    </w:pPr>
    <w:rPr>
      <w:sz w:val="28"/>
      <w:szCs w:val="20"/>
    </w:rPr>
  </w:style>
  <w:style w:type="paragraph" w:customStyle="1" w:styleId="1647">
    <w:name w:val="正文（1）"/>
    <w:basedOn w:val="8"/>
    <w:next w:val="379"/>
    <w:autoRedefine/>
    <w:qFormat/>
    <w:uiPriority w:val="0"/>
    <w:pPr>
      <w:adjustRightInd w:val="0"/>
      <w:snapToGrid w:val="0"/>
      <w:spacing w:line="360" w:lineRule="auto"/>
      <w:ind w:firstLine="520"/>
    </w:pPr>
    <w:rPr>
      <w:spacing w:val="10"/>
      <w:szCs w:val="24"/>
    </w:rPr>
  </w:style>
  <w:style w:type="character" w:customStyle="1" w:styleId="1648">
    <w:name w:val="四号 正文 Char"/>
    <w:link w:val="1649"/>
    <w:uiPriority w:val="0"/>
    <w:rPr>
      <w:rFonts w:cs="宋体"/>
      <w:spacing w:val="6"/>
      <w:kern w:val="2"/>
      <w:sz w:val="28"/>
    </w:rPr>
  </w:style>
  <w:style w:type="paragraph" w:customStyle="1" w:styleId="1649">
    <w:name w:val="四号 正文"/>
    <w:basedOn w:val="1"/>
    <w:link w:val="1648"/>
    <w:qFormat/>
    <w:uiPriority w:val="0"/>
    <w:pPr>
      <w:ind w:firstLine="584" w:firstLineChars="200"/>
    </w:pPr>
    <w:rPr>
      <w:spacing w:val="6"/>
      <w:sz w:val="28"/>
      <w:szCs w:val="20"/>
    </w:rPr>
  </w:style>
  <w:style w:type="paragraph" w:customStyle="1" w:styleId="1650">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651">
    <w:name w:val="表小4"/>
    <w:basedOn w:val="1"/>
    <w:link w:val="1652"/>
    <w:qFormat/>
    <w:uiPriority w:val="0"/>
    <w:pPr>
      <w:adjustRightInd w:val="0"/>
      <w:snapToGrid w:val="0"/>
      <w:jc w:val="center"/>
    </w:pPr>
    <w:rPr>
      <w:szCs w:val="21"/>
    </w:rPr>
  </w:style>
  <w:style w:type="character" w:customStyle="1" w:styleId="1652">
    <w:name w:val="表小4 Char"/>
    <w:link w:val="1651"/>
    <w:locked/>
    <w:uiPriority w:val="0"/>
    <w:rPr>
      <w:rFonts w:ascii="宋体" w:hAnsi="宋体"/>
      <w:sz w:val="24"/>
      <w:szCs w:val="21"/>
    </w:rPr>
  </w:style>
  <w:style w:type="paragraph" w:customStyle="1" w:styleId="1653">
    <w:name w:val="表格文字局中"/>
    <w:basedOn w:val="1"/>
    <w:next w:val="1"/>
    <w:qFormat/>
    <w:uiPriority w:val="0"/>
    <w:pPr>
      <w:jc w:val="center"/>
    </w:pPr>
  </w:style>
  <w:style w:type="paragraph" w:customStyle="1" w:styleId="1654">
    <w:name w:val="正文首行缩进-修改"/>
    <w:basedOn w:val="1"/>
    <w:qFormat/>
    <w:uiPriority w:val="0"/>
    <w:pPr>
      <w:spacing w:line="360" w:lineRule="auto"/>
      <w:ind w:firstLine="480" w:firstLineChars="200"/>
    </w:pPr>
  </w:style>
  <w:style w:type="table" w:customStyle="1" w:styleId="1655">
    <w:name w:val="网格型3"/>
    <w:basedOn w:val="8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56">
    <w:name w:val="正文小四首缩1.3行距"/>
    <w:basedOn w:val="1"/>
    <w:link w:val="1657"/>
    <w:qFormat/>
    <w:uiPriority w:val="0"/>
    <w:pPr>
      <w:spacing w:line="312" w:lineRule="auto"/>
      <w:ind w:firstLine="420" w:firstLineChars="200"/>
    </w:pPr>
  </w:style>
  <w:style w:type="character" w:customStyle="1" w:styleId="1657">
    <w:name w:val="正文小四首缩1.3行距 Char"/>
    <w:link w:val="1656"/>
    <w:uiPriority w:val="0"/>
    <w:rPr>
      <w:kern w:val="2"/>
      <w:sz w:val="24"/>
      <w:szCs w:val="24"/>
    </w:rPr>
  </w:style>
  <w:style w:type="character" w:customStyle="1" w:styleId="1658">
    <w:name w:val="实德题注 Char Char"/>
    <w:uiPriority w:val="0"/>
    <w:rPr>
      <w:rFonts w:eastAsia="宋体"/>
      <w:b/>
      <w:kern w:val="2"/>
      <w:sz w:val="24"/>
      <w:szCs w:val="24"/>
      <w:lang w:val="en-US" w:eastAsia="zh-CN" w:bidi="ar-SA"/>
    </w:rPr>
  </w:style>
  <w:style w:type="paragraph" w:customStyle="1" w:styleId="1659">
    <w:name w:val="gb1"/>
    <w:basedOn w:val="1"/>
    <w:qFormat/>
    <w:uiPriority w:val="0"/>
    <w:pPr>
      <w:tabs>
        <w:tab w:val="left" w:pos="227"/>
      </w:tabs>
      <w:overflowPunct w:val="0"/>
      <w:autoSpaceDE w:val="0"/>
      <w:autoSpaceDN w:val="0"/>
      <w:adjustRightInd w:val="0"/>
      <w:spacing w:before="120" w:after="120"/>
      <w:textAlignment w:val="baseline"/>
    </w:pPr>
    <w:rPr>
      <w:rFonts w:ascii="Arial" w:hAnsi="Arial" w:eastAsia="仿宋体"/>
      <w:szCs w:val="20"/>
    </w:rPr>
  </w:style>
  <w:style w:type="paragraph" w:customStyle="1" w:styleId="1660">
    <w:name w:val="Char Char Char Char Char Char Char Char Char1"/>
    <w:basedOn w:val="1"/>
    <w:qFormat/>
    <w:uiPriority w:val="0"/>
  </w:style>
  <w:style w:type="character" w:customStyle="1" w:styleId="1661">
    <w:name w:val="content1"/>
    <w:uiPriority w:val="0"/>
    <w:rPr>
      <w:rFonts w:hint="eastAsia" w:ascii="宋体" w:hAnsi="宋体" w:eastAsia="宋体"/>
      <w:color w:val="333333"/>
      <w:sz w:val="21"/>
      <w:szCs w:val="21"/>
    </w:rPr>
  </w:style>
  <w:style w:type="paragraph" w:customStyle="1" w:styleId="1662">
    <w:name w:val="Char Char Char Char Char Char Char Char Char4"/>
    <w:basedOn w:val="1"/>
    <w:qFormat/>
    <w:uiPriority w:val="0"/>
  </w:style>
  <w:style w:type="paragraph" w:customStyle="1" w:styleId="1663">
    <w:name w:val="Char Char Char Char Char Char Char Char Char3"/>
    <w:basedOn w:val="1"/>
    <w:qFormat/>
    <w:uiPriority w:val="0"/>
  </w:style>
  <w:style w:type="paragraph" w:customStyle="1" w:styleId="1664">
    <w:name w:val="Char Char Char Char Char Char Char Char Char2"/>
    <w:basedOn w:val="1"/>
    <w:qFormat/>
    <w:uiPriority w:val="0"/>
  </w:style>
  <w:style w:type="paragraph" w:customStyle="1" w:styleId="1665">
    <w:name w:val="样式 标题 1H1标题 1-王鹏章标题 1-*+h11st levelSection Headl1b1标题2..."/>
    <w:basedOn w:val="2"/>
    <w:autoRedefine/>
    <w:qFormat/>
    <w:uiPriority w:val="0"/>
    <w:pPr>
      <w:spacing w:beforeLines="0" w:afterLines="0"/>
    </w:pPr>
    <w:rPr>
      <w:color w:val="0000FF"/>
      <w:sz w:val="32"/>
      <w:szCs w:val="32"/>
    </w:rPr>
  </w:style>
  <w:style w:type="paragraph" w:customStyle="1" w:styleId="1666">
    <w:name w:val="样式 默认段落字体 Para Char Char Char Char +"/>
    <w:basedOn w:val="1"/>
    <w:qFormat/>
    <w:uiPriority w:val="0"/>
    <w:pPr>
      <w:spacing w:beforeLines="50" w:afterLines="50" w:line="360" w:lineRule="auto"/>
    </w:pPr>
    <w:rPr>
      <w:rFonts w:ascii="Cambria" w:hAnsi="Cambria" w:eastAsia="黑体"/>
      <w:sz w:val="28"/>
      <w:szCs w:val="22"/>
      <w:lang w:eastAsia="en-US" w:bidi="en-US"/>
    </w:rPr>
  </w:style>
  <w:style w:type="paragraph" w:customStyle="1" w:styleId="1667">
    <w:name w:val="正文表"/>
    <w:basedOn w:val="1"/>
    <w:qFormat/>
    <w:uiPriority w:val="0"/>
    <w:pPr>
      <w:jc w:val="center"/>
    </w:pPr>
    <w:rPr>
      <w:rFonts w:ascii="Times" w:hAnsi="Times" w:eastAsia="仿宋_GB2312"/>
      <w:sz w:val="18"/>
    </w:rPr>
  </w:style>
  <w:style w:type="character" w:customStyle="1" w:styleId="1668">
    <w:name w:val="content"/>
    <w:basedOn w:val="132"/>
    <w:uiPriority w:val="0"/>
  </w:style>
  <w:style w:type="paragraph" w:customStyle="1" w:styleId="1669">
    <w:name w:val="文字"/>
    <w:basedOn w:val="1"/>
    <w:qFormat/>
    <w:uiPriority w:val="0"/>
    <w:pPr>
      <w:tabs>
        <w:tab w:val="left" w:pos="3780"/>
      </w:tabs>
      <w:spacing w:line="260" w:lineRule="exact"/>
      <w:jc w:val="center"/>
    </w:pPr>
    <w:rPr>
      <w:rFonts w:ascii="Times" w:hAnsi="Times" w:eastAsia="仿宋_GB2312"/>
      <w:sz w:val="18"/>
      <w:szCs w:val="20"/>
      <w:u w:color="000000"/>
    </w:rPr>
  </w:style>
  <w:style w:type="character" w:customStyle="1" w:styleId="1670">
    <w:name w:val="报告正文 Char2"/>
    <w:uiPriority w:val="0"/>
    <w:rPr>
      <w:rFonts w:eastAsia="仿宋_GB2312"/>
      <w:kern w:val="2"/>
      <w:sz w:val="28"/>
      <w:szCs w:val="24"/>
      <w:lang w:val="en-US" w:eastAsia="zh-CN" w:bidi="ar-SA"/>
    </w:rPr>
  </w:style>
  <w:style w:type="paragraph" w:customStyle="1" w:styleId="1671">
    <w:name w:val="样式 标题 1 + 居中"/>
    <w:basedOn w:val="2"/>
    <w:qFormat/>
    <w:uiPriority w:val="0"/>
    <w:pPr>
      <w:spacing w:beforeLines="0" w:afterLines="0" w:line="413" w:lineRule="auto"/>
      <w:ind w:firstLine="643" w:firstLineChars="200"/>
      <w:jc w:val="center"/>
    </w:pPr>
    <w:rPr>
      <w:kern w:val="2"/>
      <w:sz w:val="30"/>
      <w:szCs w:val="20"/>
    </w:rPr>
  </w:style>
  <w:style w:type="paragraph" w:customStyle="1" w:styleId="1672">
    <w:name w:val="PA"/>
    <w:basedOn w:val="1"/>
    <w:qFormat/>
    <w:uiPriority w:val="0"/>
    <w:pPr>
      <w:spacing w:after="120"/>
      <w:ind w:left="1134"/>
    </w:pPr>
    <w:rPr>
      <w:rFonts w:ascii="Arial" w:hAnsi="Arial"/>
      <w:sz w:val="22"/>
      <w:szCs w:val="20"/>
      <w:lang w:val="en-GB"/>
    </w:rPr>
  </w:style>
  <w:style w:type="character" w:customStyle="1" w:styleId="1673">
    <w:name w:val="zwb-正文 Char"/>
    <w:link w:val="1674"/>
    <w:uiPriority w:val="0"/>
    <w:rPr>
      <w:kern w:val="2"/>
      <w:sz w:val="24"/>
      <w:szCs w:val="24"/>
    </w:rPr>
  </w:style>
  <w:style w:type="paragraph" w:customStyle="1" w:styleId="1674">
    <w:name w:val="zwb-正文"/>
    <w:basedOn w:val="1"/>
    <w:link w:val="1673"/>
    <w:qFormat/>
    <w:uiPriority w:val="0"/>
    <w:pPr>
      <w:spacing w:line="360" w:lineRule="auto"/>
      <w:ind w:firstLine="200" w:firstLineChars="200"/>
    </w:pPr>
  </w:style>
  <w:style w:type="character" w:customStyle="1" w:styleId="1675">
    <w:name w:val="标题3 Char Char"/>
    <w:locked/>
    <w:uiPriority w:val="0"/>
    <w:rPr>
      <w:rFonts w:eastAsia="宋体"/>
      <w:b/>
      <w:bCs/>
      <w:kern w:val="2"/>
      <w:sz w:val="32"/>
      <w:szCs w:val="32"/>
      <w:lang w:val="en-US" w:eastAsia="zh-CN" w:bidi="ar-SA"/>
    </w:rPr>
  </w:style>
  <w:style w:type="paragraph" w:customStyle="1" w:styleId="1676">
    <w:name w:val="17"/>
    <w:basedOn w:val="1"/>
    <w:qFormat/>
    <w:uiPriority w:val="0"/>
    <w:pPr>
      <w:spacing w:line="360" w:lineRule="auto"/>
    </w:pPr>
    <w:rPr>
      <w:szCs w:val="21"/>
    </w:rPr>
  </w:style>
  <w:style w:type="paragraph" w:customStyle="1" w:styleId="1677">
    <w:name w:val="Char Char Char Char Char Char Char Char Char Char Char Char Char Char Char Char Char Char Char Char Char Char Char Char"/>
    <w:basedOn w:val="1"/>
    <w:qFormat/>
    <w:uiPriority w:val="0"/>
    <w:pPr>
      <w:spacing w:line="360" w:lineRule="auto"/>
    </w:pPr>
    <w:rPr>
      <w:szCs w:val="21"/>
    </w:rPr>
  </w:style>
  <w:style w:type="paragraph" w:customStyle="1" w:styleId="1678">
    <w:name w:val="标题3 节标题"/>
    <w:basedOn w:val="4"/>
    <w:qFormat/>
    <w:uiPriority w:val="0"/>
    <w:pPr>
      <w:spacing w:beforeLines="0" w:afterLines="0"/>
    </w:pPr>
    <w:rPr>
      <w:bCs w:val="0"/>
      <w:color w:val="000000"/>
      <w:sz w:val="28"/>
      <w:szCs w:val="28"/>
    </w:rPr>
  </w:style>
  <w:style w:type="paragraph" w:customStyle="1" w:styleId="1679">
    <w:name w:val="标题2，节标题"/>
    <w:basedOn w:val="3"/>
    <w:qFormat/>
    <w:uiPriority w:val="0"/>
    <w:pPr>
      <w:spacing w:beforeLines="0" w:afterLines="0"/>
    </w:pPr>
    <w:rPr>
      <w:sz w:val="30"/>
    </w:rPr>
  </w:style>
  <w:style w:type="paragraph" w:customStyle="1" w:styleId="1680">
    <w:name w:val="标题一，章标题"/>
    <w:basedOn w:val="2"/>
    <w:qFormat/>
    <w:uiPriority w:val="0"/>
    <w:pPr>
      <w:keepLines w:val="0"/>
      <w:spacing w:beforeLines="0" w:afterLines="0"/>
    </w:pPr>
    <w:rPr>
      <w:bCs w:val="0"/>
      <w:kern w:val="0"/>
      <w:sz w:val="32"/>
      <w:szCs w:val="20"/>
    </w:rPr>
  </w:style>
  <w:style w:type="character" w:customStyle="1" w:styleId="1681">
    <w:name w:val="headline-content2"/>
    <w:basedOn w:val="132"/>
    <w:uiPriority w:val="0"/>
  </w:style>
  <w:style w:type="paragraph" w:customStyle="1" w:styleId="1682">
    <w:name w:val="1-正文"/>
    <w:basedOn w:val="1"/>
    <w:qFormat/>
    <w:uiPriority w:val="0"/>
    <w:pPr>
      <w:spacing w:line="360" w:lineRule="auto"/>
      <w:ind w:firstLine="480" w:firstLineChars="200"/>
    </w:pPr>
  </w:style>
  <w:style w:type="character" w:customStyle="1" w:styleId="1683">
    <w:name w:val="页眉 Char Char Char1"/>
    <w:uiPriority w:val="0"/>
    <w:rPr>
      <w:rFonts w:eastAsia="宋体"/>
      <w:kern w:val="2"/>
      <w:sz w:val="18"/>
      <w:szCs w:val="18"/>
      <w:lang w:val="en-US" w:eastAsia="zh-CN" w:bidi="ar-SA"/>
    </w:rPr>
  </w:style>
  <w:style w:type="paragraph" w:customStyle="1" w:styleId="1684">
    <w:name w:val="Char Char2 Char Char1"/>
    <w:basedOn w:val="1"/>
    <w:qFormat/>
    <w:uiPriority w:val="0"/>
  </w:style>
  <w:style w:type="character" w:customStyle="1" w:styleId="1685">
    <w:name w:val="表注 Char Char"/>
    <w:uiPriority w:val="0"/>
    <w:rPr>
      <w:rFonts w:ascii="Calibri" w:hAnsi="Calibri" w:eastAsia="宋体"/>
      <w:kern w:val="32"/>
      <w:sz w:val="15"/>
      <w:szCs w:val="24"/>
      <w:lang w:val="en-US" w:eastAsia="en-US" w:bidi="en-US"/>
    </w:rPr>
  </w:style>
  <w:style w:type="character" w:customStyle="1" w:styleId="1686">
    <w:name w:val="表后标题 Char Char"/>
    <w:uiPriority w:val="0"/>
    <w:rPr>
      <w:rFonts w:hAnsi="宋体" w:eastAsia="宋体"/>
      <w:b/>
      <w:kern w:val="2"/>
      <w:sz w:val="21"/>
      <w:lang w:val="en-US" w:eastAsia="zh-CN" w:bidi="ar-SA"/>
    </w:rPr>
  </w:style>
  <w:style w:type="character" w:customStyle="1" w:styleId="1687">
    <w:name w:val="准 表头 Char Char"/>
    <w:uiPriority w:val="0"/>
    <w:rPr>
      <w:rFonts w:eastAsia="黑体"/>
      <w:szCs w:val="21"/>
      <w:lang w:bidi="ar-SA"/>
    </w:rPr>
  </w:style>
  <w:style w:type="character" w:customStyle="1" w:styleId="1688">
    <w:name w:val="样式  Char + 宋体 小四 Char Char"/>
    <w:uiPriority w:val="0"/>
    <w:rPr>
      <w:rFonts w:ascii="宋体" w:hAnsi="宋体" w:eastAsia="宋体"/>
      <w:snapToGrid w:val="0"/>
      <w:sz w:val="24"/>
      <w:szCs w:val="24"/>
      <w:lang w:val="en-US" w:eastAsia="zh-CN" w:bidi="ar-SA"/>
    </w:rPr>
  </w:style>
  <w:style w:type="character" w:customStyle="1" w:styleId="1689">
    <w:name w:val="Table Figure Caption Char Char"/>
    <w:uiPriority w:val="0"/>
    <w:rPr>
      <w:kern w:val="2"/>
      <w:sz w:val="24"/>
      <w:lang w:bidi="ar-SA"/>
    </w:rPr>
  </w:style>
  <w:style w:type="character" w:customStyle="1" w:styleId="1690">
    <w:name w:val="样式 样式 表格 + (符号) 宋体 五号 居中 + 小五 Char Char"/>
    <w:uiPriority w:val="0"/>
    <w:rPr>
      <w:rFonts w:eastAsia="宋体"/>
      <w:snapToGrid w:val="0"/>
      <w:sz w:val="18"/>
      <w:szCs w:val="21"/>
      <w:lang w:val="en-US" w:eastAsia="zh-CN" w:bidi="ar-SA"/>
    </w:rPr>
  </w:style>
  <w:style w:type="character" w:customStyle="1" w:styleId="1691">
    <w:name w:val="样式 Times New Roman 行距: 1.5 倍行距 Char Char"/>
    <w:qFormat/>
    <w:uiPriority w:val="0"/>
    <w:rPr>
      <w:rFonts w:eastAsia="宋体" w:cs="宋体"/>
      <w:kern w:val="24"/>
      <w:sz w:val="28"/>
      <w:szCs w:val="28"/>
      <w:lang w:val="en-US" w:eastAsia="zh-CN" w:bidi="ar-SA"/>
    </w:rPr>
  </w:style>
  <w:style w:type="character" w:customStyle="1" w:styleId="1692">
    <w:name w:val="陈表格中内容 Char Char"/>
    <w:uiPriority w:val="0"/>
    <w:rPr>
      <w:rFonts w:ascii="宋体" w:hAnsi="宋体" w:eastAsia="宋体"/>
      <w:spacing w:val="-6"/>
      <w:sz w:val="21"/>
      <w:lang w:val="en-US" w:eastAsia="zh-CN" w:bidi="ar-SA"/>
    </w:rPr>
  </w:style>
  <w:style w:type="character" w:customStyle="1" w:styleId="1693">
    <w:name w:val="Style 正文文本 + Char Char"/>
    <w:uiPriority w:val="0"/>
    <w:rPr>
      <w:sz w:val="24"/>
      <w:lang w:bidi="ar-SA"/>
    </w:rPr>
  </w:style>
  <w:style w:type="character" w:customStyle="1" w:styleId="1694">
    <w:name w:val="表 Char Char"/>
    <w:uiPriority w:val="0"/>
    <w:rPr>
      <w:rFonts w:eastAsia="宋体"/>
      <w:sz w:val="21"/>
      <w:lang w:val="en-US" w:eastAsia="zh-CN" w:bidi="ar-SA"/>
    </w:rPr>
  </w:style>
  <w:style w:type="character" w:customStyle="1" w:styleId="1695">
    <w:name w:val="分目录2 Char Char"/>
    <w:uiPriority w:val="0"/>
    <w:rPr>
      <w:rFonts w:eastAsia="宋体"/>
      <w:snapToGrid w:val="0"/>
      <w:color w:val="000000"/>
      <w:kern w:val="2"/>
      <w:sz w:val="28"/>
      <w:lang w:val="en-US" w:eastAsia="zh-CN" w:bidi="ar-SA"/>
    </w:rPr>
  </w:style>
  <w:style w:type="character" w:customStyle="1" w:styleId="1696">
    <w:name w:val="样式 标题 3 + 黑体 小四 Char Char"/>
    <w:uiPriority w:val="0"/>
    <w:rPr>
      <w:rFonts w:ascii="黑体" w:hAnsi="黑体" w:eastAsia="宋体"/>
      <w:snapToGrid w:val="0"/>
      <w:kern w:val="2"/>
      <w:sz w:val="24"/>
      <w:lang w:val="en-US" w:eastAsia="zh-CN" w:bidi="ar-SA"/>
    </w:rPr>
  </w:style>
  <w:style w:type="character" w:customStyle="1" w:styleId="1697">
    <w:name w:val="1正文段落 Char Char"/>
    <w:qFormat/>
    <w:uiPriority w:val="0"/>
    <w:rPr>
      <w:rFonts w:eastAsia="宋体"/>
      <w:snapToGrid w:val="0"/>
      <w:sz w:val="24"/>
      <w:szCs w:val="24"/>
      <w:lang w:val="en-US" w:eastAsia="zh-CN" w:bidi="ar-SA"/>
    </w:rPr>
  </w:style>
  <w:style w:type="character" w:customStyle="1" w:styleId="1698">
    <w:name w:val="008 Char Char"/>
    <w:uiPriority w:val="0"/>
    <w:rPr>
      <w:rFonts w:ascii="宋体" w:hAnsi="宋体" w:eastAsia="宋体"/>
      <w:kern w:val="2"/>
      <w:sz w:val="28"/>
      <w:lang w:val="en-US" w:eastAsia="zh-CN" w:bidi="ar-SA"/>
    </w:rPr>
  </w:style>
  <w:style w:type="character" w:customStyle="1" w:styleId="1699">
    <w:name w:val="表标号 Char Char"/>
    <w:uiPriority w:val="0"/>
    <w:rPr>
      <w:rFonts w:eastAsia="黑体"/>
      <w:snapToGrid w:val="0"/>
      <w:sz w:val="24"/>
      <w:szCs w:val="24"/>
      <w:lang w:val="en-US" w:eastAsia="zh-CN" w:bidi="ar-SA"/>
    </w:rPr>
  </w:style>
  <w:style w:type="character" w:customStyle="1" w:styleId="1700">
    <w:name w:val="准 正文 左侧:  2 字符 + 首行缩进:  2 字符 Char Char"/>
    <w:qFormat/>
    <w:uiPriority w:val="0"/>
    <w:rPr>
      <w:rFonts w:eastAsia="宋体"/>
      <w:sz w:val="24"/>
      <w:lang w:bidi="ar-SA"/>
    </w:rPr>
  </w:style>
  <w:style w:type="character" w:customStyle="1" w:styleId="1701">
    <w:name w:val="样式 样式5 + 宋体 Char Char"/>
    <w:uiPriority w:val="0"/>
    <w:rPr>
      <w:rFonts w:eastAsia="宋体"/>
      <w:b/>
      <w:bCs/>
      <w:kern w:val="2"/>
      <w:sz w:val="26"/>
      <w:szCs w:val="26"/>
      <w:lang w:val="en-US" w:eastAsia="zh-CN" w:bidi="ar-SA"/>
    </w:rPr>
  </w:style>
  <w:style w:type="character" w:customStyle="1" w:styleId="1702">
    <w:name w:val="ÕýÎÄ Char Char"/>
    <w:qFormat/>
    <w:uiPriority w:val="0"/>
    <w:rPr>
      <w:rFonts w:eastAsia="宋体"/>
      <w:color w:val="000000"/>
      <w:sz w:val="21"/>
      <w:lang w:val="en-US" w:eastAsia="zh-CN" w:bidi="ar-SA"/>
    </w:rPr>
  </w:style>
  <w:style w:type="character" w:customStyle="1" w:styleId="1703">
    <w:name w:val="L正文 Char Char"/>
    <w:uiPriority w:val="0"/>
    <w:rPr>
      <w:rFonts w:eastAsia="宋体"/>
      <w:bCs/>
      <w:snapToGrid w:val="0"/>
      <w:sz w:val="26"/>
      <w:szCs w:val="26"/>
      <w:lang w:val="en-US" w:eastAsia="zh-CN" w:bidi="ar-SA"/>
    </w:rPr>
  </w:style>
  <w:style w:type="character" w:customStyle="1" w:styleId="1704">
    <w:name w:val="正文1 Char Char"/>
    <w:uiPriority w:val="0"/>
    <w:rPr>
      <w:rFonts w:ascii="宋体" w:eastAsia="宋体"/>
      <w:sz w:val="24"/>
      <w:lang w:val="en-US" w:eastAsia="zh-CN" w:bidi="ar-SA"/>
    </w:rPr>
  </w:style>
  <w:style w:type="character" w:customStyle="1" w:styleId="1705">
    <w:name w:val="样式4 Char Char"/>
    <w:qFormat/>
    <w:uiPriority w:val="0"/>
    <w:rPr>
      <w:rFonts w:ascii="宋体" w:hAnsi="宋体" w:eastAsia="宋体"/>
      <w:snapToGrid w:val="0"/>
      <w:color w:val="000000"/>
      <w:sz w:val="24"/>
      <w:szCs w:val="24"/>
      <w:lang w:val="en-US" w:eastAsia="zh-CN" w:bidi="ar-SA"/>
    </w:rPr>
  </w:style>
  <w:style w:type="character" w:customStyle="1" w:styleId="1706">
    <w:name w:val="样式5 Char Char"/>
    <w:uiPriority w:val="0"/>
    <w:rPr>
      <w:rFonts w:ascii="宋体" w:hAnsi="宋体" w:eastAsia="宋体"/>
      <w:sz w:val="24"/>
      <w:szCs w:val="24"/>
      <w:lang w:val="en-US" w:eastAsia="zh-CN" w:bidi="ar-SA"/>
    </w:rPr>
  </w:style>
  <w:style w:type="character" w:customStyle="1" w:styleId="1707">
    <w:name w:val="正文文本 Char Char"/>
    <w:uiPriority w:val="0"/>
    <w:rPr>
      <w:rFonts w:eastAsia="宋体"/>
      <w:b/>
      <w:bCs/>
      <w:kern w:val="2"/>
      <w:sz w:val="24"/>
      <w:lang w:val="en-US" w:eastAsia="zh-CN" w:bidi="ar-SA"/>
    </w:rPr>
  </w:style>
  <w:style w:type="character" w:customStyle="1" w:styleId="1708">
    <w:name w:val="样式 标题 1章标题 1章节标题b111标题 1 + 非加粗 自动设置 Char Char"/>
    <w:uiPriority w:val="0"/>
    <w:rPr>
      <w:rFonts w:ascii="黑体" w:hAnsi="宋体" w:eastAsia="黑体"/>
      <w:sz w:val="28"/>
      <w:szCs w:val="32"/>
      <w:lang w:val="en-US" w:eastAsia="zh-CN" w:bidi="ar-SA"/>
    </w:rPr>
  </w:style>
  <w:style w:type="character" w:customStyle="1" w:styleId="1709">
    <w:name w:val="样式1 Char Char"/>
    <w:qFormat/>
    <w:uiPriority w:val="0"/>
    <w:rPr>
      <w:rFonts w:eastAsia="宋体"/>
      <w:b/>
      <w:kern w:val="2"/>
      <w:sz w:val="21"/>
      <w:szCs w:val="21"/>
      <w:lang w:val="en-US" w:eastAsia="zh-CN" w:bidi="ar-SA"/>
    </w:rPr>
  </w:style>
  <w:style w:type="character" w:customStyle="1" w:styleId="1710">
    <w:name w:val="陈表头文字 Char Char"/>
    <w:qFormat/>
    <w:uiPriority w:val="0"/>
    <w:rPr>
      <w:rFonts w:ascii="宋体" w:hAnsi="宋体" w:eastAsia="宋体"/>
      <w:b/>
      <w:kern w:val="2"/>
      <w:sz w:val="24"/>
      <w:szCs w:val="24"/>
      <w:lang w:val="en-US" w:eastAsia="zh-CN" w:bidi="ar-SA"/>
    </w:rPr>
  </w:style>
  <w:style w:type="character" w:customStyle="1" w:styleId="1711">
    <w:name w:val="yyp Char Char"/>
    <w:uiPriority w:val="0"/>
    <w:rPr>
      <w:rFonts w:eastAsia="宋体"/>
      <w:kern w:val="2"/>
      <w:sz w:val="24"/>
      <w:szCs w:val="24"/>
      <w:lang w:bidi="ar-SA"/>
    </w:rPr>
  </w:style>
  <w:style w:type="character" w:customStyle="1" w:styleId="1712">
    <w:name w:val="缩进 Char Char"/>
    <w:uiPriority w:val="0"/>
    <w:rPr>
      <w:rFonts w:eastAsia="宋体"/>
      <w:kern w:val="2"/>
      <w:sz w:val="24"/>
      <w:szCs w:val="24"/>
      <w:lang w:val="en-US" w:eastAsia="zh-CN" w:bidi="ar-SA"/>
    </w:rPr>
  </w:style>
  <w:style w:type="character" w:customStyle="1" w:styleId="1713">
    <w:name w:val="5级正文 Char Char"/>
    <w:qFormat/>
    <w:uiPriority w:val="0"/>
    <w:rPr>
      <w:rFonts w:eastAsia="宋体"/>
      <w:b/>
      <w:kern w:val="2"/>
      <w:sz w:val="24"/>
      <w:szCs w:val="24"/>
      <w:lang w:val="en-US" w:eastAsia="zh-CN" w:bidi="ar-SA"/>
    </w:rPr>
  </w:style>
  <w:style w:type="character" w:customStyle="1" w:styleId="1714">
    <w:name w:val="分目录1 Char Char"/>
    <w:qFormat/>
    <w:uiPriority w:val="0"/>
    <w:rPr>
      <w:rFonts w:eastAsia="宋体"/>
      <w:snapToGrid w:val="0"/>
      <w:sz w:val="28"/>
      <w:lang w:bidi="ar-SA"/>
    </w:rPr>
  </w:style>
  <w:style w:type="character" w:customStyle="1" w:styleId="1715">
    <w:name w:val="【图片】 Char Char"/>
    <w:qFormat/>
    <w:uiPriority w:val="0"/>
    <w:rPr>
      <w:rFonts w:ascii="宋体" w:hAnsi="宋体"/>
      <w:kern w:val="2"/>
      <w:sz w:val="24"/>
      <w:lang w:val="en-US" w:eastAsia="zh-CN" w:bidi="ar-SA"/>
    </w:rPr>
  </w:style>
  <w:style w:type="character" w:customStyle="1" w:styleId="1716">
    <w:name w:val="wwww Char Char"/>
    <w:uiPriority w:val="0"/>
    <w:rPr>
      <w:rFonts w:ascii="宋体" w:hAnsi="宋体"/>
      <w:kern w:val="2"/>
      <w:sz w:val="28"/>
      <w:lang w:val="en-US" w:eastAsia="zh-CN" w:bidi="ar-SA"/>
    </w:rPr>
  </w:style>
  <w:style w:type="character" w:customStyle="1" w:styleId="1717">
    <w:name w:val="样式 (西文) Times New Roman (符号) 华文中宋 Char Char"/>
    <w:uiPriority w:val="0"/>
    <w:rPr>
      <w:rFonts w:ascii="Calibri" w:hAnsi="华文中宋" w:eastAsia="华文中宋"/>
      <w:sz w:val="24"/>
      <w:lang w:bidi="ar-SA"/>
    </w:rPr>
  </w:style>
  <w:style w:type="character" w:customStyle="1" w:styleId="1718">
    <w:name w:val="Char Char Char Char Char Char Char Char Char Char Char Char Char Char Char Char Char Char Char Char Char"/>
    <w:uiPriority w:val="0"/>
    <w:rPr>
      <w:rFonts w:hint="eastAsia" w:ascii="宋体" w:hAnsi="Courier New" w:eastAsia="宋体"/>
      <w:kern w:val="2"/>
      <w:sz w:val="21"/>
      <w:lang w:val="en-US" w:eastAsia="zh-CN" w:bidi="ar-SA"/>
    </w:rPr>
  </w:style>
  <w:style w:type="character" w:customStyle="1" w:styleId="1719">
    <w:name w:val="陈正文 Char Char"/>
    <w:qFormat/>
    <w:uiPriority w:val="0"/>
    <w:rPr>
      <w:rFonts w:ascii="宋体" w:hAnsi="宋体" w:eastAsia="宋体"/>
      <w:kern w:val="2"/>
      <w:sz w:val="24"/>
      <w:szCs w:val="24"/>
      <w:lang w:val="en-US" w:eastAsia="zh-CN" w:bidi="ar-SA"/>
    </w:rPr>
  </w:style>
  <w:style w:type="character" w:customStyle="1" w:styleId="1720">
    <w:name w:val="新正文 Char Char"/>
    <w:uiPriority w:val="0"/>
    <w:rPr>
      <w:rFonts w:ascii="宋体" w:hAnsi="宋体" w:eastAsia="宋体"/>
      <w:snapToGrid w:val="0"/>
      <w:color w:val="000000"/>
      <w:sz w:val="24"/>
      <w:szCs w:val="24"/>
      <w:lang w:val="en-US" w:eastAsia="zh-CN" w:bidi="ar-SA"/>
    </w:rPr>
  </w:style>
  <w:style w:type="character" w:customStyle="1" w:styleId="1721">
    <w:name w:val="样式 Arial 小四 黑色 首行缩进:  24 磅 行距: 1.5 倍行距 Char Char"/>
    <w:uiPriority w:val="0"/>
    <w:rPr>
      <w:rFonts w:ascii="Arial" w:hAnsi="Arial" w:eastAsia="宋体" w:cs="宋体"/>
      <w:color w:val="000000"/>
      <w:kern w:val="2"/>
      <w:sz w:val="24"/>
      <w:lang w:val="en-US" w:eastAsia="zh-CN" w:bidi="ar-SA"/>
    </w:rPr>
  </w:style>
  <w:style w:type="character" w:customStyle="1" w:styleId="1722">
    <w:name w:val="样式8 Char Char"/>
    <w:uiPriority w:val="0"/>
    <w:rPr>
      <w:rFonts w:ascii="宋体" w:hAnsi="新宋体" w:eastAsia="宋体"/>
      <w:b/>
      <w:kern w:val="2"/>
      <w:sz w:val="24"/>
      <w:szCs w:val="24"/>
      <w:lang w:val="en-US" w:eastAsia="zh-CN" w:bidi="ar-SA"/>
    </w:rPr>
  </w:style>
  <w:style w:type="character" w:customStyle="1" w:styleId="1723">
    <w:name w:val="样式6 Char Char"/>
    <w:uiPriority w:val="0"/>
    <w:rPr>
      <w:rFonts w:ascii="宋体" w:hAnsi="宋体" w:eastAsia="宋体"/>
      <w:b/>
      <w:color w:val="FF0000"/>
      <w:kern w:val="2"/>
      <w:sz w:val="24"/>
      <w:szCs w:val="24"/>
      <w:lang w:val="en-US" w:eastAsia="zh-CN" w:bidi="ar-SA"/>
    </w:rPr>
  </w:style>
  <w:style w:type="character" w:customStyle="1" w:styleId="1724">
    <w:name w:val="样式7 Char Char"/>
    <w:uiPriority w:val="0"/>
    <w:rPr>
      <w:rFonts w:eastAsia="宋体"/>
      <w:kern w:val="2"/>
      <w:sz w:val="18"/>
      <w:szCs w:val="18"/>
      <w:lang w:val="en-US" w:eastAsia="zh-CN" w:bidi="ar-SA"/>
    </w:rPr>
  </w:style>
  <w:style w:type="character" w:customStyle="1" w:styleId="1725">
    <w:name w:val="样式9 Char Char"/>
    <w:uiPriority w:val="0"/>
    <w:rPr>
      <w:rFonts w:ascii="宋体" w:hAnsi="宋体" w:eastAsia="宋体"/>
      <w:b/>
      <w:kern w:val="2"/>
      <w:sz w:val="18"/>
      <w:szCs w:val="18"/>
      <w:lang w:val="en-US" w:eastAsia="zh-CN" w:bidi="ar-SA"/>
    </w:rPr>
  </w:style>
  <w:style w:type="character" w:customStyle="1" w:styleId="1726">
    <w:name w:val="引用 Char Char"/>
    <w:uiPriority w:val="0"/>
    <w:rPr>
      <w:rFonts w:ascii="Calibri" w:hAnsi="Calibri" w:eastAsia="宋体"/>
      <w:i/>
      <w:sz w:val="24"/>
      <w:szCs w:val="24"/>
      <w:lang w:val="en-US" w:eastAsia="en-US" w:bidi="en-US"/>
    </w:rPr>
  </w:style>
  <w:style w:type="character" w:customStyle="1" w:styleId="1727">
    <w:name w:val="明显引用 Char Char"/>
    <w:uiPriority w:val="0"/>
    <w:rPr>
      <w:rFonts w:ascii="Calibri" w:hAnsi="Calibri" w:eastAsia="宋体"/>
      <w:b/>
      <w:i/>
      <w:sz w:val="24"/>
      <w:szCs w:val="22"/>
      <w:lang w:val="en-US" w:eastAsia="en-US" w:bidi="en-US"/>
    </w:rPr>
  </w:style>
  <w:style w:type="character" w:customStyle="1" w:styleId="1728">
    <w:name w:val="水利部 Char Char"/>
    <w:uiPriority w:val="0"/>
    <w:rPr>
      <w:rFonts w:eastAsia="宋体"/>
      <w:b/>
      <w:snapToGrid w:val="0"/>
      <w:sz w:val="30"/>
      <w:lang w:val="en-US" w:eastAsia="zh-CN" w:bidi="ar-SA"/>
    </w:rPr>
  </w:style>
  <w:style w:type="character" w:customStyle="1" w:styleId="1729">
    <w:name w:val="表格 宋体 五号 Char Char"/>
    <w:uiPriority w:val="0"/>
    <w:rPr>
      <w:rFonts w:ascii="宋体" w:hAnsi="宋体" w:eastAsia="宋体"/>
      <w:sz w:val="21"/>
      <w:lang w:val="en-US" w:eastAsia="zh-CN" w:bidi="ar-SA"/>
    </w:rPr>
  </w:style>
  <w:style w:type="character" w:customStyle="1" w:styleId="1730">
    <w:name w:val="MTDisplayEquation Char Char"/>
    <w:uiPriority w:val="0"/>
    <w:rPr>
      <w:sz w:val="24"/>
      <w:lang w:bidi="ar-SA"/>
    </w:rPr>
  </w:style>
  <w:style w:type="character" w:customStyle="1" w:styleId="1731">
    <w:name w:val="样式 标题 1封面大标题 + 加粗 Char Char"/>
    <w:uiPriority w:val="0"/>
    <w:rPr>
      <w:rFonts w:ascii="宋体" w:hAnsi="宋体" w:eastAsia="黑体"/>
      <w:b/>
      <w:kern w:val="44"/>
      <w:sz w:val="32"/>
      <w:lang w:val="en-US" w:eastAsia="zh-CN" w:bidi="ar-SA"/>
    </w:rPr>
  </w:style>
  <w:style w:type="character" w:customStyle="1" w:styleId="1732">
    <w:name w:val="无间隔 Char Char"/>
    <w:uiPriority w:val="0"/>
    <w:rPr>
      <w:rFonts w:ascii="Calibri" w:hAnsi="Calibri"/>
      <w:kern w:val="2"/>
      <w:sz w:val="22"/>
      <w:lang w:val="en-US" w:eastAsia="zh-CN" w:bidi="ar-SA"/>
    </w:rPr>
  </w:style>
  <w:style w:type="character" w:customStyle="1" w:styleId="1733">
    <w:name w:val="正文c Char Char"/>
    <w:uiPriority w:val="0"/>
    <w:rPr>
      <w:rFonts w:eastAsia="仿宋_GB2312"/>
      <w:kern w:val="2"/>
      <w:sz w:val="28"/>
      <w:lang w:bidi="ar-SA"/>
    </w:rPr>
  </w:style>
  <w:style w:type="character" w:customStyle="1" w:styleId="1734">
    <w:name w:val="陈标题4 Char Char"/>
    <w:uiPriority w:val="0"/>
    <w:rPr>
      <w:rFonts w:eastAsia="宋体"/>
      <w:b/>
      <w:kern w:val="2"/>
      <w:sz w:val="24"/>
      <w:lang w:val="en-US" w:eastAsia="zh-CN" w:bidi="ar-SA"/>
    </w:rPr>
  </w:style>
  <w:style w:type="character" w:customStyle="1" w:styleId="1735">
    <w:name w:val="表标题1 Char Char"/>
    <w:uiPriority w:val="0"/>
    <w:rPr>
      <w:rFonts w:eastAsia="宋体"/>
      <w:b/>
      <w:kern w:val="2"/>
      <w:sz w:val="24"/>
      <w:lang w:val="en-US" w:eastAsia="zh-CN" w:bidi="ar-SA"/>
    </w:rPr>
  </w:style>
  <w:style w:type="character" w:customStyle="1" w:styleId="1736">
    <w:name w:val="表号 Char Char"/>
    <w:uiPriority w:val="0"/>
    <w:rPr>
      <w:rFonts w:eastAsia="宋体"/>
      <w:snapToGrid w:val="0"/>
      <w:color w:val="000000"/>
      <w:sz w:val="24"/>
      <w:szCs w:val="24"/>
      <w:lang w:val="en-US" w:eastAsia="zh-CN" w:bidi="ar-SA"/>
    </w:rPr>
  </w:style>
  <w:style w:type="character" w:customStyle="1" w:styleId="1737">
    <w:name w:val="图表名 Char Char Char Char"/>
    <w:uiPriority w:val="0"/>
    <w:rPr>
      <w:rFonts w:eastAsia="黑体"/>
      <w:snapToGrid w:val="0"/>
      <w:kern w:val="2"/>
      <w:sz w:val="24"/>
      <w:lang w:val="en-US" w:eastAsia="zh-CN"/>
    </w:rPr>
  </w:style>
  <w:style w:type="character" w:customStyle="1" w:styleId="1738">
    <w:name w:val="样式 小四 非加粗 首行缩进:  0.85 厘米 段前: 6 磅 段后: 6 磅 行距: 1.5 倍行距 Char Char"/>
    <w:uiPriority w:val="0"/>
    <w:rPr>
      <w:rFonts w:eastAsia="宋体" w:cs="宋体"/>
      <w:kern w:val="2"/>
      <w:sz w:val="28"/>
      <w:szCs w:val="28"/>
      <w:lang w:val="en-US" w:eastAsia="zh-CN" w:bidi="ar-SA"/>
    </w:rPr>
  </w:style>
  <w:style w:type="character" w:customStyle="1" w:styleId="1739">
    <w:name w:val="样式 表头 + (符号) Times Char Char"/>
    <w:uiPriority w:val="0"/>
    <w:rPr>
      <w:rFonts w:ascii="仿宋_GB2312" w:hAnsi="宋体" w:eastAsia="仿宋_GB2312"/>
      <w:bCs/>
      <w:color w:val="000000"/>
      <w:sz w:val="24"/>
      <w:szCs w:val="24"/>
      <w:lang w:val="en-US" w:eastAsia="zh-CN" w:bidi="ar-SA"/>
    </w:rPr>
  </w:style>
  <w:style w:type="character" w:customStyle="1" w:styleId="1740">
    <w:name w:val="样式14 Char Char"/>
    <w:uiPriority w:val="0"/>
    <w:rPr>
      <w:rFonts w:eastAsia="华文中宋"/>
      <w:color w:val="000000"/>
      <w:kern w:val="2"/>
      <w:sz w:val="24"/>
      <w:szCs w:val="24"/>
      <w:lang w:val="en-US" w:eastAsia="zh-CN" w:bidi="ar-SA"/>
    </w:rPr>
  </w:style>
  <w:style w:type="paragraph" w:customStyle="1" w:styleId="1741">
    <w:name w:val="_Style 53"/>
    <w:basedOn w:val="1"/>
    <w:next w:val="31"/>
    <w:qFormat/>
    <w:uiPriority w:val="0"/>
    <w:rPr>
      <w:rFonts w:hAnsi="Courier New"/>
      <w:szCs w:val="20"/>
    </w:rPr>
  </w:style>
  <w:style w:type="paragraph" w:customStyle="1" w:styleId="1742">
    <w:name w:val="_Style 26"/>
    <w:basedOn w:val="1"/>
    <w:qFormat/>
    <w:uiPriority w:val="0"/>
    <w:rPr>
      <w:szCs w:val="20"/>
    </w:rPr>
  </w:style>
  <w:style w:type="character" w:customStyle="1" w:styleId="1743">
    <w:name w:val="pfont1"/>
    <w:uiPriority w:val="0"/>
    <w:rPr>
      <w:sz w:val="22"/>
      <w:szCs w:val="22"/>
    </w:rPr>
  </w:style>
  <w:style w:type="paragraph" w:customStyle="1" w:styleId="1744">
    <w:name w:val="A正文"/>
    <w:basedOn w:val="5"/>
    <w:link w:val="1745"/>
    <w:qFormat/>
    <w:uiPriority w:val="0"/>
    <w:pPr>
      <w:keepNext w:val="0"/>
      <w:widowControl w:val="0"/>
      <w:overflowPunct/>
      <w:autoSpaceDE/>
      <w:autoSpaceDN/>
      <w:adjustRightInd/>
      <w:spacing w:beforeLines="0" w:afterLines="0" w:line="460" w:lineRule="atLeast"/>
      <w:ind w:firstLine="200" w:firstLineChars="200"/>
      <w:textAlignment w:val="auto"/>
      <w:outlineLvl w:val="9"/>
    </w:pPr>
    <w:rPr>
      <w:b w:val="0"/>
      <w:i w:val="0"/>
      <w:kern w:val="2"/>
    </w:rPr>
  </w:style>
  <w:style w:type="character" w:customStyle="1" w:styleId="1745">
    <w:name w:val="A正文 Char"/>
    <w:link w:val="1744"/>
    <w:uiPriority w:val="0"/>
    <w:rPr>
      <w:kern w:val="2"/>
      <w:sz w:val="24"/>
      <w:szCs w:val="24"/>
    </w:rPr>
  </w:style>
  <w:style w:type="character" w:customStyle="1" w:styleId="1746">
    <w:name w:val="Header Char"/>
    <w:semiHidden/>
    <w:locked/>
    <w:uiPriority w:val="0"/>
    <w:rPr>
      <w:rFonts w:cs="Times New Roman"/>
      <w:sz w:val="18"/>
      <w:szCs w:val="18"/>
    </w:rPr>
  </w:style>
  <w:style w:type="paragraph" w:customStyle="1" w:styleId="1747">
    <w:name w:val="Char Char Char Char Char Char Char Char Char Char Char1"/>
    <w:basedOn w:val="1"/>
    <w:qFormat/>
    <w:uiPriority w:val="0"/>
  </w:style>
  <w:style w:type="paragraph" w:customStyle="1" w:styleId="1748">
    <w:name w:val="正文(首行缩进)宋旭峰"/>
    <w:basedOn w:val="8"/>
    <w:link w:val="1749"/>
    <w:autoRedefine/>
    <w:qFormat/>
    <w:uiPriority w:val="0"/>
    <w:pPr>
      <w:spacing w:line="460" w:lineRule="exact"/>
      <w:ind w:firstLine="520"/>
      <w:contextualSpacing/>
    </w:pPr>
    <w:rPr>
      <w:snapToGrid w:val="0"/>
      <w:sz w:val="26"/>
      <w:szCs w:val="26"/>
    </w:rPr>
  </w:style>
  <w:style w:type="character" w:customStyle="1" w:styleId="1749">
    <w:name w:val="正文(首行缩进)宋旭峰 Char Char"/>
    <w:link w:val="1748"/>
    <w:uiPriority w:val="0"/>
    <w:rPr>
      <w:rFonts w:ascii="宋体" w:hAnsi="宋体" w:cs="TimesNewRomanPSMT"/>
      <w:snapToGrid w:val="0"/>
      <w:sz w:val="26"/>
      <w:szCs w:val="26"/>
    </w:rPr>
  </w:style>
  <w:style w:type="character" w:customStyle="1" w:styleId="1750">
    <w:name w:val="表、图名宋旭峰 Char"/>
    <w:link w:val="1751"/>
    <w:uiPriority w:val="0"/>
    <w:rPr>
      <w:rFonts w:ascii="黑体" w:hAnsi="宋体" w:eastAsia="黑体"/>
      <w:sz w:val="21"/>
      <w:szCs w:val="21"/>
    </w:rPr>
  </w:style>
  <w:style w:type="paragraph" w:customStyle="1" w:styleId="1751">
    <w:name w:val="表、图名宋旭峰"/>
    <w:basedOn w:val="1"/>
    <w:link w:val="1750"/>
    <w:autoRedefine/>
    <w:qFormat/>
    <w:uiPriority w:val="0"/>
    <w:pPr>
      <w:tabs>
        <w:tab w:val="left" w:pos="2178"/>
      </w:tabs>
      <w:spacing w:line="420" w:lineRule="exact"/>
      <w:ind w:firstLine="420" w:firstLineChars="200"/>
    </w:pPr>
    <w:rPr>
      <w:rFonts w:ascii="黑体" w:eastAsia="黑体"/>
      <w:szCs w:val="21"/>
    </w:rPr>
  </w:style>
  <w:style w:type="paragraph" w:customStyle="1" w:styleId="1752">
    <w:name w:val="表体宋旭峰"/>
    <w:basedOn w:val="1"/>
    <w:autoRedefine/>
    <w:qFormat/>
    <w:uiPriority w:val="0"/>
    <w:pPr>
      <w:tabs>
        <w:tab w:val="left" w:pos="3685"/>
      </w:tabs>
      <w:overflowPunct w:val="0"/>
      <w:spacing w:line="300" w:lineRule="exact"/>
      <w:jc w:val="center"/>
      <w:textAlignment w:val="baseline"/>
    </w:pPr>
    <w:rPr>
      <w:rFonts w:hAnsi="Courier New" w:cs="Courier New"/>
      <w:snapToGrid w:val="0"/>
      <w:sz w:val="18"/>
      <w:szCs w:val="18"/>
    </w:rPr>
  </w:style>
  <w:style w:type="paragraph" w:customStyle="1" w:styleId="1753">
    <w:name w:val="Char Char Char Char Char Char Char Char Char Char Char Char1 Char Char Char Char"/>
    <w:basedOn w:val="1"/>
    <w:next w:val="1"/>
    <w:semiHidden/>
    <w:qFormat/>
    <w:uiPriority w:val="0"/>
    <w:pPr>
      <w:spacing w:line="336" w:lineRule="auto"/>
      <w:ind w:firstLine="200" w:firstLineChars="200"/>
    </w:pPr>
    <w:rPr>
      <w:rFonts w:eastAsia="汉鼎简书宋"/>
    </w:rPr>
  </w:style>
  <w:style w:type="paragraph" w:customStyle="1" w:styleId="1754">
    <w:name w:val="默认段落字体 Para Char Char Char1 Char Char Char Char Char Char Char Char Char Char"/>
    <w:basedOn w:val="1"/>
    <w:qFormat/>
    <w:uiPriority w:val="0"/>
    <w:rPr>
      <w:szCs w:val="20"/>
    </w:rPr>
  </w:style>
  <w:style w:type="character" w:customStyle="1" w:styleId="1755">
    <w:name w:val="特点标题 Char Char"/>
    <w:uiPriority w:val="0"/>
    <w:rPr>
      <w:rFonts w:ascii="宋体" w:eastAsia="宋体"/>
      <w:kern w:val="2"/>
      <w:sz w:val="28"/>
      <w:szCs w:val="24"/>
      <w:lang w:val="en-US" w:eastAsia="zh-CN" w:bidi="ar-SA"/>
    </w:rPr>
  </w:style>
  <w:style w:type="character" w:customStyle="1" w:styleId="1756">
    <w:name w:val="标题 Char2"/>
    <w:uiPriority w:val="0"/>
    <w:rPr>
      <w:rFonts w:ascii="Arial" w:hAnsi="Arial" w:eastAsia="宋体" w:cs="Arial"/>
      <w:b/>
      <w:bCs/>
      <w:kern w:val="2"/>
      <w:sz w:val="32"/>
      <w:szCs w:val="32"/>
      <w:lang w:val="en-US" w:eastAsia="zh-CN" w:bidi="ar-SA"/>
    </w:rPr>
  </w:style>
  <w:style w:type="paragraph" w:customStyle="1" w:styleId="1757">
    <w:name w:val="Char Char Char1 Char Char Char Char"/>
    <w:basedOn w:val="1"/>
    <w:qFormat/>
    <w:uiPriority w:val="0"/>
  </w:style>
  <w:style w:type="paragraph" w:customStyle="1" w:styleId="1758">
    <w:name w:val="Char Char Char11"/>
    <w:basedOn w:val="1"/>
    <w:qFormat/>
    <w:uiPriority w:val="0"/>
  </w:style>
  <w:style w:type="paragraph" w:customStyle="1" w:styleId="1759">
    <w:name w:val="2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style>
  <w:style w:type="paragraph" w:customStyle="1" w:styleId="1760">
    <w:name w:val="Char Char Char Char Char Char Char Char Char Char Char Char Char Char Char Char Char Char Char Char"/>
    <w:basedOn w:val="1"/>
    <w:qFormat/>
    <w:uiPriority w:val="0"/>
    <w:rPr>
      <w:szCs w:val="20"/>
    </w:rPr>
  </w:style>
  <w:style w:type="paragraph" w:customStyle="1" w:styleId="1761">
    <w:name w:val="nilo_标题2"/>
    <w:basedOn w:val="1"/>
    <w:qFormat/>
    <w:uiPriority w:val="0"/>
    <w:pPr>
      <w:tabs>
        <w:tab w:val="left" w:pos="735"/>
      </w:tabs>
      <w:spacing w:line="360" w:lineRule="auto"/>
      <w:ind w:left="289" w:firstLine="567"/>
      <w:outlineLvl w:val="2"/>
    </w:pPr>
    <w:rPr>
      <w:rFonts w:eastAsia="黑体"/>
      <w:b/>
      <w:sz w:val="28"/>
      <w:szCs w:val="20"/>
    </w:rPr>
  </w:style>
  <w:style w:type="paragraph" w:customStyle="1" w:styleId="1762">
    <w:name w:val="nilo_标题1 Char"/>
    <w:basedOn w:val="1"/>
    <w:qFormat/>
    <w:uiPriority w:val="0"/>
    <w:pPr>
      <w:tabs>
        <w:tab w:val="left" w:pos="882"/>
      </w:tabs>
      <w:spacing w:line="360" w:lineRule="auto"/>
      <w:ind w:left="882" w:hanging="567"/>
      <w:outlineLvl w:val="1"/>
    </w:pPr>
    <w:rPr>
      <w:rFonts w:ascii="黑体" w:eastAsia="黑体"/>
      <w:sz w:val="30"/>
      <w:szCs w:val="20"/>
    </w:rPr>
  </w:style>
  <w:style w:type="paragraph" w:customStyle="1" w:styleId="1763">
    <w:name w:val="Char Char Char Char Char Char Char Char Char Char Char Char Char Char Char Char Char Char Char Char1"/>
    <w:basedOn w:val="1"/>
    <w:qFormat/>
    <w:uiPriority w:val="0"/>
    <w:rPr>
      <w:szCs w:val="20"/>
    </w:rPr>
  </w:style>
  <w:style w:type="paragraph" w:customStyle="1" w:styleId="1764">
    <w:name w:val="nilo_标题0"/>
    <w:basedOn w:val="1"/>
    <w:qFormat/>
    <w:uiPriority w:val="0"/>
    <w:pPr>
      <w:tabs>
        <w:tab w:val="left" w:pos="567"/>
      </w:tabs>
      <w:spacing w:line="300" w:lineRule="auto"/>
      <w:ind w:left="567" w:hanging="367"/>
      <w:jc w:val="center"/>
      <w:outlineLvl w:val="0"/>
    </w:pPr>
    <w:rPr>
      <w:rFonts w:ascii="黑体" w:eastAsia="黑体"/>
      <w:b/>
      <w:sz w:val="44"/>
      <w:szCs w:val="20"/>
    </w:rPr>
  </w:style>
  <w:style w:type="paragraph" w:customStyle="1" w:styleId="1765">
    <w:name w:val="正文+三号"/>
    <w:basedOn w:val="1"/>
    <w:qFormat/>
    <w:uiPriority w:val="0"/>
    <w:rPr>
      <w:b/>
      <w:position w:val="6"/>
      <w:szCs w:val="20"/>
    </w:rPr>
  </w:style>
  <w:style w:type="paragraph" w:customStyle="1" w:styleId="1766">
    <w:name w:val="表格正文居中"/>
    <w:basedOn w:val="1"/>
    <w:autoRedefine/>
    <w:qFormat/>
    <w:uiPriority w:val="0"/>
    <w:pPr>
      <w:ind w:right="-80" w:rightChars="-38"/>
    </w:pPr>
    <w:rPr>
      <w:szCs w:val="21"/>
    </w:rPr>
  </w:style>
  <w:style w:type="character" w:customStyle="1" w:styleId="1767">
    <w:name w:val="正文文本缩进 Char2"/>
    <w:uiPriority w:val="0"/>
    <w:rPr>
      <w:kern w:val="2"/>
      <w:sz w:val="28"/>
      <w:szCs w:val="24"/>
    </w:rPr>
  </w:style>
  <w:style w:type="character" w:customStyle="1" w:styleId="1768">
    <w:name w:val="contents1"/>
    <w:uiPriority w:val="0"/>
    <w:rPr>
      <w:color w:val="000000"/>
      <w:spacing w:val="330"/>
      <w:sz w:val="21"/>
      <w:szCs w:val="21"/>
      <w:u w:val="none"/>
    </w:rPr>
  </w:style>
  <w:style w:type="paragraph" w:customStyle="1" w:styleId="1769">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1770">
    <w:name w:val="hh"/>
    <w:basedOn w:val="1"/>
    <w:qFormat/>
    <w:uiPriority w:val="0"/>
    <w:pPr>
      <w:adjustRightInd w:val="0"/>
      <w:ind w:firstLine="567"/>
      <w:textAlignment w:val="baseline"/>
    </w:pPr>
    <w:rPr>
      <w:color w:val="000000"/>
      <w:szCs w:val="20"/>
    </w:rPr>
  </w:style>
  <w:style w:type="paragraph" w:customStyle="1" w:styleId="1771">
    <w:name w:val="002"/>
    <w:basedOn w:val="83"/>
    <w:next w:val="83"/>
    <w:link w:val="1772"/>
    <w:qFormat/>
    <w:uiPriority w:val="0"/>
    <w:pPr>
      <w:tabs>
        <w:tab w:val="center" w:pos="4153"/>
        <w:tab w:val="right" w:pos="8306"/>
      </w:tabs>
      <w:adjustRightInd/>
      <w:spacing w:beforeLines="50" w:afterLines="50" w:line="240" w:lineRule="auto"/>
      <w:ind w:firstLine="200" w:firstLineChars="200"/>
      <w:jc w:val="left"/>
    </w:pPr>
    <w:rPr>
      <w:rFonts w:ascii="宋体" w:hAnsi="宋体"/>
      <w:b w:val="0"/>
      <w:sz w:val="28"/>
    </w:rPr>
  </w:style>
  <w:style w:type="character" w:customStyle="1" w:styleId="1772">
    <w:name w:val="002 Char"/>
    <w:link w:val="1771"/>
    <w:uiPriority w:val="0"/>
    <w:rPr>
      <w:rFonts w:ascii="宋体" w:hAnsi="宋体" w:cs="Arial"/>
      <w:bCs/>
      <w:kern w:val="2"/>
      <w:sz w:val="28"/>
      <w:szCs w:val="32"/>
    </w:rPr>
  </w:style>
  <w:style w:type="paragraph" w:customStyle="1" w:styleId="1773">
    <w:name w:val="Char Char Char Char Char Char Char Char Char Char Char Char Char Char Char"/>
    <w:basedOn w:val="1"/>
    <w:qFormat/>
    <w:uiPriority w:val="0"/>
    <w:rPr>
      <w:szCs w:val="28"/>
    </w:rPr>
  </w:style>
  <w:style w:type="paragraph" w:customStyle="1" w:styleId="1774">
    <w:name w:val="样式 标题 2节标题 1.11.1标题2H2条标题h2l22nd levelTitre22Header 2 ..."/>
    <w:basedOn w:val="3"/>
    <w:qFormat/>
    <w:uiPriority w:val="0"/>
    <w:pPr>
      <w:snapToGrid w:val="0"/>
      <w:spacing w:beforeLines="0" w:afterLines="0" w:line="560" w:lineRule="atLeast"/>
    </w:pPr>
    <w:rPr>
      <w:rFonts w:ascii="黑体" w:eastAsia="黑体"/>
      <w:b w:val="0"/>
      <w:bCs w:val="0"/>
      <w:sz w:val="28"/>
      <w:szCs w:val="20"/>
    </w:rPr>
  </w:style>
  <w:style w:type="paragraph" w:customStyle="1" w:styleId="1775">
    <w:name w:val="BCD表内文稿"/>
    <w:basedOn w:val="1"/>
    <w:qFormat/>
    <w:uiPriority w:val="0"/>
    <w:pPr>
      <w:adjustRightInd w:val="0"/>
      <w:snapToGrid w:val="0"/>
      <w:spacing w:line="360" w:lineRule="exact"/>
      <w:jc w:val="center"/>
    </w:pPr>
    <w:rPr>
      <w:rFonts w:eastAsia="仿宋_GB2312"/>
      <w:w w:val="90"/>
    </w:rPr>
  </w:style>
  <w:style w:type="paragraph" w:customStyle="1" w:styleId="1776">
    <w:name w:val="小节标题"/>
    <w:basedOn w:val="1"/>
    <w:next w:val="1"/>
    <w:qFormat/>
    <w:uiPriority w:val="0"/>
    <w:pPr>
      <w:spacing w:before="175" w:after="102" w:line="351" w:lineRule="atLeast"/>
      <w:textAlignment w:val="baseline"/>
    </w:pPr>
    <w:rPr>
      <w:rFonts w:eastAsia="黑体"/>
      <w:color w:val="000000"/>
      <w:szCs w:val="20"/>
      <w:u w:color="000000"/>
    </w:rPr>
  </w:style>
  <w:style w:type="paragraph" w:customStyle="1" w:styleId="1777">
    <w:name w:val="样式 正文首行缩进 + 左侧:  0 厘米 悬挂缩进: 4.8 字符"/>
    <w:basedOn w:val="379"/>
    <w:qFormat/>
    <w:uiPriority w:val="0"/>
    <w:pPr>
      <w:tabs>
        <w:tab w:val="left" w:pos="1701"/>
        <w:tab w:val="left" w:pos="3675"/>
        <w:tab w:val="left" w:pos="4515"/>
        <w:tab w:val="right" w:pos="8505"/>
      </w:tabs>
      <w:adjustRightInd w:val="0"/>
      <w:ind w:firstLine="482" w:firstLineChars="225"/>
      <w:textAlignment w:val="baseline"/>
    </w:pPr>
    <w:rPr>
      <w:kern w:val="0"/>
      <w:szCs w:val="20"/>
    </w:rPr>
  </w:style>
  <w:style w:type="paragraph" w:customStyle="1" w:styleId="1778">
    <w:name w:val="表格侧编号"/>
    <w:next w:val="1"/>
    <w:autoRedefine/>
    <w:qFormat/>
    <w:uiPriority w:val="0"/>
    <w:pPr>
      <w:widowControl w:val="0"/>
      <w:snapToGrid w:val="0"/>
      <w:jc w:val="center"/>
    </w:pPr>
    <w:rPr>
      <w:rFonts w:ascii="宋体" w:hAnsi="Arial" w:eastAsia="宋体" w:cs="Times New Roman"/>
      <w:color w:val="FF0000"/>
      <w:kern w:val="2"/>
      <w:position w:val="-40"/>
      <w:sz w:val="24"/>
      <w:lang w:val="en-US" w:eastAsia="zh-CN" w:bidi="ar-SA"/>
    </w:rPr>
  </w:style>
  <w:style w:type="paragraph" w:customStyle="1" w:styleId="1779">
    <w:name w:val="5 Char Char Char Char Char Char Char Char Char Char"/>
    <w:basedOn w:val="1"/>
    <w:qFormat/>
    <w:uiPriority w:val="0"/>
  </w:style>
  <w:style w:type="paragraph" w:customStyle="1" w:styleId="1780">
    <w:name w:val="日期1"/>
    <w:basedOn w:val="1"/>
    <w:next w:val="1"/>
    <w:qFormat/>
    <w:uiPriority w:val="0"/>
    <w:pPr>
      <w:adjustRightInd w:val="0"/>
      <w:spacing w:line="312" w:lineRule="atLeast"/>
      <w:textAlignment w:val="baseline"/>
    </w:pPr>
    <w:rPr>
      <w:szCs w:val="20"/>
    </w:rPr>
  </w:style>
  <w:style w:type="paragraph" w:customStyle="1" w:styleId="1781">
    <w:name w:val="样式 纯文本 + 小四 行距: 1.5 倍行距"/>
    <w:basedOn w:val="31"/>
    <w:autoRedefine/>
    <w:qFormat/>
    <w:uiPriority w:val="0"/>
    <w:pPr>
      <w:adjustRightInd w:val="0"/>
      <w:snapToGrid w:val="0"/>
      <w:spacing w:line="360" w:lineRule="auto"/>
    </w:pPr>
    <w:rPr>
      <w:rFonts w:ascii="Arial" w:hAnsi="Arial" w:cs="宋体"/>
      <w:szCs w:val="24"/>
    </w:rPr>
  </w:style>
  <w:style w:type="paragraph" w:customStyle="1" w:styleId="1782">
    <w:name w:val="正文文本最新 Char Char"/>
    <w:basedOn w:val="1"/>
    <w:link w:val="1783"/>
    <w:qFormat/>
    <w:uiPriority w:val="0"/>
    <w:pPr>
      <w:spacing w:line="360" w:lineRule="auto"/>
      <w:ind w:firstLine="200" w:firstLineChars="200"/>
    </w:pPr>
    <w:rPr>
      <w:bCs/>
      <w:sz w:val="28"/>
    </w:rPr>
  </w:style>
  <w:style w:type="character" w:customStyle="1" w:styleId="1783">
    <w:name w:val="正文文本最新 Char Char Char"/>
    <w:link w:val="1782"/>
    <w:uiPriority w:val="0"/>
    <w:rPr>
      <w:bCs/>
      <w:kern w:val="2"/>
      <w:sz w:val="28"/>
      <w:szCs w:val="24"/>
    </w:rPr>
  </w:style>
  <w:style w:type="character" w:customStyle="1" w:styleId="1784">
    <w:name w:val="正文样式1 Char"/>
    <w:link w:val="479"/>
    <w:uiPriority w:val="0"/>
    <w:rPr>
      <w:sz w:val="24"/>
    </w:rPr>
  </w:style>
  <w:style w:type="paragraph" w:customStyle="1" w:styleId="1785">
    <w:name w:val="立项正文"/>
    <w:basedOn w:val="1"/>
    <w:autoRedefine/>
    <w:qFormat/>
    <w:uiPriority w:val="0"/>
    <w:pPr>
      <w:tabs>
        <w:tab w:val="left" w:pos="3420"/>
      </w:tabs>
      <w:spacing w:line="480" w:lineRule="exact"/>
      <w:ind w:firstLine="477" w:firstLineChars="200"/>
    </w:pPr>
    <w:rPr>
      <w:rFonts w:cs="Arial"/>
      <w:color w:val="000000"/>
    </w:rPr>
  </w:style>
  <w:style w:type="character" w:customStyle="1" w:styleId="1786">
    <w:name w:val="copy1"/>
    <w:uiPriority w:val="0"/>
    <w:rPr>
      <w:color w:val="333333"/>
      <w:sz w:val="20"/>
      <w:szCs w:val="20"/>
      <w:u w:val="none"/>
    </w:rPr>
  </w:style>
  <w:style w:type="paragraph" w:customStyle="1" w:styleId="1787">
    <w:name w:val="段落1"/>
    <w:basedOn w:val="1"/>
    <w:qFormat/>
    <w:uiPriority w:val="0"/>
    <w:pPr>
      <w:adjustRightInd w:val="0"/>
      <w:spacing w:line="360" w:lineRule="auto"/>
      <w:ind w:firstLine="624"/>
      <w:textAlignment w:val="baseline"/>
    </w:pPr>
    <w:rPr>
      <w:rFonts w:eastAsia="仿宋_GB2312"/>
      <w:sz w:val="28"/>
      <w:szCs w:val="20"/>
    </w:rPr>
  </w:style>
  <w:style w:type="paragraph" w:customStyle="1" w:styleId="1788">
    <w:name w:val="段落"/>
    <w:basedOn w:val="1"/>
    <w:autoRedefine/>
    <w:qFormat/>
    <w:uiPriority w:val="0"/>
    <w:pPr>
      <w:adjustRightInd w:val="0"/>
      <w:ind w:firstLine="564" w:firstLineChars="200"/>
      <w:textAlignment w:val="baseline"/>
    </w:pPr>
    <w:rPr>
      <w:color w:val="000000"/>
      <w:sz w:val="28"/>
      <w:szCs w:val="20"/>
    </w:rPr>
  </w:style>
  <w:style w:type="paragraph" w:customStyle="1" w:styleId="1789">
    <w:name w:val="aa"/>
    <w:basedOn w:val="1"/>
    <w:qFormat/>
    <w:uiPriority w:val="0"/>
    <w:pPr>
      <w:spacing w:after="60" w:line="400" w:lineRule="exact"/>
      <w:ind w:firstLine="644"/>
    </w:pPr>
    <w:rPr>
      <w:sz w:val="28"/>
      <w:szCs w:val="20"/>
    </w:rPr>
  </w:style>
  <w:style w:type="paragraph" w:customStyle="1" w:styleId="1790">
    <w:name w:val="正文11"/>
    <w:basedOn w:val="1"/>
    <w:next w:val="1"/>
    <w:qFormat/>
    <w:uiPriority w:val="0"/>
  </w:style>
  <w:style w:type="paragraph" w:customStyle="1" w:styleId="1791">
    <w:name w:val="Char1 Char Char1 Char"/>
    <w:basedOn w:val="1"/>
    <w:qFormat/>
    <w:uiPriority w:val="0"/>
    <w:pPr>
      <w:adjustRightInd w:val="0"/>
      <w:spacing w:line="360" w:lineRule="atLeast"/>
      <w:textAlignment w:val="baseline"/>
    </w:pPr>
  </w:style>
  <w:style w:type="paragraph" w:customStyle="1" w:styleId="1792">
    <w:name w:val="15"/>
    <w:basedOn w:val="1"/>
    <w:next w:val="69"/>
    <w:qFormat/>
    <w:uiPriority w:val="0"/>
    <w:pPr>
      <w:spacing w:after="120"/>
      <w:ind w:left="420" w:leftChars="200"/>
    </w:pPr>
    <w:rPr>
      <w:sz w:val="16"/>
      <w:szCs w:val="16"/>
    </w:rPr>
  </w:style>
  <w:style w:type="character" w:customStyle="1" w:styleId="1793">
    <w:name w:val="lv3"/>
    <w:uiPriority w:val="0"/>
    <w:rPr>
      <w:rFonts w:hint="default"/>
      <w:color w:val="2E7713"/>
      <w:spacing w:val="375"/>
      <w:sz w:val="20"/>
      <w:szCs w:val="20"/>
      <w:u w:val="none"/>
    </w:rPr>
  </w:style>
  <w:style w:type="paragraph" w:customStyle="1" w:styleId="1794">
    <w:name w:val="符号小标题"/>
    <w:basedOn w:val="1"/>
    <w:qFormat/>
    <w:uiPriority w:val="0"/>
    <w:pPr>
      <w:tabs>
        <w:tab w:val="left" w:pos="1260"/>
      </w:tabs>
      <w:autoSpaceDE w:val="0"/>
      <w:autoSpaceDN w:val="0"/>
      <w:spacing w:before="120" w:after="120"/>
      <w:ind w:left="1260" w:hanging="420"/>
    </w:pPr>
    <w:rPr>
      <w:rFonts w:eastAsia="仿宋_GB2312"/>
      <w:snapToGrid w:val="0"/>
      <w:szCs w:val="20"/>
    </w:rPr>
  </w:style>
  <w:style w:type="character" w:customStyle="1" w:styleId="1795">
    <w:name w:val="t1"/>
    <w:uiPriority w:val="0"/>
    <w:rPr>
      <w:spacing w:val="-400"/>
      <w:sz w:val="24"/>
      <w:szCs w:val="24"/>
      <w:u w:val="none"/>
    </w:rPr>
  </w:style>
  <w:style w:type="paragraph" w:customStyle="1" w:styleId="1796">
    <w:name w:val="正文4号"/>
    <w:basedOn w:val="1"/>
    <w:qFormat/>
    <w:uiPriority w:val="0"/>
    <w:pPr>
      <w:spacing w:line="360" w:lineRule="auto"/>
      <w:ind w:firstLine="200" w:firstLineChars="200"/>
    </w:pPr>
  </w:style>
  <w:style w:type="character" w:customStyle="1" w:styleId="1797">
    <w:name w:val="small1"/>
    <w:uiPriority w:val="0"/>
    <w:rPr>
      <w:sz w:val="18"/>
      <w:szCs w:val="18"/>
    </w:rPr>
  </w:style>
  <w:style w:type="character" w:customStyle="1" w:styleId="1798">
    <w:name w:val="px141"/>
    <w:uiPriority w:val="0"/>
    <w:rPr>
      <w:spacing w:val="400"/>
      <w:sz w:val="28"/>
      <w:szCs w:val="28"/>
    </w:rPr>
  </w:style>
  <w:style w:type="character" w:customStyle="1" w:styleId="1799">
    <w:name w:val="style31"/>
    <w:uiPriority w:val="0"/>
    <w:rPr>
      <w:sz w:val="28"/>
      <w:szCs w:val="28"/>
    </w:rPr>
  </w:style>
  <w:style w:type="paragraph" w:customStyle="1" w:styleId="1800">
    <w:name w:val="报告书正文"/>
    <w:basedOn w:val="1"/>
    <w:link w:val="1964"/>
    <w:autoRedefine/>
    <w:qFormat/>
    <w:uiPriority w:val="0"/>
    <w:pPr>
      <w:adjustRightInd w:val="0"/>
      <w:jc w:val="center"/>
    </w:pPr>
    <w:rPr>
      <w:color w:val="000000"/>
      <w:sz w:val="28"/>
    </w:rPr>
  </w:style>
  <w:style w:type="paragraph" w:customStyle="1" w:styleId="1801">
    <w:name w:val="表样式2"/>
    <w:basedOn w:val="1"/>
    <w:autoRedefine/>
    <w:qFormat/>
    <w:uiPriority w:val="0"/>
    <w:pPr>
      <w:jc w:val="center"/>
    </w:pPr>
    <w:rPr>
      <w:bCs/>
    </w:rPr>
  </w:style>
  <w:style w:type="paragraph" w:customStyle="1" w:styleId="1802">
    <w:name w:val="流程文字"/>
    <w:basedOn w:val="1"/>
    <w:qFormat/>
    <w:uiPriority w:val="0"/>
    <w:pPr>
      <w:tabs>
        <w:tab w:val="left" w:pos="6480"/>
      </w:tabs>
      <w:topLinePunct/>
      <w:adjustRightInd w:val="0"/>
      <w:snapToGrid w:val="0"/>
      <w:jc w:val="center"/>
    </w:pPr>
    <w:rPr>
      <w:rFonts w:eastAsia="仿宋_GB2312"/>
      <w:szCs w:val="20"/>
    </w:rPr>
  </w:style>
  <w:style w:type="paragraph" w:customStyle="1" w:styleId="1803">
    <w:name w:val="表1表2"/>
    <w:basedOn w:val="1"/>
    <w:qFormat/>
    <w:uiPriority w:val="0"/>
    <w:pPr>
      <w:autoSpaceDE w:val="0"/>
      <w:autoSpaceDN w:val="0"/>
      <w:adjustRightInd w:val="0"/>
      <w:jc w:val="center"/>
      <w:textAlignment w:val="center"/>
    </w:pPr>
    <w:rPr>
      <w:szCs w:val="20"/>
    </w:rPr>
  </w:style>
  <w:style w:type="character" w:customStyle="1" w:styleId="1804">
    <w:name w:val="a11"/>
    <w:uiPriority w:val="0"/>
    <w:rPr>
      <w:color w:val="000000"/>
      <w:spacing w:val="312"/>
      <w:sz w:val="28"/>
      <w:szCs w:val="28"/>
      <w:u w:val="none"/>
    </w:rPr>
  </w:style>
  <w:style w:type="paragraph" w:customStyle="1" w:styleId="1805">
    <w:name w:val="Q"/>
    <w:basedOn w:val="1"/>
    <w:qFormat/>
    <w:uiPriority w:val="0"/>
    <w:pPr>
      <w:adjustRightInd w:val="0"/>
      <w:ind w:firstLine="548"/>
    </w:pPr>
    <w:rPr>
      <w:sz w:val="28"/>
      <w:szCs w:val="20"/>
    </w:rPr>
  </w:style>
  <w:style w:type="paragraph" w:customStyle="1" w:styleId="1806">
    <w:name w:val="GQ"/>
    <w:basedOn w:val="1"/>
    <w:qFormat/>
    <w:uiPriority w:val="0"/>
    <w:pPr>
      <w:adjustRightInd w:val="0"/>
      <w:ind w:firstLine="567"/>
    </w:pPr>
    <w:rPr>
      <w:color w:val="FF0000"/>
      <w:sz w:val="28"/>
      <w:szCs w:val="20"/>
    </w:rPr>
  </w:style>
  <w:style w:type="paragraph" w:customStyle="1" w:styleId="1807">
    <w:name w:val="样式 小四 居中 首行缩进:  2 字符"/>
    <w:basedOn w:val="1"/>
    <w:qFormat/>
    <w:uiPriority w:val="0"/>
    <w:pPr>
      <w:jc w:val="center"/>
    </w:pPr>
    <w:rPr>
      <w:szCs w:val="20"/>
    </w:rPr>
  </w:style>
  <w:style w:type="paragraph" w:customStyle="1" w:styleId="1808">
    <w:name w:val="表底注"/>
    <w:basedOn w:val="1"/>
    <w:autoRedefine/>
    <w:qFormat/>
    <w:uiPriority w:val="0"/>
    <w:pPr>
      <w:adjustRightInd w:val="0"/>
      <w:spacing w:after="120" w:line="240" w:lineRule="atLeast"/>
      <w:textAlignment w:val="baseline"/>
    </w:pPr>
    <w:rPr>
      <w:rFonts w:ascii="仿宋_GB2312" w:eastAsia="仿宋_GB2312"/>
      <w:szCs w:val="15"/>
    </w:rPr>
  </w:style>
  <w:style w:type="paragraph" w:customStyle="1" w:styleId="1809">
    <w:name w:val="Char Char Char Char Char Char Char Char Char Char Char Char Char Char Char Char Char Char Char Char Char Char Char Char Char"/>
    <w:basedOn w:val="1"/>
    <w:qFormat/>
    <w:uiPriority w:val="0"/>
  </w:style>
  <w:style w:type="paragraph" w:customStyle="1" w:styleId="1810">
    <w:name w:val="样式 标题 1章节标题b1H1章标题 1标题 1 Char一级标题，黑粗，三号，序号章chapOG Headi..."/>
    <w:basedOn w:val="2"/>
    <w:link w:val="1811"/>
    <w:qFormat/>
    <w:uiPriority w:val="0"/>
    <w:pPr>
      <w:keepNext w:val="0"/>
      <w:keepLines w:val="0"/>
      <w:tabs>
        <w:tab w:val="left" w:pos="1077"/>
      </w:tabs>
      <w:adjustRightInd w:val="0"/>
      <w:spacing w:beforeLines="0" w:afterLines="0" w:line="240" w:lineRule="auto"/>
      <w:textAlignment w:val="baseline"/>
    </w:pPr>
    <w:rPr>
      <w:color w:val="000000"/>
      <w:kern w:val="0"/>
      <w:sz w:val="28"/>
      <w:szCs w:val="32"/>
    </w:rPr>
  </w:style>
  <w:style w:type="character" w:customStyle="1" w:styleId="1811">
    <w:name w:val="样式 标题 1章节标题b1H1章标题 1标题 1 Char一级标题，黑粗，三号，序号章chapOG Headi... Char"/>
    <w:link w:val="1810"/>
    <w:uiPriority w:val="0"/>
    <w:rPr>
      <w:rFonts w:ascii="宋体" w:hAnsi="宋体"/>
      <w:b/>
      <w:bCs/>
      <w:color w:val="000000"/>
      <w:sz w:val="28"/>
      <w:szCs w:val="32"/>
    </w:rPr>
  </w:style>
  <w:style w:type="character" w:customStyle="1" w:styleId="1812">
    <w:name w:val="Footer1 Char1"/>
    <w:uiPriority w:val="0"/>
    <w:rPr>
      <w:rFonts w:eastAsia="仿宋_GB2312"/>
      <w:kern w:val="2"/>
      <w:sz w:val="18"/>
      <w:lang w:val="en-US" w:eastAsia="zh-CN" w:bidi="ar-SA"/>
    </w:rPr>
  </w:style>
  <w:style w:type="character" w:customStyle="1" w:styleId="1813">
    <w:name w:val="正文文字缩进 2 Char Char1"/>
    <w:uiPriority w:val="0"/>
    <w:rPr>
      <w:rFonts w:ascii="仿宋_GB2312" w:eastAsia="仿宋_GB2312"/>
      <w:kern w:val="2"/>
      <w:sz w:val="28"/>
      <w:lang w:val="en-US" w:eastAsia="zh-CN" w:bidi="ar-SA"/>
    </w:rPr>
  </w:style>
  <w:style w:type="character" w:customStyle="1" w:styleId="1814">
    <w:name w:val="正文文字缩进 3 Char Char1"/>
    <w:uiPriority w:val="0"/>
    <w:rPr>
      <w:rFonts w:ascii="仿宋_GB2312" w:eastAsia="仿宋_GB2312"/>
      <w:kern w:val="2"/>
      <w:sz w:val="28"/>
      <w:lang w:val="en-US" w:eastAsia="zh-CN" w:bidi="ar-SA"/>
    </w:rPr>
  </w:style>
  <w:style w:type="paragraph" w:customStyle="1" w:styleId="1815">
    <w:name w:val="ww"/>
    <w:basedOn w:val="1"/>
    <w:qFormat/>
    <w:uiPriority w:val="0"/>
    <w:pPr>
      <w:adjustRightInd w:val="0"/>
      <w:snapToGrid w:val="0"/>
      <w:spacing w:line="360" w:lineRule="auto"/>
      <w:ind w:firstLine="560" w:firstLineChars="200"/>
    </w:pPr>
    <w:rPr>
      <w:sz w:val="28"/>
      <w:szCs w:val="28"/>
    </w:rPr>
  </w:style>
  <w:style w:type="character" w:customStyle="1" w:styleId="1816">
    <w:name w:val="正文文字缩进 2 Char Char"/>
    <w:uiPriority w:val="0"/>
    <w:rPr>
      <w:kern w:val="2"/>
      <w:sz w:val="28"/>
      <w:szCs w:val="28"/>
    </w:rPr>
  </w:style>
  <w:style w:type="character" w:customStyle="1" w:styleId="1817">
    <w:name w:val="正文文字缩进 3 Char Char"/>
    <w:uiPriority w:val="0"/>
    <w:rPr>
      <w:rFonts w:ascii="仿宋_GB2312" w:eastAsia="仿宋_GB2312"/>
      <w:kern w:val="2"/>
      <w:sz w:val="28"/>
    </w:rPr>
  </w:style>
  <w:style w:type="character" w:customStyle="1" w:styleId="1818">
    <w:name w:val="EmailStyle284"/>
    <w:uiPriority w:val="0"/>
    <w:rPr>
      <w:rFonts w:ascii="Arial" w:hAnsi="Arial" w:eastAsia="宋体" w:cs="Arial"/>
      <w:color w:val="auto"/>
      <w:sz w:val="20"/>
    </w:rPr>
  </w:style>
  <w:style w:type="character" w:customStyle="1" w:styleId="1819">
    <w:name w:val="EmailStyle285"/>
    <w:uiPriority w:val="0"/>
    <w:rPr>
      <w:rFonts w:ascii="Arial" w:hAnsi="Arial" w:eastAsia="宋体" w:cs="Arial"/>
      <w:color w:val="auto"/>
      <w:sz w:val="20"/>
    </w:rPr>
  </w:style>
  <w:style w:type="character" w:customStyle="1" w:styleId="1820">
    <w:name w:val="普通(网站) Char"/>
    <w:semiHidden/>
    <w:locked/>
    <w:uiPriority w:val="0"/>
    <w:rPr>
      <w:kern w:val="2"/>
      <w:sz w:val="18"/>
      <w:szCs w:val="18"/>
    </w:rPr>
  </w:style>
  <w:style w:type="character" w:customStyle="1" w:styleId="1821">
    <w:name w:val="正文文本 2 Char1"/>
    <w:semiHidden/>
    <w:uiPriority w:val="0"/>
    <w:rPr>
      <w:rFonts w:eastAsia="仿宋_GB2312"/>
      <w:kern w:val="2"/>
      <w:sz w:val="30"/>
    </w:rPr>
  </w:style>
  <w:style w:type="character" w:customStyle="1" w:styleId="1822">
    <w:name w:val="文档结构图 Char1"/>
    <w:semiHidden/>
    <w:uiPriority w:val="0"/>
    <w:rPr>
      <w:rFonts w:ascii="宋体"/>
      <w:kern w:val="2"/>
      <w:sz w:val="18"/>
      <w:szCs w:val="18"/>
    </w:rPr>
  </w:style>
  <w:style w:type="character" w:customStyle="1" w:styleId="1823">
    <w:name w:val="批注框文本 Char1"/>
    <w:semiHidden/>
    <w:uiPriority w:val="0"/>
    <w:rPr>
      <w:rFonts w:eastAsia="仿宋_GB2312"/>
      <w:kern w:val="2"/>
      <w:sz w:val="18"/>
      <w:szCs w:val="18"/>
    </w:rPr>
  </w:style>
  <w:style w:type="character" w:customStyle="1" w:styleId="1824">
    <w:name w:val="正文首行缩进 Char1"/>
    <w:semiHidden/>
    <w:uiPriority w:val="0"/>
    <w:rPr>
      <w:rFonts w:ascii="仿宋_GB2312" w:eastAsia="仿宋_GB2312"/>
      <w:kern w:val="2"/>
      <w:sz w:val="30"/>
      <w:lang w:val="en-US" w:eastAsia="zh-CN" w:bidi="ar-SA"/>
    </w:rPr>
  </w:style>
  <w:style w:type="character" w:customStyle="1" w:styleId="1825">
    <w:name w:val="EmailStyle362"/>
    <w:semiHidden/>
    <w:uiPriority w:val="0"/>
    <w:rPr>
      <w:rFonts w:hint="default" w:ascii="Arial" w:hAnsi="Arial" w:eastAsia="宋体" w:cs="Arial"/>
      <w:color w:val="auto"/>
      <w:sz w:val="20"/>
    </w:rPr>
  </w:style>
  <w:style w:type="character" w:customStyle="1" w:styleId="1826">
    <w:name w:val="EmailStyle363"/>
    <w:semiHidden/>
    <w:uiPriority w:val="0"/>
    <w:rPr>
      <w:rFonts w:hint="default" w:ascii="Arial" w:hAnsi="Arial" w:eastAsia="宋体" w:cs="Arial"/>
      <w:color w:val="auto"/>
      <w:sz w:val="20"/>
    </w:rPr>
  </w:style>
  <w:style w:type="character" w:customStyle="1" w:styleId="1827">
    <w:name w:val="尾注文本 Char1"/>
    <w:semiHidden/>
    <w:uiPriority w:val="0"/>
    <w:rPr>
      <w:rFonts w:eastAsia="仿宋_GB2312"/>
      <w:kern w:val="2"/>
      <w:sz w:val="30"/>
    </w:rPr>
  </w:style>
  <w:style w:type="character" w:customStyle="1" w:styleId="1828">
    <w:name w:val="脚注文本 Char1"/>
    <w:semiHidden/>
    <w:qFormat/>
    <w:uiPriority w:val="0"/>
    <w:rPr>
      <w:rFonts w:eastAsia="仿宋_GB2312"/>
      <w:kern w:val="2"/>
      <w:sz w:val="18"/>
      <w:szCs w:val="18"/>
    </w:rPr>
  </w:style>
  <w:style w:type="character" w:customStyle="1" w:styleId="1829">
    <w:name w:val="EmailStyle404"/>
    <w:qFormat/>
    <w:uiPriority w:val="0"/>
    <w:rPr>
      <w:rFonts w:ascii="Arial" w:hAnsi="Arial" w:eastAsia="宋体" w:cs="Arial"/>
      <w:color w:val="auto"/>
      <w:sz w:val="20"/>
    </w:rPr>
  </w:style>
  <w:style w:type="character" w:customStyle="1" w:styleId="1830">
    <w:name w:val="EmailStyle405"/>
    <w:qFormat/>
    <w:uiPriority w:val="0"/>
    <w:rPr>
      <w:rFonts w:ascii="Arial" w:hAnsi="Arial" w:eastAsia="宋体" w:cs="Arial"/>
      <w:color w:val="auto"/>
      <w:sz w:val="20"/>
    </w:rPr>
  </w:style>
  <w:style w:type="character" w:customStyle="1" w:styleId="1831">
    <w:name w:val="EmailStyle420"/>
    <w:qFormat/>
    <w:uiPriority w:val="0"/>
    <w:rPr>
      <w:rFonts w:ascii="Arial" w:hAnsi="Arial" w:eastAsia="宋体" w:cs="Arial"/>
      <w:color w:val="auto"/>
      <w:sz w:val="20"/>
    </w:rPr>
  </w:style>
  <w:style w:type="character" w:customStyle="1" w:styleId="1832">
    <w:name w:val="EmailStyle421"/>
    <w:qFormat/>
    <w:uiPriority w:val="0"/>
    <w:rPr>
      <w:rFonts w:ascii="Arial" w:hAnsi="Arial" w:eastAsia="宋体" w:cs="Arial"/>
      <w:color w:val="auto"/>
      <w:sz w:val="20"/>
    </w:rPr>
  </w:style>
  <w:style w:type="character" w:customStyle="1" w:styleId="1833">
    <w:name w:val="EmailStyle422"/>
    <w:semiHidden/>
    <w:qFormat/>
    <w:uiPriority w:val="0"/>
    <w:rPr>
      <w:rFonts w:hint="default" w:ascii="Arial" w:hAnsi="Arial" w:eastAsia="宋体" w:cs="Arial"/>
      <w:color w:val="auto"/>
      <w:sz w:val="20"/>
    </w:rPr>
  </w:style>
  <w:style w:type="character" w:customStyle="1" w:styleId="1834">
    <w:name w:val="EmailStyle423"/>
    <w:semiHidden/>
    <w:qFormat/>
    <w:uiPriority w:val="0"/>
    <w:rPr>
      <w:rFonts w:hint="default" w:ascii="Arial" w:hAnsi="Arial" w:eastAsia="宋体" w:cs="Arial"/>
      <w:color w:val="auto"/>
      <w:sz w:val="20"/>
    </w:rPr>
  </w:style>
  <w:style w:type="character" w:customStyle="1" w:styleId="1835">
    <w:name w:val="EmailStyle424"/>
    <w:qFormat/>
    <w:uiPriority w:val="0"/>
    <w:rPr>
      <w:rFonts w:ascii="Arial" w:hAnsi="Arial" w:eastAsia="宋体" w:cs="Arial"/>
      <w:color w:val="auto"/>
      <w:sz w:val="20"/>
    </w:rPr>
  </w:style>
  <w:style w:type="character" w:customStyle="1" w:styleId="1836">
    <w:name w:val="EmailStyle425"/>
    <w:qFormat/>
    <w:uiPriority w:val="0"/>
    <w:rPr>
      <w:rFonts w:ascii="Arial" w:hAnsi="Arial" w:eastAsia="宋体" w:cs="Arial"/>
      <w:color w:val="auto"/>
      <w:sz w:val="20"/>
    </w:rPr>
  </w:style>
  <w:style w:type="character" w:customStyle="1" w:styleId="1837">
    <w:name w:val="节标题 1.1 Char Char Char Char C"/>
    <w:qFormat/>
    <w:uiPriority w:val="0"/>
    <w:rPr>
      <w:rFonts w:eastAsia="宋体"/>
      <w:b/>
      <w:kern w:val="2"/>
      <w:sz w:val="24"/>
      <w:lang w:val="en-US" w:eastAsia="zh-CN"/>
    </w:rPr>
  </w:style>
  <w:style w:type="character" w:customStyle="1" w:styleId="1838">
    <w:name w:val="正文1 Char Char Char Char"/>
    <w:qFormat/>
    <w:uiPriority w:val="0"/>
    <w:rPr>
      <w:rFonts w:eastAsia="宋体"/>
      <w:kern w:val="2"/>
      <w:sz w:val="24"/>
      <w:lang w:val="en-US" w:eastAsia="zh-CN"/>
    </w:rPr>
  </w:style>
  <w:style w:type="character" w:customStyle="1" w:styleId="1839">
    <w:name w:val="条标题1.1.1 Char Char Char Char Char Char Char Char Char Char"/>
    <w:qFormat/>
    <w:uiPriority w:val="0"/>
    <w:rPr>
      <w:rFonts w:ascii="宋体" w:hAnsi="宋体" w:eastAsia="宋体"/>
      <w:b/>
      <w:kern w:val="2"/>
      <w:sz w:val="24"/>
      <w:lang w:val="en-US" w:eastAsia="zh-CN"/>
    </w:rPr>
  </w:style>
  <w:style w:type="character" w:customStyle="1" w:styleId="1840">
    <w:name w:val="text-small1"/>
    <w:qFormat/>
    <w:uiPriority w:val="0"/>
    <w:rPr>
      <w:spacing w:val="12"/>
      <w:sz w:val="16"/>
    </w:rPr>
  </w:style>
  <w:style w:type="character" w:customStyle="1" w:styleId="1841">
    <w:name w:val="正文（不缩进） Char"/>
    <w:link w:val="1842"/>
    <w:qFormat/>
    <w:uiPriority w:val="0"/>
    <w:rPr>
      <w:sz w:val="24"/>
    </w:rPr>
  </w:style>
  <w:style w:type="paragraph" w:customStyle="1" w:styleId="1842">
    <w:name w:val="正文（不缩进）"/>
    <w:basedOn w:val="1"/>
    <w:link w:val="1841"/>
    <w:qFormat/>
    <w:uiPriority w:val="0"/>
    <w:pPr>
      <w:adjustRightInd w:val="0"/>
      <w:snapToGrid w:val="0"/>
      <w:spacing w:before="60" w:after="60" w:line="400" w:lineRule="exact"/>
    </w:pPr>
    <w:rPr>
      <w:szCs w:val="20"/>
    </w:rPr>
  </w:style>
  <w:style w:type="character" w:customStyle="1" w:styleId="1843">
    <w:name w:val="MANUAL Char"/>
    <w:link w:val="1844"/>
    <w:qFormat/>
    <w:uiPriority w:val="0"/>
    <w:rPr>
      <w:rFonts w:ascii="MS Mincho" w:eastAsia="MS Mincho"/>
      <w:spacing w:val="-20"/>
      <w:sz w:val="22"/>
      <w:lang w:eastAsia="ja-JP"/>
    </w:rPr>
  </w:style>
  <w:style w:type="paragraph" w:customStyle="1" w:styleId="1844">
    <w:name w:val="MANUAL"/>
    <w:basedOn w:val="1"/>
    <w:link w:val="1843"/>
    <w:qFormat/>
    <w:uiPriority w:val="0"/>
    <w:pPr>
      <w:overflowPunct w:val="0"/>
      <w:autoSpaceDE w:val="0"/>
      <w:autoSpaceDN w:val="0"/>
      <w:adjustRightInd w:val="0"/>
      <w:textAlignment w:val="baseline"/>
    </w:pPr>
    <w:rPr>
      <w:rFonts w:ascii="MS Mincho" w:eastAsia="MS Mincho"/>
      <w:spacing w:val="-20"/>
      <w:sz w:val="22"/>
      <w:szCs w:val="20"/>
      <w:lang w:eastAsia="ja-JP"/>
    </w:rPr>
  </w:style>
  <w:style w:type="paragraph" w:customStyle="1" w:styleId="1845">
    <w:name w:val="杠"/>
    <w:basedOn w:val="8"/>
    <w:qFormat/>
    <w:uiPriority w:val="0"/>
    <w:pPr>
      <w:tabs>
        <w:tab w:val="left" w:pos="425"/>
        <w:tab w:val="left" w:pos="1200"/>
      </w:tabs>
      <w:adjustRightInd w:val="0"/>
      <w:snapToGrid w:val="0"/>
      <w:spacing w:before="120" w:line="300" w:lineRule="auto"/>
      <w:ind w:left="1559" w:hanging="720" w:firstLineChars="0"/>
      <w:textAlignment w:val="baseline"/>
    </w:pPr>
    <w:rPr>
      <w:rFonts w:ascii="Arial" w:hAnsi="Arial"/>
    </w:rPr>
  </w:style>
  <w:style w:type="paragraph" w:customStyle="1" w:styleId="1846">
    <w:name w:val="Date1"/>
    <w:basedOn w:val="1"/>
    <w:next w:val="1"/>
    <w:qFormat/>
    <w:uiPriority w:val="0"/>
    <w:pPr>
      <w:adjustRightInd w:val="0"/>
      <w:spacing w:line="360" w:lineRule="atLeast"/>
      <w:textAlignment w:val="baseline"/>
    </w:pPr>
    <w:rPr>
      <w:rFonts w:eastAsia="Wingdings"/>
      <w:szCs w:val="20"/>
    </w:rPr>
  </w:style>
  <w:style w:type="paragraph" w:customStyle="1" w:styleId="1847">
    <w:name w:val="正文文本缩进 21"/>
    <w:basedOn w:val="1"/>
    <w:qFormat/>
    <w:uiPriority w:val="0"/>
    <w:pPr>
      <w:autoSpaceDE w:val="0"/>
      <w:autoSpaceDN w:val="0"/>
      <w:adjustRightInd w:val="0"/>
      <w:snapToGrid w:val="0"/>
      <w:spacing w:before="60" w:after="60" w:line="240" w:lineRule="atLeast"/>
      <w:ind w:firstLine="567"/>
      <w:textAlignment w:val="baseline"/>
    </w:pPr>
    <w:rPr>
      <w:sz w:val="28"/>
      <w:szCs w:val="20"/>
    </w:rPr>
  </w:style>
  <w:style w:type="paragraph" w:customStyle="1" w:styleId="1848">
    <w:name w:val="Body Text 1"/>
    <w:basedOn w:val="1"/>
    <w:qFormat/>
    <w:uiPriority w:val="0"/>
    <w:pPr>
      <w:spacing w:before="120" w:after="120" w:line="360" w:lineRule="auto"/>
      <w:ind w:left="720"/>
    </w:pPr>
    <w:rPr>
      <w:rFonts w:ascii="Arial" w:hAnsi="Arial"/>
      <w:sz w:val="22"/>
      <w:szCs w:val="20"/>
      <w:lang w:eastAsia="en-US"/>
    </w:rPr>
  </w:style>
  <w:style w:type="paragraph" w:customStyle="1" w:styleId="1849">
    <w:name w:val="Formatvorlage1"/>
    <w:basedOn w:val="1"/>
    <w:qFormat/>
    <w:uiPriority w:val="0"/>
    <w:rPr>
      <w:rFonts w:ascii="Arial" w:hAnsi="Arial" w:eastAsia="PMingLiU"/>
      <w:sz w:val="22"/>
      <w:szCs w:val="20"/>
      <w:lang w:eastAsia="de-DE"/>
    </w:rPr>
  </w:style>
  <w:style w:type="paragraph" w:customStyle="1" w:styleId="1850">
    <w:name w:val="B Outline 2 N"/>
    <w:basedOn w:val="1"/>
    <w:qFormat/>
    <w:uiPriority w:val="0"/>
    <w:pPr>
      <w:tabs>
        <w:tab w:val="left" w:pos="1080"/>
      </w:tabs>
      <w:spacing w:line="360" w:lineRule="auto"/>
    </w:pPr>
    <w:rPr>
      <w:rFonts w:eastAsia="华康宋体W5(P)"/>
      <w:szCs w:val="20"/>
    </w:rPr>
  </w:style>
  <w:style w:type="paragraph" w:customStyle="1" w:styleId="1851">
    <w:name w:val=":-)"/>
    <w:qFormat/>
    <w:uiPriority w:val="0"/>
    <w:pPr>
      <w:overflowPunct w:val="0"/>
      <w:autoSpaceDE w:val="0"/>
      <w:autoSpaceDN w:val="0"/>
      <w:adjustRightInd w:val="0"/>
      <w:textAlignment w:val="baseline"/>
    </w:pPr>
    <w:rPr>
      <w:rFonts w:ascii="Times New Roman" w:hAnsi="Times New Roman" w:eastAsia="宋体" w:cs="Times New Roman"/>
      <w:lang w:val="en-US" w:eastAsia="zh-CN" w:bidi="ar-SA"/>
    </w:rPr>
  </w:style>
  <w:style w:type="paragraph" w:customStyle="1" w:styleId="1852">
    <w:name w:val="Fliestext/Aufz."/>
    <w:basedOn w:val="1"/>
    <w:qFormat/>
    <w:uiPriority w:val="0"/>
    <w:pPr>
      <w:overflowPunct w:val="0"/>
      <w:autoSpaceDE w:val="0"/>
      <w:autoSpaceDN w:val="0"/>
      <w:adjustRightInd w:val="0"/>
      <w:spacing w:after="120"/>
      <w:textAlignment w:val="baseline"/>
    </w:pPr>
    <w:rPr>
      <w:rFonts w:ascii="Arial" w:hAnsi="Arial" w:eastAsia="MS Mincho"/>
      <w:sz w:val="22"/>
      <w:szCs w:val="20"/>
      <w:lang w:val="de-DE"/>
    </w:rPr>
  </w:style>
  <w:style w:type="character" w:customStyle="1" w:styleId="1853">
    <w:name w:val="信息标题 Char1"/>
    <w:qFormat/>
    <w:uiPriority w:val="0"/>
    <w:rPr>
      <w:rFonts w:ascii="Cambria" w:hAnsi="Cambria" w:eastAsia="宋体" w:cs="Times New Roman"/>
      <w:kern w:val="2"/>
      <w:sz w:val="24"/>
      <w:szCs w:val="24"/>
      <w:shd w:val="pct20" w:color="auto" w:fill="auto"/>
    </w:rPr>
  </w:style>
  <w:style w:type="paragraph" w:customStyle="1" w:styleId="1854">
    <w:name w:val="Char2 Char Char Char Char Char Char"/>
    <w:basedOn w:val="1"/>
    <w:qFormat/>
    <w:uiPriority w:val="0"/>
    <w:rPr>
      <w:szCs w:val="20"/>
    </w:rPr>
  </w:style>
  <w:style w:type="paragraph" w:customStyle="1" w:styleId="1855">
    <w:name w:val="标题b"/>
    <w:basedOn w:val="3"/>
    <w:qFormat/>
    <w:uiPriority w:val="0"/>
    <w:pPr>
      <w:tabs>
        <w:tab w:val="left" w:pos="1560"/>
      </w:tabs>
      <w:spacing w:beforeLines="0" w:afterLines="0"/>
    </w:pPr>
    <w:rPr>
      <w:bCs w:val="0"/>
      <w:color w:val="000000"/>
      <w:sz w:val="30"/>
      <w:szCs w:val="20"/>
    </w:rPr>
  </w:style>
  <w:style w:type="paragraph" w:customStyle="1" w:styleId="1856">
    <w:name w:val="Table Txt"/>
    <w:basedOn w:val="1"/>
    <w:qFormat/>
    <w:uiPriority w:val="0"/>
    <w:pPr>
      <w:spacing w:line="480" w:lineRule="atLeast"/>
    </w:pPr>
    <w:rPr>
      <w:rFonts w:eastAsia="华康宋体W5(P)"/>
      <w:szCs w:val="20"/>
    </w:rPr>
  </w:style>
  <w:style w:type="paragraph" w:customStyle="1" w:styleId="1857">
    <w:name w:val="Char Char1 Char Char"/>
    <w:basedOn w:val="1"/>
    <w:qFormat/>
    <w:uiPriority w:val="0"/>
    <w:rPr>
      <w:szCs w:val="20"/>
    </w:rPr>
  </w:style>
  <w:style w:type="paragraph" w:customStyle="1" w:styleId="1858">
    <w:name w:val="样式 标题3 + 行距: 1.5 倍行距"/>
    <w:basedOn w:val="476"/>
    <w:qFormat/>
    <w:uiPriority w:val="0"/>
    <w:pPr>
      <w:tabs>
        <w:tab w:val="left" w:pos="720"/>
      </w:tabs>
      <w:adjustRightInd w:val="0"/>
      <w:spacing w:beforeLines="25" w:afterLines="25" w:line="300" w:lineRule="auto"/>
      <w:ind w:firstLine="0"/>
      <w:textAlignment w:val="baseline"/>
    </w:pPr>
    <w:rPr>
      <w:rFonts w:ascii="Arial" w:hAnsi="Arial" w:eastAsia="Times New Roman"/>
      <w:color w:val="FF0000"/>
    </w:rPr>
  </w:style>
  <w:style w:type="paragraph" w:customStyle="1" w:styleId="1859">
    <w:name w:val="样式 标题2 + 段前: 0.2 行"/>
    <w:basedOn w:val="3"/>
    <w:qFormat/>
    <w:uiPriority w:val="0"/>
    <w:pPr>
      <w:tabs>
        <w:tab w:val="left" w:pos="1560"/>
      </w:tabs>
      <w:adjustRightInd w:val="0"/>
      <w:snapToGrid w:val="0"/>
      <w:spacing w:beforeLines="0" w:afterLines="0"/>
      <w:textAlignment w:val="baseline"/>
    </w:pPr>
    <w:rPr>
      <w:bCs w:val="0"/>
      <w:sz w:val="28"/>
      <w:szCs w:val="20"/>
    </w:rPr>
  </w:style>
  <w:style w:type="paragraph" w:customStyle="1" w:styleId="1860">
    <w:name w:val="样式 标题3 + 段前: 7.8 磅 行距: 1.5 倍行距"/>
    <w:basedOn w:val="476"/>
    <w:qFormat/>
    <w:uiPriority w:val="0"/>
    <w:pPr>
      <w:tabs>
        <w:tab w:val="left" w:pos="720"/>
      </w:tabs>
      <w:adjustRightInd w:val="0"/>
      <w:spacing w:beforeLines="25" w:afterLines="25" w:line="300" w:lineRule="auto"/>
      <w:ind w:firstLine="0"/>
      <w:textAlignment w:val="baseline"/>
    </w:pPr>
    <w:rPr>
      <w:rFonts w:ascii="Arial" w:hAnsi="Arial" w:eastAsia="Times New Roman"/>
      <w:color w:val="FF0000"/>
    </w:rPr>
  </w:style>
  <w:style w:type="paragraph" w:customStyle="1" w:styleId="1861">
    <w:name w:val="ST20-3"/>
    <w:basedOn w:val="1"/>
    <w:qFormat/>
    <w:uiPriority w:val="0"/>
    <w:pPr>
      <w:tabs>
        <w:tab w:val="left" w:pos="680"/>
        <w:tab w:val="left" w:pos="1140"/>
      </w:tabs>
      <w:adjustRightInd w:val="0"/>
      <w:snapToGrid w:val="0"/>
      <w:spacing w:after="160" w:line="300" w:lineRule="auto"/>
      <w:ind w:left="794" w:hanging="170"/>
    </w:pPr>
    <w:rPr>
      <w:rFonts w:ascii="Arial" w:hAnsi="Arial"/>
      <w:szCs w:val="20"/>
    </w:rPr>
  </w:style>
  <w:style w:type="paragraph" w:customStyle="1" w:styleId="1862">
    <w:name w:val="样式 标题 1 + 小三 加粗"/>
    <w:basedOn w:val="2"/>
    <w:qFormat/>
    <w:uiPriority w:val="0"/>
    <w:pPr>
      <w:pageBreakBefore/>
      <w:tabs>
        <w:tab w:val="left" w:pos="630"/>
      </w:tabs>
      <w:adjustRightInd w:val="0"/>
      <w:spacing w:beforeLines="0" w:afterLines="0"/>
      <w:textAlignment w:val="baseline"/>
    </w:pPr>
    <w:rPr>
      <w:rFonts w:eastAsia="黑体"/>
      <w:bCs w:val="0"/>
      <w:sz w:val="32"/>
      <w:szCs w:val="20"/>
    </w:rPr>
  </w:style>
  <w:style w:type="paragraph" w:customStyle="1" w:styleId="1863">
    <w:name w:val="ST20-2"/>
    <w:basedOn w:val="1"/>
    <w:qFormat/>
    <w:uiPriority w:val="0"/>
    <w:pPr>
      <w:tabs>
        <w:tab w:val="left" w:pos="567"/>
        <w:tab w:val="left" w:pos="1080"/>
      </w:tabs>
      <w:adjustRightInd w:val="0"/>
      <w:snapToGrid w:val="0"/>
      <w:spacing w:after="120" w:line="300" w:lineRule="auto"/>
      <w:ind w:left="1247" w:hanging="1080"/>
    </w:pPr>
    <w:rPr>
      <w:rFonts w:hAnsi="Arial"/>
      <w:szCs w:val="20"/>
    </w:rPr>
  </w:style>
  <w:style w:type="paragraph" w:customStyle="1" w:styleId="1864">
    <w:name w:val="(a)"/>
    <w:qFormat/>
    <w:uiPriority w:val="0"/>
    <w:pPr>
      <w:widowControl w:val="0"/>
      <w:tabs>
        <w:tab w:val="left" w:pos="600"/>
      </w:tabs>
      <w:snapToGrid w:val="0"/>
      <w:jc w:val="both"/>
    </w:pPr>
    <w:rPr>
      <w:rFonts w:ascii="Times New Roman" w:hAnsi="Times New Roman" w:eastAsia="宋体" w:cs="Times New Roman"/>
      <w:kern w:val="2"/>
      <w:sz w:val="24"/>
      <w:lang w:val="en-US" w:eastAsia="zh-CN" w:bidi="ar-SA"/>
    </w:rPr>
  </w:style>
  <w:style w:type="paragraph" w:customStyle="1" w:styleId="1865">
    <w:name w:val="WfxFaxNum"/>
    <w:basedOn w:val="1"/>
    <w:qFormat/>
    <w:uiPriority w:val="0"/>
    <w:rPr>
      <w:snapToGrid w:val="0"/>
      <w:sz w:val="20"/>
      <w:szCs w:val="20"/>
      <w:lang w:eastAsia="en-US"/>
    </w:rPr>
  </w:style>
  <w:style w:type="paragraph" w:customStyle="1" w:styleId="1866">
    <w:name w:val="No.無"/>
    <w:basedOn w:val="1"/>
    <w:qFormat/>
    <w:uiPriority w:val="0"/>
    <w:pPr>
      <w:overflowPunct w:val="0"/>
      <w:autoSpaceDE w:val="0"/>
      <w:autoSpaceDN w:val="0"/>
      <w:adjustRightInd w:val="0"/>
      <w:spacing w:line="240" w:lineRule="exact"/>
      <w:textAlignment w:val="baseline"/>
    </w:pPr>
    <w:rPr>
      <w:rFonts w:eastAsia="MS Gothic"/>
      <w:color w:val="000000"/>
      <w:szCs w:val="20"/>
      <w:lang w:eastAsia="ja-JP"/>
    </w:rPr>
  </w:style>
  <w:style w:type="paragraph" w:customStyle="1" w:styleId="1867">
    <w:name w:val="小标"/>
    <w:basedOn w:val="1"/>
    <w:qFormat/>
    <w:uiPriority w:val="0"/>
    <w:rPr>
      <w:rFonts w:hint="eastAsia" w:ascii="黑体" w:eastAsia="黑体"/>
      <w:spacing w:val="20"/>
      <w:szCs w:val="20"/>
    </w:rPr>
  </w:style>
  <w:style w:type="paragraph" w:customStyle="1" w:styleId="1868">
    <w:name w:val="我的正文格式"/>
    <w:basedOn w:val="1"/>
    <w:next w:val="1"/>
    <w:qFormat/>
    <w:uiPriority w:val="0"/>
    <w:pPr>
      <w:tabs>
        <w:tab w:val="left" w:pos="840"/>
      </w:tabs>
      <w:adjustRightInd w:val="0"/>
      <w:spacing w:line="360" w:lineRule="auto"/>
      <w:textAlignment w:val="baseline"/>
    </w:pPr>
    <w:rPr>
      <w:b/>
      <w:color w:val="000000"/>
      <w:szCs w:val="20"/>
    </w:rPr>
  </w:style>
  <w:style w:type="paragraph" w:customStyle="1" w:styleId="1869">
    <w:name w:val="单选户 正文"/>
    <w:basedOn w:val="1"/>
    <w:qFormat/>
    <w:uiPriority w:val="0"/>
    <w:pPr>
      <w:adjustRightInd w:val="0"/>
      <w:snapToGrid w:val="0"/>
      <w:spacing w:line="360" w:lineRule="auto"/>
      <w:ind w:firstLine="420"/>
    </w:pPr>
    <w:rPr>
      <w:snapToGrid w:val="0"/>
      <w:szCs w:val="20"/>
    </w:rPr>
  </w:style>
  <w:style w:type="paragraph" w:customStyle="1" w:styleId="1870">
    <w:name w:val="Char1 Char Char Char Char Char Char Char"/>
    <w:basedOn w:val="1"/>
    <w:qFormat/>
    <w:uiPriority w:val="0"/>
    <w:rPr>
      <w:szCs w:val="20"/>
    </w:rPr>
  </w:style>
  <w:style w:type="paragraph" w:customStyle="1" w:styleId="1871">
    <w:name w:val="Standard.bz"/>
    <w:qFormat/>
    <w:uiPriority w:val="0"/>
    <w:rPr>
      <w:rFonts w:ascii="Arial" w:hAnsi="Arial" w:eastAsia="PMingLiU" w:cs="Times New Roman"/>
      <w:sz w:val="22"/>
      <w:lang w:val="de-DE" w:eastAsia="de-DE" w:bidi="ar-SA"/>
    </w:rPr>
  </w:style>
  <w:style w:type="paragraph" w:customStyle="1" w:styleId="1872">
    <w:name w:val="表内五号两端对齐"/>
    <w:basedOn w:val="1"/>
    <w:qFormat/>
    <w:uiPriority w:val="0"/>
    <w:pPr>
      <w:spacing w:line="360" w:lineRule="auto"/>
      <w:jc w:val="center"/>
    </w:pPr>
    <w:rPr>
      <w:b/>
      <w:color w:val="000000"/>
      <w:szCs w:val="20"/>
    </w:rPr>
  </w:style>
  <w:style w:type="paragraph" w:customStyle="1" w:styleId="1873">
    <w:name w:val="Table Outline"/>
    <w:basedOn w:val="1856"/>
    <w:qFormat/>
    <w:uiPriority w:val="0"/>
    <w:pPr>
      <w:tabs>
        <w:tab w:val="left" w:pos="720"/>
      </w:tabs>
      <w:spacing w:line="240" w:lineRule="auto"/>
    </w:pPr>
  </w:style>
  <w:style w:type="paragraph" w:customStyle="1" w:styleId="1874">
    <w:name w:val="样式 标题 1-*+章节标题b1 + 宋体 非加粗 黑色 行距: 固定值 20 磅"/>
    <w:basedOn w:val="2"/>
    <w:qFormat/>
    <w:uiPriority w:val="0"/>
    <w:pPr>
      <w:pageBreakBefore/>
      <w:spacing w:beforeLines="0" w:afterLines="0"/>
    </w:pPr>
    <w:rPr>
      <w:bCs w:val="0"/>
      <w:sz w:val="30"/>
      <w:szCs w:val="20"/>
    </w:rPr>
  </w:style>
  <w:style w:type="paragraph" w:customStyle="1" w:styleId="1875">
    <w:name w:val="样式 标题 2节标题 1.1b21.1标题2h2l22nd levelTitre22Header 2H2标...1"/>
    <w:basedOn w:val="3"/>
    <w:qFormat/>
    <w:uiPriority w:val="0"/>
    <w:pPr>
      <w:tabs>
        <w:tab w:val="left" w:pos="1560"/>
      </w:tabs>
      <w:spacing w:beforeLines="0" w:afterLines="0" w:line="440" w:lineRule="atLeast"/>
      <w:jc w:val="center"/>
    </w:pPr>
    <w:rPr>
      <w:bCs w:val="0"/>
      <w:color w:val="000000"/>
      <w:sz w:val="28"/>
      <w:szCs w:val="20"/>
    </w:rPr>
  </w:style>
  <w:style w:type="paragraph" w:customStyle="1" w:styleId="1876">
    <w:name w:val="Simone"/>
    <w:basedOn w:val="1"/>
    <w:qFormat/>
    <w:uiPriority w:val="0"/>
    <w:rPr>
      <w:rFonts w:ascii="Arial" w:hAnsi="Arial" w:eastAsia="PMingLiU"/>
      <w:b/>
      <w:szCs w:val="20"/>
      <w:u w:val="single"/>
      <w:lang w:eastAsia="de-DE"/>
    </w:rPr>
  </w:style>
  <w:style w:type="paragraph" w:customStyle="1" w:styleId="1877">
    <w:name w:val="正文文本 31"/>
    <w:basedOn w:val="1"/>
    <w:qFormat/>
    <w:uiPriority w:val="0"/>
    <w:pPr>
      <w:adjustRightInd w:val="0"/>
      <w:spacing w:line="360" w:lineRule="auto"/>
      <w:jc w:val="center"/>
      <w:textAlignment w:val="baseline"/>
    </w:pPr>
    <w:rPr>
      <w:b/>
      <w:color w:val="FF0000"/>
      <w:szCs w:val="20"/>
      <w:u w:val="single"/>
    </w:rPr>
  </w:style>
  <w:style w:type="character" w:customStyle="1" w:styleId="1878">
    <w:name w:val="EmailStyle4361"/>
    <w:qFormat/>
    <w:uiPriority w:val="0"/>
    <w:rPr>
      <w:rFonts w:ascii="Arial" w:hAnsi="Arial" w:eastAsia="宋体" w:cs="Arial"/>
      <w:color w:val="auto"/>
      <w:sz w:val="20"/>
    </w:rPr>
  </w:style>
  <w:style w:type="character" w:customStyle="1" w:styleId="1879">
    <w:name w:val="EmailStyle4371"/>
    <w:qFormat/>
    <w:uiPriority w:val="0"/>
    <w:rPr>
      <w:rFonts w:ascii="Arial" w:hAnsi="Arial" w:eastAsia="宋体" w:cs="Arial"/>
      <w:color w:val="auto"/>
      <w:sz w:val="20"/>
    </w:rPr>
  </w:style>
  <w:style w:type="paragraph" w:customStyle="1" w:styleId="1880">
    <w:name w:val="Char Char Char Char Char Char Char Char Char2 Char Char Char Char Char Char Char Char Char Char"/>
    <w:basedOn w:val="1"/>
    <w:qFormat/>
    <w:uiPriority w:val="0"/>
  </w:style>
  <w:style w:type="paragraph" w:customStyle="1" w:styleId="1881">
    <w:name w:val="样式21"/>
    <w:basedOn w:val="3"/>
    <w:qFormat/>
    <w:uiPriority w:val="0"/>
    <w:pPr>
      <w:autoSpaceDE w:val="0"/>
      <w:autoSpaceDN w:val="0"/>
      <w:adjustRightInd w:val="0"/>
      <w:snapToGrid w:val="0"/>
      <w:spacing w:beforeLines="0" w:afterLines="0" w:line="240" w:lineRule="auto"/>
    </w:pPr>
    <w:rPr>
      <w:rFonts w:hAnsi="Arial"/>
      <w:b w:val="0"/>
      <w:bCs w:val="0"/>
      <w:color w:val="000000"/>
      <w:szCs w:val="20"/>
    </w:rPr>
  </w:style>
  <w:style w:type="paragraph" w:customStyle="1" w:styleId="1882">
    <w:name w:val="样式11"/>
    <w:basedOn w:val="3"/>
    <w:qFormat/>
    <w:uiPriority w:val="0"/>
    <w:pPr>
      <w:autoSpaceDE w:val="0"/>
      <w:autoSpaceDN w:val="0"/>
      <w:adjustRightInd w:val="0"/>
      <w:snapToGrid w:val="0"/>
      <w:spacing w:beforeLines="0" w:afterLines="0" w:line="240" w:lineRule="auto"/>
    </w:pPr>
    <w:rPr>
      <w:rFonts w:ascii="黑体" w:hAnsi="Arial" w:eastAsia="黑体"/>
      <w:bCs w:val="0"/>
      <w:color w:val="000000"/>
      <w:szCs w:val="20"/>
    </w:rPr>
  </w:style>
  <w:style w:type="character" w:customStyle="1" w:styleId="1883">
    <w:name w:val="articlebody1"/>
    <w:qFormat/>
    <w:uiPriority w:val="0"/>
    <w:rPr>
      <w:color w:val="333333"/>
      <w:sz w:val="21"/>
      <w:szCs w:val="21"/>
    </w:rPr>
  </w:style>
  <w:style w:type="paragraph" w:customStyle="1" w:styleId="1884">
    <w:name w:val="正文（首行缩进两字） Char Char Char Char Char Char Char Char Char Char Char Char Char Char Char Char"/>
    <w:basedOn w:val="1"/>
    <w:next w:val="31"/>
    <w:qFormat/>
    <w:uiPriority w:val="0"/>
    <w:rPr>
      <w:rFonts w:hAnsi="Courier New"/>
      <w:szCs w:val="20"/>
    </w:rPr>
  </w:style>
  <w:style w:type="paragraph" w:customStyle="1" w:styleId="1885">
    <w:name w:val="样式 小四 行距: 1.5 倍行距 首行缩进:  2 字符"/>
    <w:basedOn w:val="1"/>
    <w:autoRedefine/>
    <w:qFormat/>
    <w:uiPriority w:val="0"/>
  </w:style>
  <w:style w:type="paragraph" w:customStyle="1" w:styleId="1886">
    <w:name w:val="正缩"/>
    <w:basedOn w:val="1"/>
    <w:link w:val="1887"/>
    <w:qFormat/>
    <w:uiPriority w:val="0"/>
    <w:pPr>
      <w:adjustRightInd w:val="0"/>
      <w:spacing w:line="240" w:lineRule="atLeast"/>
      <w:ind w:firstLine="567"/>
      <w:textAlignment w:val="baseline"/>
    </w:pPr>
    <w:rPr>
      <w:szCs w:val="20"/>
    </w:rPr>
  </w:style>
  <w:style w:type="character" w:customStyle="1" w:styleId="1887">
    <w:name w:val="正缩 Char"/>
    <w:link w:val="1886"/>
    <w:qFormat/>
    <w:uiPriority w:val="0"/>
    <w:rPr>
      <w:kern w:val="2"/>
      <w:sz w:val="24"/>
    </w:rPr>
  </w:style>
  <w:style w:type="paragraph" w:customStyle="1" w:styleId="1888">
    <w:name w:val="正文3 Char Char"/>
    <w:link w:val="1889"/>
    <w:qFormat/>
    <w:uiPriority w:val="0"/>
    <w:pPr>
      <w:suppressAutoHyphens/>
      <w:overflowPunct w:val="0"/>
      <w:topLinePunct/>
      <w:spacing w:line="480" w:lineRule="exact"/>
      <w:ind w:firstLine="200" w:firstLineChars="200"/>
      <w:jc w:val="both"/>
    </w:pPr>
    <w:rPr>
      <w:rFonts w:ascii="宋体" w:hAnsi="宋体" w:eastAsia="宋体" w:cs="Times New Roman"/>
      <w:bCs/>
      <w:snapToGrid w:val="0"/>
      <w:kern w:val="2"/>
      <w:sz w:val="24"/>
      <w:szCs w:val="28"/>
      <w:lang w:val="zh-CN" w:eastAsia="zh-CN" w:bidi="ar-SA"/>
    </w:rPr>
  </w:style>
  <w:style w:type="character" w:customStyle="1" w:styleId="1889">
    <w:name w:val="正文3 Char Char Char"/>
    <w:link w:val="1888"/>
    <w:qFormat/>
    <w:uiPriority w:val="0"/>
    <w:rPr>
      <w:rFonts w:ascii="宋体" w:hAnsi="宋体"/>
      <w:bCs/>
      <w:snapToGrid w:val="0"/>
      <w:kern w:val="2"/>
      <w:sz w:val="24"/>
      <w:szCs w:val="28"/>
      <w:lang w:val="zh-CN" w:bidi="ar-SA"/>
    </w:rPr>
  </w:style>
  <w:style w:type="paragraph" w:customStyle="1" w:styleId="1890">
    <w:name w:val="样式 样式 首行缩进:  0.85 厘米 + 首行缩进:  2 字符"/>
    <w:basedOn w:val="1"/>
    <w:qFormat/>
    <w:uiPriority w:val="0"/>
    <w:pPr>
      <w:topLinePunct/>
      <w:spacing w:line="460" w:lineRule="exact"/>
      <w:ind w:firstLine="480" w:firstLineChars="200"/>
    </w:pPr>
  </w:style>
  <w:style w:type="paragraph" w:customStyle="1" w:styleId="1891">
    <w:name w:val="样式 正文文字缩进 + 四号 行距: 最小值 30 磅"/>
    <w:basedOn w:val="35"/>
    <w:qFormat/>
    <w:uiPriority w:val="0"/>
    <w:pPr>
      <w:spacing w:after="0" w:line="600" w:lineRule="exact"/>
      <w:ind w:left="0" w:leftChars="0" w:firstLine="573"/>
    </w:pPr>
    <w:rPr>
      <w:sz w:val="28"/>
      <w:szCs w:val="20"/>
    </w:rPr>
  </w:style>
  <w:style w:type="character" w:customStyle="1" w:styleId="1892">
    <w:name w:val="表头 Char Char Char"/>
    <w:qFormat/>
    <w:uiPriority w:val="0"/>
    <w:rPr>
      <w:rFonts w:ascii="黑体" w:eastAsia="黑体"/>
      <w:b/>
      <w:kern w:val="2"/>
      <w:sz w:val="24"/>
      <w:szCs w:val="24"/>
      <w:lang w:val="en-US" w:eastAsia="zh-CN" w:bidi="ar-SA"/>
    </w:rPr>
  </w:style>
  <w:style w:type="paragraph" w:customStyle="1" w:styleId="1893">
    <w:name w:val="样式 正文3 + 首行缩进:  2 字符3 + 首行缩进:  2 字符 + 首行缩进:  2 字符2 + 首行缩进:  2......"/>
    <w:basedOn w:val="1"/>
    <w:autoRedefine/>
    <w:qFormat/>
    <w:uiPriority w:val="0"/>
    <w:pPr>
      <w:suppressAutoHyphens/>
      <w:overflowPunct w:val="0"/>
      <w:topLinePunct/>
      <w:spacing w:line="480" w:lineRule="exact"/>
      <w:ind w:firstLine="480" w:firstLineChars="200"/>
    </w:pPr>
    <w:rPr>
      <w:lang w:val="zh-CN"/>
    </w:rPr>
  </w:style>
  <w:style w:type="character" w:customStyle="1" w:styleId="1894">
    <w:name w:val="样式 普通文字 + (符号) 宋体 小四 Char"/>
    <w:qFormat/>
    <w:uiPriority w:val="0"/>
    <w:rPr>
      <w:rFonts w:ascii="宋体" w:hAnsi="Courier New" w:eastAsia="宋体"/>
      <w:kern w:val="2"/>
      <w:sz w:val="24"/>
      <w:lang w:val="en-US" w:eastAsia="zh-CN" w:bidi="ar-SA"/>
    </w:rPr>
  </w:style>
  <w:style w:type="paragraph" w:customStyle="1" w:styleId="1895">
    <w:name w:val="官厅1"/>
    <w:basedOn w:val="1"/>
    <w:autoRedefine/>
    <w:qFormat/>
    <w:uiPriority w:val="0"/>
    <w:pPr>
      <w:spacing w:before="120" w:after="120" w:line="360" w:lineRule="auto"/>
      <w:outlineLvl w:val="0"/>
    </w:pPr>
    <w:rPr>
      <w:bCs/>
    </w:rPr>
  </w:style>
  <w:style w:type="paragraph" w:customStyle="1" w:styleId="1896">
    <w:name w:val="中文报告书样式"/>
    <w:basedOn w:val="1"/>
    <w:qFormat/>
    <w:uiPriority w:val="0"/>
    <w:pPr>
      <w:adjustRightInd w:val="0"/>
      <w:spacing w:line="480" w:lineRule="atLeast"/>
      <w:ind w:firstLine="482"/>
      <w:textAlignment w:val="baseline"/>
    </w:pPr>
    <w:rPr>
      <w:kern w:val="24"/>
      <w:szCs w:val="20"/>
    </w:rPr>
  </w:style>
  <w:style w:type="paragraph" w:customStyle="1" w:styleId="1897">
    <w:name w:val="缩"/>
    <w:basedOn w:val="1"/>
    <w:next w:val="35"/>
    <w:qFormat/>
    <w:uiPriority w:val="0"/>
    <w:pPr>
      <w:spacing w:after="120"/>
      <w:ind w:left="420" w:leftChars="200"/>
    </w:pPr>
  </w:style>
  <w:style w:type="paragraph" w:customStyle="1" w:styleId="1898">
    <w:name w:val="样式 样式 小四 行距: 1.5 倍行距 首行缩进:  2 字符 +"/>
    <w:basedOn w:val="1885"/>
    <w:qFormat/>
    <w:uiPriority w:val="0"/>
    <w:pPr>
      <w:spacing w:line="320" w:lineRule="exact"/>
      <w:ind w:firstLine="480"/>
    </w:pPr>
    <w:rPr>
      <w:szCs w:val="21"/>
    </w:rPr>
  </w:style>
  <w:style w:type="paragraph" w:customStyle="1" w:styleId="1899">
    <w:name w:val="正文文字一"/>
    <w:basedOn w:val="1"/>
    <w:qFormat/>
    <w:uiPriority w:val="0"/>
    <w:pPr>
      <w:spacing w:line="520" w:lineRule="exact"/>
      <w:ind w:firstLine="567"/>
    </w:pPr>
    <w:rPr>
      <w:sz w:val="28"/>
    </w:rPr>
  </w:style>
  <w:style w:type="paragraph" w:customStyle="1" w:styleId="1900">
    <w:name w:val="样式 标题 1 + (中文) 黑体 四号 段前: 7.8 磅 段后: 7.8 磅 行距: 多倍行距 1.25 字行"/>
    <w:basedOn w:val="2"/>
    <w:autoRedefine/>
    <w:qFormat/>
    <w:uiPriority w:val="0"/>
    <w:pPr>
      <w:keepNext w:val="0"/>
      <w:keepLines w:val="0"/>
      <w:spacing w:beforeLines="0" w:afterLines="0" w:line="520" w:lineRule="exact"/>
    </w:pPr>
    <w:rPr>
      <w:rFonts w:eastAsia="黑体"/>
      <w:color w:val="000000"/>
      <w:sz w:val="28"/>
      <w:szCs w:val="28"/>
    </w:rPr>
  </w:style>
  <w:style w:type="paragraph" w:customStyle="1" w:styleId="1901">
    <w:name w:val="样式 正文首行缩进 + 首行缩进:  2 字符 Char Char"/>
    <w:basedOn w:val="379"/>
    <w:autoRedefine/>
    <w:qFormat/>
    <w:uiPriority w:val="0"/>
    <w:pPr>
      <w:adjustRightInd w:val="0"/>
      <w:snapToGrid w:val="0"/>
    </w:pPr>
  </w:style>
  <w:style w:type="paragraph" w:customStyle="1" w:styleId="1902">
    <w:name w:val="正文3 Char"/>
    <w:qFormat/>
    <w:uiPriority w:val="0"/>
    <w:pPr>
      <w:suppressAutoHyphens/>
      <w:overflowPunct w:val="0"/>
      <w:topLinePunct/>
      <w:spacing w:line="480" w:lineRule="exact"/>
      <w:ind w:firstLine="200" w:firstLineChars="200"/>
      <w:jc w:val="both"/>
    </w:pPr>
    <w:rPr>
      <w:rFonts w:ascii="宋体" w:hAnsi="宋体" w:eastAsia="宋体" w:cs="Times New Roman"/>
      <w:bCs/>
      <w:snapToGrid w:val="0"/>
      <w:kern w:val="2"/>
      <w:sz w:val="24"/>
      <w:szCs w:val="28"/>
      <w:lang w:val="zh-CN" w:eastAsia="zh-CN" w:bidi="ar-SA"/>
    </w:rPr>
  </w:style>
  <w:style w:type="paragraph" w:customStyle="1" w:styleId="1903">
    <w:name w:val="样式 标题 1 + 四号 段前: 0 磅 段后: 0 磅 行距: 固定值 23 磅"/>
    <w:basedOn w:val="2"/>
    <w:autoRedefine/>
    <w:qFormat/>
    <w:uiPriority w:val="0"/>
    <w:pPr>
      <w:spacing w:beforeLines="0" w:afterLines="0" w:line="460" w:lineRule="exact"/>
    </w:pPr>
    <w:rPr>
      <w:sz w:val="28"/>
      <w:szCs w:val="20"/>
    </w:rPr>
  </w:style>
  <w:style w:type="paragraph" w:customStyle="1" w:styleId="1904">
    <w:name w:val="样式 表 + 居中"/>
    <w:basedOn w:val="374"/>
    <w:autoRedefine/>
    <w:qFormat/>
    <w:uiPriority w:val="0"/>
    <w:pPr>
      <w:tabs>
        <w:tab w:val="left" w:pos="1358"/>
        <w:tab w:val="left" w:pos="1808"/>
        <w:tab w:val="left" w:pos="2258"/>
        <w:tab w:val="left" w:pos="2708"/>
        <w:tab w:val="left" w:pos="3158"/>
        <w:tab w:val="left" w:pos="3608"/>
        <w:tab w:val="left" w:pos="4058"/>
        <w:tab w:val="left" w:pos="4508"/>
        <w:tab w:val="left" w:pos="4958"/>
        <w:tab w:val="left" w:pos="5408"/>
        <w:tab w:val="left" w:pos="6018"/>
        <w:tab w:val="left" w:pos="7438"/>
        <w:tab w:val="left" w:pos="9487"/>
      </w:tabs>
      <w:adjustRightInd w:val="0"/>
    </w:pPr>
    <w:rPr>
      <w:color w:val="000000"/>
      <w:spacing w:val="0"/>
      <w:szCs w:val="21"/>
    </w:rPr>
  </w:style>
  <w:style w:type="paragraph" w:customStyle="1" w:styleId="1905">
    <w:name w:val="大标题"/>
    <w:basedOn w:val="3"/>
    <w:autoRedefine/>
    <w:qFormat/>
    <w:uiPriority w:val="0"/>
    <w:pPr>
      <w:keepNext w:val="0"/>
      <w:keepLines w:val="0"/>
      <w:adjustRightInd w:val="0"/>
      <w:snapToGrid w:val="0"/>
      <w:spacing w:beforeLines="0" w:afterLines="0" w:line="820" w:lineRule="exact"/>
      <w:jc w:val="center"/>
    </w:pPr>
    <w:rPr>
      <w:rFonts w:ascii="Arial" w:hAnsi="Arial" w:eastAsia="黑体"/>
      <w:b w:val="0"/>
      <w:bCs w:val="0"/>
      <w:snapToGrid w:val="0"/>
      <w:sz w:val="48"/>
      <w:szCs w:val="20"/>
    </w:rPr>
  </w:style>
  <w:style w:type="paragraph" w:customStyle="1" w:styleId="1906">
    <w:name w:val="样式 标题 2 + 首行缩进:  1.73 厘米"/>
    <w:basedOn w:val="3"/>
    <w:autoRedefine/>
    <w:qFormat/>
    <w:uiPriority w:val="0"/>
    <w:pPr>
      <w:keepNext w:val="0"/>
      <w:keepLines w:val="0"/>
      <w:adjustRightInd w:val="0"/>
      <w:snapToGrid w:val="0"/>
      <w:spacing w:beforeLines="0" w:afterLines="0" w:line="500" w:lineRule="exact"/>
    </w:pPr>
    <w:rPr>
      <w:rFonts w:ascii="Arial" w:hAnsi="Arial" w:eastAsia="黑体"/>
      <w:b w:val="0"/>
      <w:bCs w:val="0"/>
      <w:snapToGrid w:val="0"/>
      <w:sz w:val="28"/>
      <w:szCs w:val="20"/>
    </w:rPr>
  </w:style>
  <w:style w:type="paragraph" w:customStyle="1" w:styleId="1907">
    <w:name w:val="样式 首行缩进:  1.48 厘米"/>
    <w:basedOn w:val="1"/>
    <w:autoRedefine/>
    <w:qFormat/>
    <w:uiPriority w:val="0"/>
    <w:pPr>
      <w:adjustRightInd w:val="0"/>
      <w:snapToGrid w:val="0"/>
      <w:spacing w:line="500" w:lineRule="exact"/>
      <w:ind w:firstLine="567"/>
    </w:pPr>
    <w:rPr>
      <w:sz w:val="28"/>
      <w:szCs w:val="20"/>
    </w:rPr>
  </w:style>
  <w:style w:type="paragraph" w:customStyle="1" w:styleId="1908">
    <w:name w:val="样式 标题2 + 首行缩进:  0.99 厘米"/>
    <w:basedOn w:val="3"/>
    <w:autoRedefine/>
    <w:qFormat/>
    <w:uiPriority w:val="0"/>
    <w:pPr>
      <w:keepNext w:val="0"/>
      <w:keepLines w:val="0"/>
      <w:adjustRightInd w:val="0"/>
      <w:snapToGrid w:val="0"/>
      <w:spacing w:beforeLines="0" w:afterLines="0" w:line="500" w:lineRule="exact"/>
    </w:pPr>
    <w:rPr>
      <w:rFonts w:ascii="Arial" w:hAnsi="Arial" w:eastAsia="黑体"/>
      <w:b w:val="0"/>
      <w:bCs w:val="0"/>
      <w:snapToGrid w:val="0"/>
      <w:sz w:val="28"/>
      <w:szCs w:val="20"/>
    </w:rPr>
  </w:style>
  <w:style w:type="paragraph" w:customStyle="1" w:styleId="1909">
    <w:name w:val="样式 六号 居中 首行缩进:  0.53 厘米 行距: 固定值 12 磅"/>
    <w:basedOn w:val="1"/>
    <w:autoRedefine/>
    <w:qFormat/>
    <w:uiPriority w:val="0"/>
    <w:pPr>
      <w:adjustRightInd w:val="0"/>
      <w:snapToGrid w:val="0"/>
      <w:spacing w:line="240" w:lineRule="exact"/>
      <w:jc w:val="center"/>
    </w:pPr>
    <w:rPr>
      <w:sz w:val="15"/>
      <w:szCs w:val="20"/>
    </w:rPr>
  </w:style>
  <w:style w:type="paragraph" w:customStyle="1" w:styleId="1910">
    <w:name w:val="样式 样式 小四 行距: 固定值 15 磅 + 首行缩进:  0.85 厘米"/>
    <w:basedOn w:val="1"/>
    <w:autoRedefine/>
    <w:qFormat/>
    <w:uiPriority w:val="0"/>
    <w:pPr>
      <w:adjustRightInd w:val="0"/>
      <w:snapToGrid w:val="0"/>
      <w:spacing w:line="400" w:lineRule="exact"/>
      <w:jc w:val="center"/>
    </w:pPr>
    <w:rPr>
      <w:szCs w:val="20"/>
    </w:rPr>
  </w:style>
  <w:style w:type="paragraph" w:customStyle="1" w:styleId="1911">
    <w:name w:val="样式 样式 标题2 + 首行缩进:  0.99 厘米 + 首行缩进:  0.99 厘米"/>
    <w:basedOn w:val="1908"/>
    <w:autoRedefine/>
    <w:qFormat/>
    <w:uiPriority w:val="0"/>
  </w:style>
  <w:style w:type="paragraph" w:customStyle="1" w:styleId="1912">
    <w:name w:val="样式 标题 1 + 左 行距: 固定值 25 磅"/>
    <w:basedOn w:val="2"/>
    <w:autoRedefine/>
    <w:qFormat/>
    <w:uiPriority w:val="0"/>
    <w:pPr>
      <w:spacing w:beforeLines="0" w:afterLines="0" w:line="500" w:lineRule="exact"/>
    </w:pPr>
    <w:rPr>
      <w:rFonts w:ascii="Arial" w:hAnsi="Arial" w:eastAsia="黑体"/>
      <w:snapToGrid w:val="0"/>
      <w:kern w:val="0"/>
      <w:sz w:val="28"/>
      <w:szCs w:val="20"/>
    </w:rPr>
  </w:style>
  <w:style w:type="character" w:customStyle="1" w:styleId="1913">
    <w:name w:val="p10-51"/>
    <w:qFormat/>
    <w:uiPriority w:val="0"/>
    <w:rPr>
      <w:rFonts w:hint="eastAsia" w:ascii="宋体" w:hAnsi="宋体" w:eastAsia="宋体"/>
      <w:sz w:val="21"/>
      <w:szCs w:val="21"/>
    </w:rPr>
  </w:style>
  <w:style w:type="paragraph" w:customStyle="1" w:styleId="1914">
    <w:name w:val="样式 正文文字 + 宋体 五号"/>
    <w:basedOn w:val="6"/>
    <w:autoRedefine/>
    <w:qFormat/>
    <w:uiPriority w:val="0"/>
    <w:pPr>
      <w:widowControl w:val="0"/>
      <w:spacing w:after="0" w:line="360" w:lineRule="auto"/>
      <w:jc w:val="both"/>
    </w:pPr>
    <w:rPr>
      <w:kern w:val="2"/>
      <w:sz w:val="21"/>
    </w:rPr>
  </w:style>
  <w:style w:type="paragraph" w:customStyle="1" w:styleId="1915">
    <w:name w:val="样式 宋体 小四 行距: 固定值 23 磅 首行缩进:  2 字符"/>
    <w:basedOn w:val="1"/>
    <w:qFormat/>
    <w:uiPriority w:val="0"/>
    <w:pPr>
      <w:spacing w:line="460" w:lineRule="exact"/>
      <w:ind w:firstLine="480" w:firstLineChars="200"/>
    </w:pPr>
    <w:rPr>
      <w:szCs w:val="20"/>
    </w:rPr>
  </w:style>
  <w:style w:type="paragraph" w:customStyle="1" w:styleId="1916">
    <w:name w:val="样式 目录 2 + 首行缩进:  2 字符"/>
    <w:basedOn w:val="73"/>
    <w:qFormat/>
    <w:uiPriority w:val="0"/>
    <w:pPr>
      <w:tabs>
        <w:tab w:val="right" w:leader="dot" w:pos="8280"/>
      </w:tabs>
      <w:spacing w:line="360" w:lineRule="auto"/>
      <w:ind w:left="0" w:firstLine="480" w:firstLineChars="200"/>
    </w:pPr>
    <w:rPr>
      <w:rFonts w:ascii="黑体" w:eastAsia="黑体" w:cs="宋体"/>
      <w:sz w:val="24"/>
    </w:rPr>
  </w:style>
  <w:style w:type="paragraph" w:customStyle="1" w:styleId="1917">
    <w:name w:val="样式 宋体 小四 行距: 固定值 23 磅"/>
    <w:basedOn w:val="1"/>
    <w:qFormat/>
    <w:uiPriority w:val="0"/>
    <w:pPr>
      <w:spacing w:line="460" w:lineRule="exact"/>
      <w:ind w:firstLine="480" w:firstLineChars="200"/>
    </w:pPr>
    <w:rPr>
      <w:szCs w:val="20"/>
    </w:rPr>
  </w:style>
  <w:style w:type="character" w:customStyle="1" w:styleId="1918">
    <w:name w:val="表名，单位 Char"/>
    <w:link w:val="1919"/>
    <w:qFormat/>
    <w:uiPriority w:val="0"/>
    <w:rPr>
      <w:rFonts w:ascii="宋体" w:hAnsi="宋体"/>
      <w:b/>
      <w:bCs/>
      <w:spacing w:val="-4"/>
      <w:kern w:val="2"/>
      <w:sz w:val="21"/>
      <w:szCs w:val="24"/>
    </w:rPr>
  </w:style>
  <w:style w:type="paragraph" w:customStyle="1" w:styleId="1919">
    <w:name w:val="表名，单位"/>
    <w:basedOn w:val="201"/>
    <w:link w:val="1918"/>
    <w:autoRedefine/>
    <w:qFormat/>
    <w:uiPriority w:val="0"/>
    <w:pPr>
      <w:spacing w:beforeLines="0" w:line="300" w:lineRule="exact"/>
      <w:ind w:firstLine="206" w:firstLineChars="100"/>
      <w:jc w:val="left"/>
    </w:pPr>
    <w:rPr>
      <w:b/>
      <w:bCs/>
      <w:spacing w:val="-4"/>
      <w:sz w:val="21"/>
      <w:szCs w:val="24"/>
    </w:rPr>
  </w:style>
  <w:style w:type="character" w:customStyle="1" w:styleId="1920">
    <w:name w:val="正文2 Char Char"/>
    <w:qFormat/>
    <w:uiPriority w:val="0"/>
    <w:rPr>
      <w:rFonts w:eastAsia="宋体"/>
      <w:kern w:val="2"/>
      <w:sz w:val="21"/>
      <w:lang w:val="en-US" w:eastAsia="zh-CN" w:bidi="ar-SA"/>
    </w:rPr>
  </w:style>
  <w:style w:type="paragraph" w:customStyle="1" w:styleId="1921">
    <w:name w:val="Char Char Char Char Char Char Char Char Char Char Char Char Char Char Char Char Char Char Char Char Char Char Char Char2 Char"/>
    <w:basedOn w:val="1"/>
    <w:autoRedefine/>
    <w:qFormat/>
    <w:uiPriority w:val="0"/>
    <w:pPr>
      <w:spacing w:after="160" w:line="240" w:lineRule="exact"/>
      <w:jc w:val="center"/>
    </w:pPr>
    <w:rPr>
      <w:rFonts w:ascii="黑体" w:hAnsi="Verdana" w:eastAsia="黑体"/>
      <w:sz w:val="32"/>
      <w:szCs w:val="32"/>
      <w:lang w:eastAsia="en-US"/>
    </w:rPr>
  </w:style>
  <w:style w:type="character" w:customStyle="1" w:styleId="1922">
    <w:name w:val="表号 Char2"/>
    <w:qFormat/>
    <w:uiPriority w:val="0"/>
    <w:rPr>
      <w:rFonts w:eastAsia="宋体"/>
      <w:snapToGrid w:val="0"/>
      <w:color w:val="000000"/>
      <w:sz w:val="24"/>
      <w:szCs w:val="24"/>
      <w:lang w:val="en-US" w:eastAsia="zh-CN" w:bidi="ar-SA"/>
    </w:rPr>
  </w:style>
  <w:style w:type="paragraph" w:customStyle="1" w:styleId="1923">
    <w:name w:val="批注框文本 Char Char"/>
    <w:basedOn w:val="1"/>
    <w:qFormat/>
    <w:uiPriority w:val="0"/>
    <w:rPr>
      <w:sz w:val="18"/>
      <w:szCs w:val="20"/>
    </w:rPr>
  </w:style>
  <w:style w:type="paragraph" w:customStyle="1" w:styleId="1924">
    <w:name w:val="纯文本 + (符号) 宋体"/>
    <w:basedOn w:val="31"/>
    <w:qFormat/>
    <w:uiPriority w:val="0"/>
    <w:pPr>
      <w:spacing w:line="360" w:lineRule="auto"/>
      <w:ind w:firstLine="524" w:firstLineChars="187"/>
    </w:pPr>
    <w:rPr>
      <w:rFonts w:hAnsi="宋体" w:cs="Times New Roman"/>
      <w:sz w:val="28"/>
      <w:szCs w:val="28"/>
    </w:rPr>
  </w:style>
  <w:style w:type="paragraph" w:customStyle="1" w:styleId="1925">
    <w:name w:val="2 Char Char Char Char Char Char Char Char Char Char Char Char1 Char Char Char Char"/>
    <w:basedOn w:val="1"/>
    <w:qFormat/>
    <w:uiPriority w:val="0"/>
    <w:pPr>
      <w:spacing w:line="360" w:lineRule="auto"/>
      <w:ind w:firstLine="200" w:firstLineChars="200"/>
    </w:pPr>
  </w:style>
  <w:style w:type="paragraph" w:customStyle="1" w:styleId="1926">
    <w:name w:val="标题3+"/>
    <w:basedOn w:val="1"/>
    <w:next w:val="4"/>
    <w:qFormat/>
    <w:uiPriority w:val="0"/>
    <w:pPr>
      <w:adjustRightInd w:val="0"/>
      <w:snapToGrid w:val="0"/>
      <w:spacing w:line="360" w:lineRule="auto"/>
    </w:pPr>
    <w:rPr>
      <w:sz w:val="28"/>
      <w:szCs w:val="28"/>
    </w:rPr>
  </w:style>
  <w:style w:type="paragraph" w:customStyle="1" w:styleId="1927">
    <w:name w:val="样式 样式 标题 3条标题1.1.13h33rd levelH3l3CT + Times New Roman + 段前: 0.5..."/>
    <w:basedOn w:val="1"/>
    <w:qFormat/>
    <w:uiPriority w:val="0"/>
    <w:pPr>
      <w:keepNext/>
      <w:keepLines/>
      <w:tabs>
        <w:tab w:val="left" w:pos="806"/>
      </w:tabs>
      <w:adjustRightInd w:val="0"/>
      <w:spacing w:beforeLines="100" w:afterLines="100"/>
      <w:ind w:left="806"/>
      <w:textAlignment w:val="baseline"/>
      <w:outlineLvl w:val="2"/>
    </w:pPr>
    <w:rPr>
      <w:b/>
      <w:bCs/>
      <w:sz w:val="28"/>
      <w:szCs w:val="20"/>
    </w:rPr>
  </w:style>
  <w:style w:type="paragraph" w:customStyle="1" w:styleId="1928">
    <w:name w:val="样式 小四 加粗 段前: 0 磅 段后: 0 磅 行距: 固定值 21 磅"/>
    <w:basedOn w:val="1"/>
    <w:autoRedefine/>
    <w:qFormat/>
    <w:uiPriority w:val="0"/>
    <w:pPr>
      <w:adjustRightInd w:val="0"/>
      <w:spacing w:afterLines="50" w:line="360" w:lineRule="auto"/>
      <w:ind w:firstLine="560" w:firstLineChars="200"/>
      <w:textAlignment w:val="baseline"/>
    </w:pPr>
    <w:rPr>
      <w:bCs/>
      <w:sz w:val="28"/>
      <w:szCs w:val="20"/>
    </w:rPr>
  </w:style>
  <w:style w:type="paragraph" w:customStyle="1" w:styleId="1929">
    <w:name w:val="图形"/>
    <w:basedOn w:val="1"/>
    <w:qFormat/>
    <w:uiPriority w:val="0"/>
    <w:pPr>
      <w:adjustRightInd w:val="0"/>
      <w:spacing w:line="240" w:lineRule="atLeast"/>
      <w:jc w:val="center"/>
      <w:textAlignment w:val="baseline"/>
    </w:pPr>
    <w:rPr>
      <w:sz w:val="28"/>
      <w:szCs w:val="20"/>
    </w:rPr>
  </w:style>
  <w:style w:type="character" w:customStyle="1" w:styleId="1930">
    <w:name w:val="hei18-b"/>
    <w:basedOn w:val="132"/>
    <w:qFormat/>
    <w:uiPriority w:val="0"/>
  </w:style>
  <w:style w:type="character" w:customStyle="1" w:styleId="1931">
    <w:name w:val="content11"/>
    <w:qFormat/>
    <w:uiPriority w:val="0"/>
    <w:rPr>
      <w:rFonts w:hint="default" w:ascii="ˎ̥" w:hAnsi="ˎ̥"/>
      <w:color w:val="000000"/>
      <w:sz w:val="18"/>
      <w:szCs w:val="18"/>
    </w:rPr>
  </w:style>
  <w:style w:type="paragraph" w:customStyle="1" w:styleId="1932">
    <w:name w:val="样式 标题 2节标题 1.1h2l22nd levelTitre22Header 2H2 + Times New..."/>
    <w:basedOn w:val="3"/>
    <w:autoRedefine/>
    <w:qFormat/>
    <w:uiPriority w:val="0"/>
    <w:pPr>
      <w:tabs>
        <w:tab w:val="left" w:pos="240"/>
        <w:tab w:val="left" w:pos="600"/>
        <w:tab w:val="left" w:pos="3960"/>
        <w:tab w:val="left" w:pos="5400"/>
        <w:tab w:val="left" w:pos="6840"/>
      </w:tabs>
      <w:adjustRightInd w:val="0"/>
      <w:spacing w:line="240" w:lineRule="auto"/>
      <w:textAlignment w:val="baseline"/>
    </w:pPr>
    <w:rPr>
      <w:sz w:val="28"/>
      <w:szCs w:val="28"/>
    </w:rPr>
  </w:style>
  <w:style w:type="paragraph" w:customStyle="1" w:styleId="1933">
    <w:name w:val="正文文本缩进2"/>
    <w:basedOn w:val="1"/>
    <w:qFormat/>
    <w:uiPriority w:val="0"/>
    <w:pPr>
      <w:ind w:left="720" w:firstLine="480"/>
      <w:outlineLvl w:val="0"/>
    </w:pPr>
    <w:rPr>
      <w:rFonts w:ascii="仿宋_GB2312" w:eastAsia="仿宋_GB2312" w:cs="仿宋_GB2312"/>
      <w:sz w:val="28"/>
      <w:szCs w:val="28"/>
    </w:rPr>
  </w:style>
  <w:style w:type="paragraph" w:customStyle="1" w:styleId="1934">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935">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1936">
    <w:name w:val="xl99"/>
    <w:basedOn w:val="1"/>
    <w:qFormat/>
    <w:uiPriority w:val="0"/>
    <w:pPr>
      <w:pBdr>
        <w:top w:val="single" w:color="auto" w:sz="4" w:space="0"/>
        <w:left w:val="single" w:color="auto" w:sz="4" w:space="0"/>
        <w:bottom w:val="single" w:color="auto" w:sz="4" w:space="0"/>
        <w:right w:val="single" w:color="auto" w:sz="4" w:space="0"/>
      </w:pBdr>
      <w:shd w:val="clear" w:color="auto" w:fill="FF00FF"/>
      <w:spacing w:before="100" w:beforeAutospacing="1" w:after="100" w:afterAutospacing="1"/>
      <w:jc w:val="center"/>
    </w:pPr>
  </w:style>
  <w:style w:type="paragraph" w:customStyle="1" w:styleId="1937">
    <w:name w:val="左侧"/>
    <w:autoRedefine/>
    <w:qFormat/>
    <w:uiPriority w:val="0"/>
    <w:pPr>
      <w:spacing w:line="280" w:lineRule="exact"/>
    </w:pPr>
    <w:rPr>
      <w:rFonts w:ascii="宋体" w:hAnsi="宋体" w:eastAsia="宋体" w:cs="Times New Roman"/>
      <w:color w:val="000000"/>
      <w:sz w:val="18"/>
      <w:szCs w:val="18"/>
      <w:lang w:val="en-US" w:eastAsia="zh-CN" w:bidi="ar-SA"/>
    </w:rPr>
  </w:style>
  <w:style w:type="paragraph" w:customStyle="1" w:styleId="1938">
    <w:name w:val="正文文字首航缩2字"/>
    <w:basedOn w:val="1"/>
    <w:qFormat/>
    <w:uiPriority w:val="0"/>
    <w:pPr>
      <w:spacing w:line="360" w:lineRule="auto"/>
      <w:ind w:firstLine="200" w:firstLineChars="200"/>
    </w:pPr>
  </w:style>
  <w:style w:type="paragraph" w:customStyle="1" w:styleId="1939">
    <w:name w:val="注释标题1"/>
    <w:basedOn w:val="8"/>
    <w:next w:val="8"/>
    <w:qFormat/>
    <w:uiPriority w:val="0"/>
    <w:pPr>
      <w:tabs>
        <w:tab w:val="left" w:pos="720"/>
      </w:tabs>
      <w:snapToGrid w:val="0"/>
      <w:spacing w:before="120" w:line="360" w:lineRule="auto"/>
      <w:ind w:left="720" w:hanging="720" w:firstLineChars="0"/>
    </w:pPr>
  </w:style>
  <w:style w:type="paragraph" w:customStyle="1" w:styleId="1940">
    <w:name w:val="右侧"/>
    <w:autoRedefine/>
    <w:qFormat/>
    <w:uiPriority w:val="0"/>
    <w:pPr>
      <w:spacing w:line="280" w:lineRule="exact"/>
      <w:jc w:val="right"/>
    </w:pPr>
    <w:rPr>
      <w:rFonts w:ascii="宋体" w:hAnsi="宋体" w:eastAsia="宋体" w:cs="Times New Roman"/>
      <w:color w:val="000000"/>
      <w:sz w:val="18"/>
      <w:szCs w:val="18"/>
      <w:lang w:val="en-US" w:eastAsia="zh-CN" w:bidi="ar-SA"/>
    </w:rPr>
  </w:style>
  <w:style w:type="paragraph" w:customStyle="1" w:styleId="1941">
    <w:name w:val="行左"/>
    <w:basedOn w:val="1"/>
    <w:autoRedefine/>
    <w:qFormat/>
    <w:uiPriority w:val="0"/>
    <w:pPr>
      <w:spacing w:line="360" w:lineRule="auto"/>
      <w:ind w:firstLine="480" w:firstLineChars="200"/>
    </w:pPr>
    <w:rPr>
      <w:rFonts w:ascii="仿宋_GB2312" w:eastAsia="仿宋_GB2312"/>
      <w:color w:val="000000"/>
      <w:position w:val="-32"/>
    </w:rPr>
  </w:style>
  <w:style w:type="paragraph" w:customStyle="1" w:styleId="1942">
    <w:name w:val="右5"/>
    <w:basedOn w:val="1"/>
    <w:qFormat/>
    <w:uiPriority w:val="0"/>
    <w:pPr>
      <w:adjustRightInd w:val="0"/>
      <w:snapToGrid w:val="0"/>
      <w:spacing w:line="360" w:lineRule="auto"/>
      <w:ind w:left="42"/>
      <w:jc w:val="right"/>
    </w:pPr>
    <w:rPr>
      <w:color w:val="000080"/>
      <w:kern w:val="28"/>
      <w:sz w:val="18"/>
      <w:szCs w:val="18"/>
    </w:rPr>
  </w:style>
  <w:style w:type="paragraph" w:customStyle="1" w:styleId="1943">
    <w:name w:val="左五"/>
    <w:basedOn w:val="1"/>
    <w:autoRedefine/>
    <w:qFormat/>
    <w:uiPriority w:val="0"/>
    <w:pPr>
      <w:adjustRightInd w:val="0"/>
      <w:snapToGrid w:val="0"/>
      <w:spacing w:line="280" w:lineRule="atLeast"/>
      <w:ind w:left="42" w:firstLine="441"/>
    </w:pPr>
    <w:rPr>
      <w:rFonts w:hint="eastAsia" w:hAnsi="Symusic"/>
      <w:color w:val="000000"/>
      <w:sz w:val="18"/>
    </w:rPr>
  </w:style>
  <w:style w:type="paragraph" w:customStyle="1" w:styleId="1944">
    <w:name w:val="右五"/>
    <w:basedOn w:val="1"/>
    <w:next w:val="1"/>
    <w:autoRedefine/>
    <w:qFormat/>
    <w:uiPriority w:val="0"/>
    <w:pPr>
      <w:spacing w:line="280" w:lineRule="exact"/>
      <w:ind w:left="42" w:right="139" w:rightChars="58"/>
      <w:jc w:val="right"/>
    </w:pPr>
    <w:rPr>
      <w:rFonts w:hAnsi="Symusic"/>
      <w:color w:val="000000"/>
      <w:sz w:val="18"/>
      <w:szCs w:val="20"/>
      <w:lang w:bidi="he-IL"/>
    </w:rPr>
  </w:style>
  <w:style w:type="paragraph" w:customStyle="1" w:styleId="1945">
    <w:name w:val="表后空行"/>
    <w:basedOn w:val="1"/>
    <w:qFormat/>
    <w:uiPriority w:val="0"/>
    <w:pPr>
      <w:overflowPunct w:val="0"/>
      <w:adjustRightInd w:val="0"/>
      <w:textAlignment w:val="baseline"/>
    </w:pPr>
    <w:rPr>
      <w:kern w:val="28"/>
      <w:sz w:val="10"/>
      <w:szCs w:val="20"/>
    </w:rPr>
  </w:style>
  <w:style w:type="character" w:customStyle="1" w:styleId="1946">
    <w:name w:val="nfont6"/>
    <w:qFormat/>
    <w:uiPriority w:val="0"/>
    <w:rPr>
      <w:rFonts w:hint="default"/>
      <w:color w:val="FF0000"/>
      <w:spacing w:val="335"/>
      <w:sz w:val="27"/>
      <w:szCs w:val="27"/>
    </w:rPr>
  </w:style>
  <w:style w:type="paragraph" w:customStyle="1" w:styleId="1947">
    <w:name w:val="标题样式3"/>
    <w:basedOn w:val="4"/>
    <w:autoRedefine/>
    <w:qFormat/>
    <w:uiPriority w:val="0"/>
    <w:pPr>
      <w:keepNext w:val="0"/>
      <w:keepLines w:val="0"/>
      <w:spacing w:beforeLines="0" w:afterLines="0" w:line="400" w:lineRule="atLeast"/>
      <w:ind w:firstLine="510"/>
    </w:pPr>
    <w:rPr>
      <w:rFonts w:eastAsia="黑体"/>
      <w:b w:val="0"/>
      <w:bCs w:val="0"/>
      <w:snapToGrid w:val="0"/>
      <w:sz w:val="24"/>
      <w:szCs w:val="20"/>
    </w:rPr>
  </w:style>
  <w:style w:type="character" w:customStyle="1" w:styleId="1948">
    <w:name w:val="unnamed21"/>
    <w:qFormat/>
    <w:uiPriority w:val="0"/>
    <w:rPr>
      <w:color w:val="330000"/>
      <w:sz w:val="21"/>
      <w:szCs w:val="21"/>
      <w:u w:val="none"/>
    </w:rPr>
  </w:style>
  <w:style w:type="character" w:customStyle="1" w:styleId="1949">
    <w:name w:val="line31"/>
    <w:qFormat/>
    <w:uiPriority w:val="0"/>
    <w:rPr>
      <w:color w:val="993333"/>
      <w:spacing w:val="360"/>
    </w:rPr>
  </w:style>
  <w:style w:type="character" w:customStyle="1" w:styleId="1950">
    <w:name w:val="line41"/>
    <w:qFormat/>
    <w:uiPriority w:val="0"/>
    <w:rPr>
      <w:spacing w:val="300"/>
    </w:rPr>
  </w:style>
  <w:style w:type="paragraph" w:customStyle="1" w:styleId="1951">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952">
    <w:name w:val="注："/>
    <w:next w:val="5"/>
    <w:qFormat/>
    <w:uiPriority w:val="0"/>
    <w:pPr>
      <w:widowControl w:val="0"/>
      <w:tabs>
        <w:tab w:val="left" w:pos="995"/>
      </w:tabs>
      <w:autoSpaceDE w:val="0"/>
      <w:autoSpaceDN w:val="0"/>
      <w:ind w:left="995" w:hanging="435"/>
      <w:jc w:val="both"/>
    </w:pPr>
    <w:rPr>
      <w:rFonts w:ascii="宋体" w:hAnsi="Times New Roman" w:eastAsia="宋体" w:cs="Times New Roman"/>
      <w:sz w:val="18"/>
      <w:lang w:val="en-US" w:eastAsia="zh-CN" w:bidi="ar-SA"/>
    </w:rPr>
  </w:style>
  <w:style w:type="paragraph" w:customStyle="1" w:styleId="1953">
    <w:name w:val="正文（首行缩进）"/>
    <w:basedOn w:val="1"/>
    <w:autoRedefine/>
    <w:qFormat/>
    <w:uiPriority w:val="0"/>
    <w:pPr>
      <w:spacing w:line="360" w:lineRule="auto"/>
      <w:ind w:firstLine="480" w:firstLineChars="200"/>
    </w:pPr>
    <w:rPr>
      <w:color w:val="000000"/>
      <w:szCs w:val="20"/>
    </w:rPr>
  </w:style>
  <w:style w:type="paragraph" w:customStyle="1" w:styleId="1954">
    <w:name w:val="标题 2 + 首行缩进： 0磅"/>
    <w:basedOn w:val="1955"/>
    <w:qFormat/>
    <w:uiPriority w:val="0"/>
    <w:pPr>
      <w:tabs>
        <w:tab w:val="left" w:pos="8140"/>
      </w:tabs>
    </w:pPr>
  </w:style>
  <w:style w:type="paragraph" w:customStyle="1" w:styleId="1955">
    <w:name w:val="标题 2 + 行距: 标题2+首行缩进 0倍"/>
    <w:basedOn w:val="3"/>
    <w:qFormat/>
    <w:uiPriority w:val="0"/>
    <w:pPr>
      <w:tabs>
        <w:tab w:val="left" w:pos="8140"/>
      </w:tabs>
      <w:spacing w:beforeLines="0" w:afterLines="0"/>
    </w:pPr>
    <w:rPr>
      <w:rFonts w:ascii="黑体" w:eastAsia="黑体"/>
      <w:b w:val="0"/>
      <w:bCs w:val="0"/>
      <w:sz w:val="30"/>
      <w:szCs w:val="20"/>
    </w:rPr>
  </w:style>
  <w:style w:type="paragraph" w:customStyle="1" w:styleId="1956">
    <w:name w:val="样式 样式 标题 2 + 首行缩进： 0磅 + + 段前: 0.1 行 段后: 0.1 行"/>
    <w:basedOn w:val="1"/>
    <w:autoRedefine/>
    <w:qFormat/>
    <w:uiPriority w:val="0"/>
    <w:pPr>
      <w:keepNext/>
      <w:keepLines/>
      <w:tabs>
        <w:tab w:val="left" w:pos="8140"/>
      </w:tabs>
      <w:spacing w:beforeLines="10" w:afterLines="10" w:line="560" w:lineRule="exact"/>
      <w:outlineLvl w:val="1"/>
    </w:pPr>
    <w:rPr>
      <w:rFonts w:eastAsia="黑体"/>
      <w:sz w:val="30"/>
      <w:szCs w:val="20"/>
    </w:rPr>
  </w:style>
  <w:style w:type="paragraph" w:customStyle="1" w:styleId="1957">
    <w:name w:val="11111"/>
    <w:basedOn w:val="69"/>
    <w:qFormat/>
    <w:uiPriority w:val="0"/>
    <w:pPr>
      <w:widowControl w:val="0"/>
      <w:spacing w:line="500" w:lineRule="exact"/>
      <w:ind w:firstLine="200" w:firstLineChars="200"/>
      <w:jc w:val="both"/>
    </w:pPr>
    <w:rPr>
      <w:kern w:val="2"/>
      <w:sz w:val="24"/>
    </w:rPr>
  </w:style>
  <w:style w:type="paragraph" w:customStyle="1" w:styleId="1958">
    <w:name w:val="82"/>
    <w:basedOn w:val="1"/>
    <w:qFormat/>
    <w:uiPriority w:val="0"/>
    <w:pPr>
      <w:spacing w:line="360" w:lineRule="auto"/>
      <w:ind w:firstLine="400" w:firstLineChars="400"/>
    </w:pPr>
    <w:rPr>
      <w:color w:val="000000"/>
      <w:szCs w:val="20"/>
    </w:rPr>
  </w:style>
  <w:style w:type="paragraph" w:customStyle="1" w:styleId="1959">
    <w:name w:val="Char Char Char1 Char2"/>
    <w:basedOn w:val="1"/>
    <w:qFormat/>
    <w:uiPriority w:val="0"/>
  </w:style>
  <w:style w:type="paragraph" w:customStyle="1" w:styleId="1960">
    <w:name w:val="Char Char Char1 Char3"/>
    <w:basedOn w:val="1"/>
    <w:qFormat/>
    <w:uiPriority w:val="0"/>
  </w:style>
  <w:style w:type="paragraph" w:customStyle="1" w:styleId="1961">
    <w:name w:val="LT"/>
    <w:basedOn w:val="1"/>
    <w:qFormat/>
    <w:uiPriority w:val="0"/>
    <w:rPr>
      <w:snapToGrid w:val="0"/>
    </w:rPr>
  </w:style>
  <w:style w:type="paragraph" w:customStyle="1" w:styleId="1962">
    <w:name w:val="2 Char Char Char Char Char Char Char Char Char Char Char Char1 Char Char Char1 Char"/>
    <w:basedOn w:val="1"/>
    <w:qFormat/>
    <w:uiPriority w:val="0"/>
    <w:pPr>
      <w:spacing w:line="360" w:lineRule="auto"/>
      <w:ind w:firstLine="200" w:firstLineChars="200"/>
    </w:pPr>
  </w:style>
  <w:style w:type="character" w:customStyle="1" w:styleId="1963">
    <w:name w:val="表、图名 Char"/>
    <w:link w:val="785"/>
    <w:qFormat/>
    <w:uiPriority w:val="0"/>
    <w:rPr>
      <w:rFonts w:ascii="宋体" w:hAnsi="宋体"/>
      <w:b/>
      <w:color w:val="000000"/>
      <w:sz w:val="24"/>
      <w:szCs w:val="24"/>
    </w:rPr>
  </w:style>
  <w:style w:type="character" w:customStyle="1" w:styleId="1964">
    <w:name w:val="报告书正文 Char"/>
    <w:link w:val="1800"/>
    <w:qFormat/>
    <w:uiPriority w:val="0"/>
    <w:rPr>
      <w:rFonts w:ascii="宋体" w:hAnsi="宋体"/>
      <w:color w:val="000000"/>
      <w:kern w:val="2"/>
      <w:sz w:val="28"/>
      <w:szCs w:val="24"/>
    </w:rPr>
  </w:style>
  <w:style w:type="paragraph" w:customStyle="1" w:styleId="1965">
    <w:name w:val="表头1"/>
    <w:basedOn w:val="1"/>
    <w:next w:val="1"/>
    <w:link w:val="1966"/>
    <w:semiHidden/>
    <w:qFormat/>
    <w:uiPriority w:val="0"/>
    <w:pPr>
      <w:tabs>
        <w:tab w:val="left" w:pos="605"/>
      </w:tabs>
      <w:adjustRightInd w:val="0"/>
      <w:snapToGrid w:val="0"/>
      <w:jc w:val="center"/>
    </w:pPr>
    <w:rPr>
      <w:rFonts w:eastAsia="黑体"/>
      <w:szCs w:val="21"/>
    </w:rPr>
  </w:style>
  <w:style w:type="character" w:customStyle="1" w:styleId="1966">
    <w:name w:val="表头1 Char"/>
    <w:link w:val="1965"/>
    <w:semiHidden/>
    <w:qFormat/>
    <w:uiPriority w:val="0"/>
    <w:rPr>
      <w:rFonts w:eastAsia="黑体"/>
      <w:sz w:val="21"/>
      <w:szCs w:val="21"/>
    </w:rPr>
  </w:style>
  <w:style w:type="paragraph" w:customStyle="1" w:styleId="1967">
    <w:name w:val="Char Char Char Char Char Char Char Char1"/>
    <w:basedOn w:val="1"/>
    <w:qFormat/>
    <w:uiPriority w:val="0"/>
  </w:style>
  <w:style w:type="paragraph" w:customStyle="1" w:styleId="1968">
    <w:name w:val="post_content_p"/>
    <w:basedOn w:val="1"/>
    <w:qFormat/>
    <w:uiPriority w:val="0"/>
    <w:pPr>
      <w:wordWrap w:val="0"/>
    </w:pPr>
  </w:style>
  <w:style w:type="character" w:customStyle="1" w:styleId="1969">
    <w:name w:val="目标题 1) Char1"/>
    <w:qFormat/>
    <w:uiPriority w:val="0"/>
    <w:rPr>
      <w:rFonts w:ascii="Arial" w:hAnsi="Arial" w:eastAsia="黑体"/>
      <w:sz w:val="28"/>
      <w:lang w:val="en-US" w:eastAsia="zh-CN" w:bidi="ar-SA"/>
    </w:rPr>
  </w:style>
  <w:style w:type="character" w:customStyle="1" w:styleId="1970">
    <w:name w:val="干标题(a) Char1"/>
    <w:qFormat/>
    <w:uiPriority w:val="0"/>
    <w:rPr>
      <w:rFonts w:ascii="Arial" w:hAnsi="Arial" w:eastAsia="黑体"/>
      <w:sz w:val="21"/>
      <w:lang w:val="en-US" w:eastAsia="zh-CN" w:bidi="ar-SA"/>
    </w:rPr>
  </w:style>
  <w:style w:type="paragraph" w:customStyle="1" w:styleId="1971">
    <w:name w:val="Char1 Char Char Char1"/>
    <w:basedOn w:val="1"/>
    <w:qFormat/>
    <w:uiPriority w:val="0"/>
    <w:pPr>
      <w:spacing w:line="360" w:lineRule="auto"/>
    </w:pPr>
    <w:rPr>
      <w:rFonts w:ascii="Tahoma" w:hAnsi="Tahoma"/>
      <w:szCs w:val="20"/>
    </w:rPr>
  </w:style>
  <w:style w:type="paragraph" w:customStyle="1" w:styleId="1972">
    <w:name w:val="Bullet1"/>
    <w:basedOn w:val="1"/>
    <w:qFormat/>
    <w:uiPriority w:val="0"/>
    <w:pPr>
      <w:tabs>
        <w:tab w:val="left" w:pos="284"/>
      </w:tabs>
      <w:overflowPunct w:val="0"/>
      <w:autoSpaceDE w:val="0"/>
      <w:autoSpaceDN w:val="0"/>
      <w:adjustRightInd w:val="0"/>
      <w:spacing w:line="240" w:lineRule="atLeast"/>
      <w:ind w:left="284" w:hanging="284"/>
      <w:textAlignment w:val="baseline"/>
    </w:pPr>
    <w:rPr>
      <w:rFonts w:ascii="‚l‚r –¾’©" w:eastAsia="‚l‚r –¾’©"/>
      <w:sz w:val="22"/>
      <w:szCs w:val="20"/>
    </w:rPr>
  </w:style>
  <w:style w:type="paragraph" w:customStyle="1" w:styleId="1973">
    <w:name w:val="TableHead"/>
    <w:basedOn w:val="1"/>
    <w:qFormat/>
    <w:uiPriority w:val="0"/>
    <w:pPr>
      <w:overflowPunct w:val="0"/>
      <w:autoSpaceDE w:val="0"/>
      <w:autoSpaceDN w:val="0"/>
      <w:adjustRightInd w:val="0"/>
      <w:spacing w:before="120" w:after="120" w:line="240" w:lineRule="atLeast"/>
      <w:jc w:val="center"/>
      <w:textAlignment w:val="baseline"/>
    </w:pPr>
    <w:rPr>
      <w:rFonts w:ascii="‚l‚r –¾’©" w:eastAsia="‚l‚r –¾’©"/>
      <w:b/>
      <w:sz w:val="22"/>
      <w:szCs w:val="20"/>
    </w:rPr>
  </w:style>
  <w:style w:type="character" w:customStyle="1" w:styleId="1974">
    <w:name w:val="text_1217191"/>
    <w:qFormat/>
    <w:uiPriority w:val="0"/>
    <w:rPr>
      <w:color w:val="121719"/>
      <w:spacing w:val="272"/>
    </w:rPr>
  </w:style>
  <w:style w:type="paragraph" w:customStyle="1" w:styleId="1975">
    <w:name w:val="报告条标题"/>
    <w:basedOn w:val="1"/>
    <w:next w:val="797"/>
    <w:qFormat/>
    <w:uiPriority w:val="0"/>
    <w:pPr>
      <w:spacing w:before="120" w:after="120" w:line="400" w:lineRule="exact"/>
    </w:pPr>
    <w:rPr>
      <w:rFonts w:ascii="黑体" w:eastAsia="黑体"/>
      <w:szCs w:val="28"/>
    </w:rPr>
  </w:style>
  <w:style w:type="paragraph" w:customStyle="1" w:styleId="1976">
    <w:name w:val="001"/>
    <w:basedOn w:val="83"/>
    <w:qFormat/>
    <w:uiPriority w:val="0"/>
    <w:pPr>
      <w:tabs>
        <w:tab w:val="center" w:pos="4153"/>
        <w:tab w:val="right" w:pos="8306"/>
      </w:tabs>
      <w:adjustRightInd/>
      <w:spacing w:beforeLines="100" w:afterLines="100" w:line="240" w:lineRule="auto"/>
    </w:pPr>
    <w:rPr>
      <w:rFonts w:ascii="宋体" w:hAnsi="宋体" w:cs="Arial"/>
      <w:b w:val="0"/>
      <w:kern w:val="28"/>
      <w:sz w:val="28"/>
    </w:rPr>
  </w:style>
  <w:style w:type="character" w:customStyle="1" w:styleId="1977">
    <w:name w:val="001 Char"/>
    <w:qFormat/>
    <w:uiPriority w:val="0"/>
    <w:rPr>
      <w:rFonts w:ascii="宋体" w:hAnsi="宋体" w:cs="Arial"/>
      <w:bCs/>
      <w:kern w:val="28"/>
      <w:sz w:val="28"/>
      <w:szCs w:val="32"/>
    </w:rPr>
  </w:style>
  <w:style w:type="table" w:customStyle="1" w:styleId="1978">
    <w:name w:val="浅色底纹1"/>
    <w:basedOn w:val="87"/>
    <w:qFormat/>
    <w:uiPriority w:val="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979">
    <w:name w:val="Date Char"/>
    <w:qFormat/>
    <w:locked/>
    <w:uiPriority w:val="0"/>
    <w:rPr>
      <w:rFonts w:ascii="Times New Roman" w:hAnsi="Times New Roman" w:eastAsia="宋体" w:cs="Times New Roman"/>
      <w:kern w:val="28"/>
      <w:sz w:val="20"/>
      <w:szCs w:val="20"/>
    </w:rPr>
  </w:style>
  <w:style w:type="paragraph" w:customStyle="1" w:styleId="1980">
    <w:name w:val="样式 (西文) 宋体 四号 加粗 行距: 多倍行距 1.75 字行"/>
    <w:basedOn w:val="1"/>
    <w:qFormat/>
    <w:uiPriority w:val="0"/>
    <w:pPr>
      <w:spacing w:line="420" w:lineRule="auto"/>
      <w:ind w:firstLine="444" w:firstLineChars="158"/>
    </w:pPr>
    <w:rPr>
      <w:b/>
      <w:bCs/>
      <w:sz w:val="28"/>
      <w:szCs w:val="20"/>
    </w:rPr>
  </w:style>
  <w:style w:type="paragraph" w:customStyle="1" w:styleId="1981">
    <w:name w:val="样式 标题 44 + (符号) 宋体"/>
    <w:basedOn w:val="1"/>
    <w:next w:val="1"/>
    <w:autoRedefine/>
    <w:qFormat/>
    <w:uiPriority w:val="0"/>
    <w:pPr>
      <w:tabs>
        <w:tab w:val="left" w:pos="2160"/>
      </w:tabs>
      <w:adjustRightInd w:val="0"/>
      <w:spacing w:before="100" w:beforeAutospacing="1" w:line="360" w:lineRule="auto"/>
      <w:ind w:left="2160" w:hanging="420"/>
      <w:outlineLvl w:val="3"/>
    </w:pPr>
    <w:rPr>
      <w:b/>
      <w:snapToGrid w:val="0"/>
      <w:sz w:val="28"/>
    </w:rPr>
  </w:style>
  <w:style w:type="paragraph" w:customStyle="1" w:styleId="1982">
    <w:name w:val="样式 标题 4标题 3。。 + 两端对齐"/>
    <w:basedOn w:val="5"/>
    <w:qFormat/>
    <w:uiPriority w:val="0"/>
    <w:pPr>
      <w:keepLines/>
      <w:widowControl w:val="0"/>
      <w:tabs>
        <w:tab w:val="left" w:pos="0"/>
      </w:tabs>
      <w:overflowPunct/>
      <w:autoSpaceDE/>
      <w:autoSpaceDN/>
      <w:spacing w:beforeLines="0" w:beforeAutospacing="1" w:afterLines="0"/>
    </w:pPr>
    <w:rPr>
      <w:bCs/>
      <w:i w:val="0"/>
      <w:snapToGrid w:val="0"/>
      <w:kern w:val="0"/>
      <w:szCs w:val="20"/>
    </w:rPr>
  </w:style>
  <w:style w:type="paragraph" w:customStyle="1" w:styleId="1983">
    <w:name w:val="L标题3"/>
    <w:basedOn w:val="3"/>
    <w:next w:val="1"/>
    <w:qFormat/>
    <w:uiPriority w:val="0"/>
    <w:pPr>
      <w:keepLines w:val="0"/>
      <w:adjustRightInd w:val="0"/>
      <w:snapToGrid w:val="0"/>
      <w:spacing w:beforeLines="30" w:afterLines="30"/>
      <w:ind w:firstLine="272" w:firstLineChars="100"/>
      <w:outlineLvl w:val="2"/>
    </w:pPr>
    <w:rPr>
      <w:rFonts w:eastAsia="黑体"/>
      <w:snapToGrid w:val="0"/>
      <w:sz w:val="30"/>
      <w:szCs w:val="30"/>
    </w:rPr>
  </w:style>
  <w:style w:type="paragraph" w:customStyle="1" w:styleId="1984">
    <w:name w:val="章标题000"/>
    <w:basedOn w:val="1"/>
    <w:qFormat/>
    <w:uiPriority w:val="0"/>
    <w:rPr>
      <w:b/>
    </w:rPr>
  </w:style>
  <w:style w:type="paragraph" w:customStyle="1" w:styleId="1985">
    <w:name w:val="样式 宋体 小四 段前: 5 磅 段后: 5 磅 行距: 1.5 倍行距"/>
    <w:basedOn w:val="1"/>
    <w:qFormat/>
    <w:uiPriority w:val="0"/>
    <w:pPr>
      <w:spacing w:before="100" w:after="100" w:line="360" w:lineRule="auto"/>
      <w:ind w:firstLine="480" w:firstLineChars="200"/>
    </w:pPr>
    <w:rPr>
      <w:szCs w:val="20"/>
    </w:rPr>
  </w:style>
  <w:style w:type="character" w:customStyle="1" w:styleId="1986">
    <w:name w:val="Char3 Char11"/>
    <w:qFormat/>
    <w:uiPriority w:val="0"/>
    <w:rPr>
      <w:rFonts w:eastAsia="宋体"/>
      <w:kern w:val="2"/>
      <w:sz w:val="18"/>
      <w:szCs w:val="18"/>
      <w:lang w:val="en-US" w:eastAsia="zh-CN" w:bidi="ar-SA"/>
    </w:rPr>
  </w:style>
  <w:style w:type="character" w:customStyle="1" w:styleId="1987">
    <w:name w:val="Char5 Char1"/>
    <w:qFormat/>
    <w:uiPriority w:val="0"/>
    <w:rPr>
      <w:rFonts w:eastAsia="宋体"/>
      <w:kern w:val="2"/>
      <w:sz w:val="28"/>
      <w:lang w:val="en-US" w:eastAsia="zh-CN" w:bidi="ar-SA"/>
    </w:rPr>
  </w:style>
  <w:style w:type="character" w:customStyle="1" w:styleId="1988">
    <w:name w:val="Char4 Char1"/>
    <w:qFormat/>
    <w:uiPriority w:val="0"/>
    <w:rPr>
      <w:rFonts w:ascii="宋体" w:hAnsi="宋体"/>
      <w:color w:val="000000"/>
      <w:kern w:val="2"/>
      <w:sz w:val="24"/>
      <w:szCs w:val="24"/>
      <w:lang w:bidi="ar-SA"/>
    </w:rPr>
  </w:style>
  <w:style w:type="character" w:customStyle="1" w:styleId="1989">
    <w:name w:val="正文文字 Char Char Char"/>
    <w:qFormat/>
    <w:uiPriority w:val="0"/>
    <w:rPr>
      <w:rFonts w:eastAsia="宋体"/>
      <w:kern w:val="2"/>
      <w:sz w:val="21"/>
      <w:szCs w:val="24"/>
      <w:lang w:val="en-US" w:eastAsia="zh-CN" w:bidi="ar-SA"/>
    </w:rPr>
  </w:style>
  <w:style w:type="table" w:customStyle="1" w:styleId="1990">
    <w:name w:val="简明型 11"/>
    <w:basedOn w:val="87"/>
    <w:qFormat/>
    <w:uiPriority w:val="0"/>
    <w:pPr>
      <w:widowControl w:val="0"/>
      <w:jc w:val="both"/>
    </w:pPr>
    <w:tblPr>
      <w:tblBorders>
        <w:top w:val="single" w:color="auto" w:sz="12" w:space="0"/>
        <w:bottom w:val="single" w:color="auto"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91">
    <w:name w:val="简明型 12"/>
    <w:basedOn w:val="87"/>
    <w:qFormat/>
    <w:uiPriority w:val="0"/>
    <w:pPr>
      <w:widowControl w:val="0"/>
      <w:jc w:val="both"/>
    </w:pPr>
    <w:tblPr>
      <w:tblBorders>
        <w:top w:val="single" w:color="auto" w:sz="12" w:space="0"/>
        <w:bottom w:val="single" w:color="auto"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92">
    <w:name w:val="简明型 13"/>
    <w:basedOn w:val="87"/>
    <w:qFormat/>
    <w:uiPriority w:val="0"/>
    <w:pPr>
      <w:widowControl w:val="0"/>
      <w:jc w:val="both"/>
    </w:pPr>
    <w:tblPr>
      <w:tblBorders>
        <w:top w:val="single" w:color="auto" w:sz="12" w:space="0"/>
        <w:bottom w:val="single" w:color="auto"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93">
    <w:name w:val="简明型 14"/>
    <w:basedOn w:val="87"/>
    <w:qFormat/>
    <w:uiPriority w:val="0"/>
    <w:pPr>
      <w:widowControl w:val="0"/>
      <w:jc w:val="both"/>
    </w:pPr>
    <w:tblPr>
      <w:tblBorders>
        <w:top w:val="single" w:color="auto" w:sz="12" w:space="0"/>
        <w:bottom w:val="single" w:color="auto"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1994">
    <w:name w:val="简明型 15"/>
    <w:basedOn w:val="87"/>
    <w:qFormat/>
    <w:uiPriority w:val="0"/>
    <w:pPr>
      <w:widowControl w:val="0"/>
      <w:jc w:val="both"/>
    </w:pPr>
    <w:tblPr>
      <w:tblBorders>
        <w:top w:val="single" w:color="auto" w:sz="12" w:space="0"/>
        <w:bottom w:val="single" w:color="auto" w:sz="12" w:space="0"/>
      </w:tblBorders>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paragraph" w:customStyle="1" w:styleId="1995">
    <w:name w:val="样式 标题 3 + 左侧:  2 字符 右侧:  2 字符 段前: 0.25 行 段后: 0.25 行"/>
    <w:basedOn w:val="4"/>
    <w:next w:val="1"/>
    <w:qFormat/>
    <w:uiPriority w:val="0"/>
    <w:pPr>
      <w:snapToGrid w:val="0"/>
      <w:spacing w:beforeLines="0" w:afterLines="0" w:line="240" w:lineRule="auto"/>
      <w:ind w:left="480" w:leftChars="200" w:right="480" w:rightChars="200"/>
    </w:pPr>
    <w:rPr>
      <w:sz w:val="30"/>
      <w:szCs w:val="20"/>
    </w:rPr>
  </w:style>
  <w:style w:type="paragraph" w:customStyle="1" w:styleId="1996">
    <w:name w:val="非居中表格"/>
    <w:basedOn w:val="1"/>
    <w:qFormat/>
    <w:uiPriority w:val="0"/>
    <w:pPr>
      <w:adjustRightInd w:val="0"/>
      <w:spacing w:before="60" w:after="60"/>
      <w:jc w:val="center"/>
      <w:textAlignment w:val="baseline"/>
    </w:pPr>
  </w:style>
  <w:style w:type="character" w:customStyle="1" w:styleId="1997">
    <w:name w:val="项标题(1) Char2"/>
    <w:qFormat/>
    <w:uiPriority w:val="0"/>
    <w:rPr>
      <w:rFonts w:ascii="新宋体" w:hAnsi="新宋体" w:eastAsia="仿宋_GB2312"/>
      <w:b/>
      <w:kern w:val="2"/>
      <w:sz w:val="24"/>
      <w:lang w:val="en-US" w:eastAsia="zh-CN" w:bidi="ar-SA"/>
    </w:rPr>
  </w:style>
  <w:style w:type="paragraph" w:customStyle="1" w:styleId="1998">
    <w:name w:val="Char Char Char1 Char Char Char Char Char Char Char Char Char Char Char Char Char Char Char Char Char"/>
    <w:basedOn w:val="1"/>
    <w:qFormat/>
    <w:uiPriority w:val="0"/>
  </w:style>
  <w:style w:type="paragraph" w:customStyle="1" w:styleId="1999">
    <w:name w:val="样式 仿宋_GB2312 四号"/>
    <w:basedOn w:val="1"/>
    <w:qFormat/>
    <w:uiPriority w:val="0"/>
    <w:pPr>
      <w:tabs>
        <w:tab w:val="left" w:pos="3780"/>
      </w:tabs>
      <w:adjustRightInd w:val="0"/>
      <w:spacing w:beforeLines="50" w:line="480" w:lineRule="exact"/>
      <w:ind w:firstLine="420" w:firstLineChars="200"/>
      <w:textAlignment w:val="baseline"/>
    </w:pPr>
    <w:rPr>
      <w:szCs w:val="20"/>
    </w:rPr>
  </w:style>
  <w:style w:type="paragraph" w:customStyle="1" w:styleId="2000">
    <w:name w:val="样式 样式 正文文本缩进 + 首行缩进:  1 字符 行距: 固定值 26 磅 + 段前: 0.5 行"/>
    <w:basedOn w:val="1"/>
    <w:qFormat/>
    <w:uiPriority w:val="0"/>
    <w:pPr>
      <w:spacing w:line="360" w:lineRule="auto"/>
      <w:ind w:firstLine="561"/>
    </w:pPr>
    <w:rPr>
      <w:szCs w:val="20"/>
    </w:rPr>
  </w:style>
  <w:style w:type="paragraph" w:customStyle="1" w:styleId="2001">
    <w:name w:val="Char Char5 Char Char Char Char Char Char Char"/>
    <w:basedOn w:val="1"/>
    <w:next w:val="1"/>
    <w:autoRedefine/>
    <w:qFormat/>
    <w:uiPriority w:val="0"/>
    <w:pPr>
      <w:spacing w:line="360" w:lineRule="auto"/>
      <w:ind w:firstLine="200" w:firstLineChars="200"/>
    </w:pPr>
  </w:style>
  <w:style w:type="paragraph" w:customStyle="1" w:styleId="2002">
    <w:name w:val="样式10"/>
    <w:basedOn w:val="3"/>
    <w:qFormat/>
    <w:uiPriority w:val="0"/>
    <w:pPr>
      <w:spacing w:beforeLines="0" w:afterLines="0"/>
    </w:pPr>
    <w:rPr>
      <w:sz w:val="28"/>
      <w:szCs w:val="28"/>
    </w:rPr>
  </w:style>
  <w:style w:type="paragraph" w:customStyle="1" w:styleId="2003">
    <w:name w:val="表头5H"/>
    <w:basedOn w:val="1"/>
    <w:link w:val="2004"/>
    <w:qFormat/>
    <w:uiPriority w:val="0"/>
    <w:pPr>
      <w:spacing w:line="312" w:lineRule="auto"/>
      <w:jc w:val="center"/>
    </w:pPr>
    <w:rPr>
      <w:rFonts w:ascii="黑体" w:eastAsia="黑体"/>
    </w:rPr>
  </w:style>
  <w:style w:type="character" w:customStyle="1" w:styleId="2004">
    <w:name w:val="表头5H Char"/>
    <w:link w:val="2003"/>
    <w:qFormat/>
    <w:uiPriority w:val="0"/>
    <w:rPr>
      <w:rFonts w:ascii="黑体" w:eastAsia="黑体"/>
      <w:kern w:val="2"/>
      <w:sz w:val="24"/>
      <w:szCs w:val="24"/>
    </w:rPr>
  </w:style>
  <w:style w:type="character" w:customStyle="1" w:styleId="2005">
    <w:name w:val="0 Char"/>
    <w:link w:val="844"/>
    <w:qFormat/>
    <w:uiPriority w:val="0"/>
    <w:rPr>
      <w:color w:val="000000"/>
      <w:sz w:val="21"/>
    </w:rPr>
  </w:style>
  <w:style w:type="paragraph" w:customStyle="1" w:styleId="2006">
    <w:name w:val="规划 表格内容"/>
    <w:basedOn w:val="31"/>
    <w:next w:val="31"/>
    <w:link w:val="2007"/>
    <w:qFormat/>
    <w:uiPriority w:val="0"/>
    <w:pPr>
      <w:autoSpaceDE w:val="0"/>
      <w:autoSpaceDN w:val="0"/>
      <w:adjustRightInd w:val="0"/>
      <w:snapToGrid w:val="0"/>
      <w:jc w:val="center"/>
    </w:pPr>
    <w:rPr>
      <w:rFonts w:ascii="Times New Roman" w:hAnsi="Times New Roman" w:cs="Times New Roman"/>
      <w:color w:val="000000"/>
      <w:sz w:val="18"/>
      <w:szCs w:val="20"/>
    </w:rPr>
  </w:style>
  <w:style w:type="character" w:customStyle="1" w:styleId="2007">
    <w:name w:val="规划 表格内容 Char"/>
    <w:link w:val="2006"/>
    <w:qFormat/>
    <w:uiPriority w:val="0"/>
    <w:rPr>
      <w:rFonts w:cs="宋体"/>
      <w:color w:val="000000"/>
      <w:sz w:val="18"/>
    </w:rPr>
  </w:style>
  <w:style w:type="paragraph" w:customStyle="1" w:styleId="2008">
    <w:name w:val="规划 正文"/>
    <w:basedOn w:val="1"/>
    <w:link w:val="2009"/>
    <w:qFormat/>
    <w:uiPriority w:val="0"/>
    <w:pPr>
      <w:autoSpaceDE w:val="0"/>
      <w:autoSpaceDN w:val="0"/>
      <w:adjustRightInd w:val="0"/>
      <w:snapToGrid w:val="0"/>
      <w:spacing w:line="360" w:lineRule="auto"/>
      <w:ind w:firstLine="200" w:firstLineChars="200"/>
    </w:pPr>
    <w:rPr>
      <w:szCs w:val="21"/>
    </w:rPr>
  </w:style>
  <w:style w:type="character" w:customStyle="1" w:styleId="2009">
    <w:name w:val="规划 正文 Char"/>
    <w:link w:val="2008"/>
    <w:qFormat/>
    <w:uiPriority w:val="0"/>
    <w:rPr>
      <w:sz w:val="24"/>
      <w:szCs w:val="21"/>
    </w:rPr>
  </w:style>
  <w:style w:type="paragraph" w:customStyle="1" w:styleId="2010">
    <w:name w:val="p15"/>
    <w:basedOn w:val="1"/>
    <w:qFormat/>
    <w:uiPriority w:val="0"/>
    <w:pPr>
      <w:snapToGrid w:val="0"/>
      <w:spacing w:line="360" w:lineRule="auto"/>
      <w:ind w:firstLine="420"/>
    </w:pPr>
  </w:style>
  <w:style w:type="character" w:customStyle="1" w:styleId="2011">
    <w:name w:val="hangju"/>
    <w:basedOn w:val="132"/>
    <w:qFormat/>
    <w:uiPriority w:val="0"/>
  </w:style>
  <w:style w:type="paragraph" w:customStyle="1" w:styleId="2012">
    <w:name w:val="样式 ˎ̥ 小四 自定义颜(RGB(0067)) 行距: 固定值 24 磅"/>
    <w:basedOn w:val="1"/>
    <w:qFormat/>
    <w:uiPriority w:val="0"/>
    <w:pPr>
      <w:spacing w:line="480" w:lineRule="exact"/>
      <w:ind w:firstLine="200" w:firstLineChars="200"/>
    </w:pPr>
    <w:rPr>
      <w:rFonts w:ascii="ˎ̥" w:hAnsi="ˎ̥"/>
      <w:color w:val="000043"/>
      <w:szCs w:val="20"/>
    </w:rPr>
  </w:style>
  <w:style w:type="paragraph" w:customStyle="1" w:styleId="2013">
    <w:name w:val="2 Char Char Char Char Char Char Char Char Char Char"/>
    <w:basedOn w:val="1"/>
    <w:qFormat/>
    <w:uiPriority w:val="0"/>
    <w:pPr>
      <w:spacing w:line="360" w:lineRule="auto"/>
      <w:ind w:firstLine="200" w:firstLineChars="200"/>
    </w:pPr>
  </w:style>
  <w:style w:type="paragraph" w:customStyle="1" w:styleId="2014">
    <w:name w:val="陈正文1"/>
    <w:basedOn w:val="1"/>
    <w:autoRedefine/>
    <w:qFormat/>
    <w:uiPriority w:val="0"/>
    <w:pPr>
      <w:ind w:left="-108" w:firstLine="664" w:firstLineChars="237"/>
    </w:pPr>
    <w:rPr>
      <w:kern w:val="44"/>
      <w:sz w:val="28"/>
      <w:szCs w:val="20"/>
    </w:rPr>
  </w:style>
  <w:style w:type="character" w:customStyle="1" w:styleId="2015">
    <w:name w:val="正文文字缩进 2 Char Char2"/>
    <w:qFormat/>
    <w:uiPriority w:val="0"/>
    <w:rPr>
      <w:rFonts w:ascii="宋体" w:eastAsia="宋体"/>
      <w:kern w:val="2"/>
      <w:sz w:val="24"/>
      <w:szCs w:val="24"/>
      <w:lang w:val="en-US" w:eastAsia="zh-CN" w:bidi="ar-SA"/>
    </w:rPr>
  </w:style>
  <w:style w:type="character" w:customStyle="1" w:styleId="2016">
    <w:name w:val="articlebody"/>
    <w:basedOn w:val="132"/>
    <w:qFormat/>
    <w:uiPriority w:val="0"/>
  </w:style>
  <w:style w:type="paragraph" w:customStyle="1" w:styleId="2017">
    <w:name w:val="标题 2 加粗"/>
    <w:basedOn w:val="3"/>
    <w:qFormat/>
    <w:uiPriority w:val="0"/>
    <w:pPr>
      <w:spacing w:beforeLines="0" w:afterLines="0" w:line="240" w:lineRule="auto"/>
    </w:pPr>
    <w:rPr>
      <w:rFonts w:ascii="仿宋_GB2312" w:hAnsi="仿宋_GB2312" w:eastAsia="仿宋_GB2312"/>
      <w:szCs w:val="20"/>
    </w:rPr>
  </w:style>
  <w:style w:type="paragraph" w:customStyle="1" w:styleId="2018">
    <w:name w:val="标题 2号非加粗"/>
    <w:basedOn w:val="3"/>
    <w:next w:val="1"/>
    <w:qFormat/>
    <w:uiPriority w:val="0"/>
    <w:pPr>
      <w:spacing w:beforeLines="0" w:afterLines="0" w:line="240" w:lineRule="auto"/>
    </w:pPr>
    <w:rPr>
      <w:rFonts w:ascii="仿宋_GB2312" w:hAnsi="仿宋_GB2312" w:eastAsia="仿宋_GB2312"/>
      <w:b w:val="0"/>
      <w:bCs w:val="0"/>
      <w:sz w:val="30"/>
      <w:szCs w:val="20"/>
    </w:rPr>
  </w:style>
  <w:style w:type="paragraph" w:customStyle="1" w:styleId="2019">
    <w:name w:val="样式 样式 样式 样式 仿宋_GB2312 四号 + 段后: 0.5 行 + 段前: 1.55 磅 段后: 0.2 行 + 段后..."/>
    <w:basedOn w:val="1"/>
    <w:qFormat/>
    <w:uiPriority w:val="0"/>
    <w:rPr>
      <w:rFonts w:ascii="仿宋_GB2312" w:hAnsi="仿宋_GB2312" w:eastAsia="仿宋_GB2312"/>
      <w:sz w:val="28"/>
      <w:szCs w:val="20"/>
    </w:rPr>
  </w:style>
  <w:style w:type="paragraph" w:customStyle="1" w:styleId="2020">
    <w:name w:val="zwb-报告正文"/>
    <w:basedOn w:val="1"/>
    <w:qFormat/>
    <w:uiPriority w:val="0"/>
    <w:pPr>
      <w:spacing w:line="360" w:lineRule="auto"/>
      <w:ind w:firstLine="480" w:firstLineChars="200"/>
    </w:pPr>
  </w:style>
  <w:style w:type="character" w:customStyle="1" w:styleId="2021">
    <w:name w:val="标题1.1.1.1.1 Char Char1"/>
    <w:qFormat/>
    <w:uiPriority w:val="0"/>
    <w:rPr>
      <w:rFonts w:eastAsia="宋体"/>
      <w:b/>
      <w:bCs/>
      <w:kern w:val="2"/>
      <w:sz w:val="28"/>
      <w:szCs w:val="28"/>
      <w:lang w:val="en-US" w:eastAsia="zh-CN" w:bidi="ar-SA"/>
    </w:rPr>
  </w:style>
  <w:style w:type="character" w:customStyle="1" w:styleId="2022">
    <w:name w:val="标题1.1.1.1.1.1 Char Char1"/>
    <w:qFormat/>
    <w:uiPriority w:val="0"/>
    <w:rPr>
      <w:rFonts w:ascii="Arial" w:hAnsi="Arial" w:eastAsia="黑体"/>
      <w:b/>
      <w:bCs/>
      <w:kern w:val="2"/>
      <w:sz w:val="24"/>
      <w:szCs w:val="24"/>
      <w:lang w:val="en-US" w:eastAsia="zh-CN" w:bidi="ar-SA"/>
    </w:rPr>
  </w:style>
  <w:style w:type="character" w:customStyle="1" w:styleId="2023">
    <w:name w:val="项标题(1) Char Char1"/>
    <w:qFormat/>
    <w:uiPriority w:val="0"/>
    <w:rPr>
      <w:rFonts w:eastAsia="宋体"/>
      <w:b/>
      <w:bCs/>
      <w:kern w:val="2"/>
      <w:sz w:val="24"/>
      <w:szCs w:val="24"/>
      <w:lang w:val="en-US" w:eastAsia="zh-CN" w:bidi="ar-SA"/>
    </w:rPr>
  </w:style>
  <w:style w:type="character" w:customStyle="1" w:styleId="2024">
    <w:name w:val="目标题 1) Char Char1"/>
    <w:qFormat/>
    <w:uiPriority w:val="0"/>
    <w:rPr>
      <w:rFonts w:ascii="Arial" w:hAnsi="Arial" w:eastAsia="黑体"/>
      <w:kern w:val="2"/>
      <w:sz w:val="24"/>
      <w:szCs w:val="24"/>
      <w:lang w:val="en-US" w:eastAsia="zh-CN" w:bidi="ar-SA"/>
    </w:rPr>
  </w:style>
  <w:style w:type="character" w:customStyle="1" w:styleId="2025">
    <w:name w:val="干标题(a) Char Char2"/>
    <w:qFormat/>
    <w:uiPriority w:val="0"/>
    <w:rPr>
      <w:rFonts w:ascii="Arial" w:hAnsi="Arial" w:eastAsia="黑体"/>
      <w:kern w:val="2"/>
      <w:sz w:val="21"/>
      <w:szCs w:val="21"/>
      <w:lang w:val="en-US" w:eastAsia="zh-CN" w:bidi="ar-SA"/>
    </w:rPr>
  </w:style>
  <w:style w:type="character" w:customStyle="1" w:styleId="2026">
    <w:name w:val="z-窗体底端 Char1"/>
    <w:qFormat/>
    <w:uiPriority w:val="0"/>
    <w:rPr>
      <w:rFonts w:ascii="Arial" w:hAnsi="Arial" w:cs="Arial"/>
      <w:vanish/>
      <w:kern w:val="2"/>
      <w:sz w:val="16"/>
      <w:szCs w:val="16"/>
    </w:rPr>
  </w:style>
  <w:style w:type="paragraph" w:customStyle="1" w:styleId="2027">
    <w:name w:val="Char1 Char Char Char Char Char Char Char Char Char Char Char1 Char1"/>
    <w:basedOn w:val="1"/>
    <w:qFormat/>
    <w:uiPriority w:val="0"/>
  </w:style>
  <w:style w:type="character" w:customStyle="1" w:styleId="2028">
    <w:name w:val="样式 标题 1 + Char"/>
    <w:qFormat/>
    <w:uiPriority w:val="0"/>
    <w:rPr>
      <w:rFonts w:ascii="Arial" w:hAnsi="宋体" w:eastAsia="宋体"/>
      <w:b/>
      <w:bCs/>
      <w:kern w:val="44"/>
      <w:sz w:val="32"/>
      <w:szCs w:val="44"/>
      <w:lang w:val="en-US" w:eastAsia="zh-CN" w:bidi="ar-SA"/>
    </w:rPr>
  </w:style>
  <w:style w:type="paragraph" w:customStyle="1" w:styleId="2029">
    <w:name w:val="向喜琼图表名"/>
    <w:basedOn w:val="1"/>
    <w:qFormat/>
    <w:uiPriority w:val="0"/>
    <w:pPr>
      <w:adjustRightInd w:val="0"/>
      <w:snapToGrid w:val="0"/>
      <w:spacing w:beforeLines="50" w:afterLines="50"/>
      <w:jc w:val="center"/>
    </w:pPr>
    <w:rPr>
      <w:rFonts w:ascii="Times" w:hAnsi="Times"/>
      <w:b/>
    </w:rPr>
  </w:style>
  <w:style w:type="paragraph" w:customStyle="1" w:styleId="2030">
    <w:name w:val="报告表头"/>
    <w:basedOn w:val="1"/>
    <w:next w:val="1"/>
    <w:qFormat/>
    <w:uiPriority w:val="0"/>
    <w:pPr>
      <w:jc w:val="center"/>
    </w:pPr>
    <w:rPr>
      <w:rFonts w:eastAsia="黑体"/>
      <w:b/>
      <w:sz w:val="18"/>
      <w:szCs w:val="20"/>
    </w:rPr>
  </w:style>
  <w:style w:type="paragraph" w:customStyle="1" w:styleId="2031">
    <w:name w:val="报告表中"/>
    <w:basedOn w:val="1"/>
    <w:qFormat/>
    <w:uiPriority w:val="0"/>
    <w:pPr>
      <w:jc w:val="center"/>
    </w:pPr>
    <w:rPr>
      <w:sz w:val="18"/>
      <w:szCs w:val="20"/>
    </w:rPr>
  </w:style>
  <w:style w:type="paragraph" w:customStyle="1" w:styleId="2032">
    <w:name w:val="Char1 Char Char Char Char Char Char Char Char Char Char Char Char"/>
    <w:basedOn w:val="26"/>
    <w:autoRedefine/>
    <w:qFormat/>
    <w:uiPriority w:val="0"/>
    <w:pPr>
      <w:adjustRightInd w:val="0"/>
      <w:spacing w:line="436" w:lineRule="exact"/>
      <w:ind w:left="357"/>
      <w:outlineLvl w:val="3"/>
    </w:pPr>
    <w:rPr>
      <w:rFonts w:ascii="Tahoma" w:hAnsi="Tahoma"/>
      <w:b/>
      <w:kern w:val="28"/>
      <w:szCs w:val="28"/>
    </w:rPr>
  </w:style>
  <w:style w:type="paragraph" w:customStyle="1" w:styleId="2033">
    <w:name w:val="段落样式"/>
    <w:basedOn w:val="1"/>
    <w:link w:val="2034"/>
    <w:qFormat/>
    <w:uiPriority w:val="0"/>
    <w:pPr>
      <w:keepNext/>
      <w:suppressLineNumbers/>
      <w:suppressAutoHyphens/>
      <w:topLinePunct/>
      <w:adjustRightInd w:val="0"/>
      <w:snapToGrid w:val="0"/>
      <w:spacing w:line="300" w:lineRule="auto"/>
      <w:ind w:firstLine="482"/>
      <w:textAlignment w:val="baseline"/>
    </w:pPr>
    <w:rPr>
      <w:snapToGrid w:val="0"/>
      <w:w w:val="80"/>
      <w:sz w:val="28"/>
      <w:szCs w:val="20"/>
    </w:rPr>
  </w:style>
  <w:style w:type="character" w:customStyle="1" w:styleId="2034">
    <w:name w:val="段落样式 Char"/>
    <w:link w:val="2033"/>
    <w:qFormat/>
    <w:uiPriority w:val="0"/>
    <w:rPr>
      <w:snapToGrid w:val="0"/>
      <w:w w:val="80"/>
      <w:sz w:val="28"/>
    </w:rPr>
  </w:style>
  <w:style w:type="paragraph" w:customStyle="1" w:styleId="2035">
    <w:name w:val="样式 样式 小四 加粗 段前: 0 磅 段后: 0 磅 行距: 固定值 21 磅 + 两端对齐"/>
    <w:basedOn w:val="1928"/>
    <w:autoRedefine/>
    <w:qFormat/>
    <w:uiPriority w:val="0"/>
    <w:pPr>
      <w:ind w:firstLine="200"/>
    </w:pPr>
    <w:rPr>
      <w:rFonts w:ascii="Times New Roman" w:hAnsi="Times New Roman"/>
      <w:sz w:val="24"/>
    </w:rPr>
  </w:style>
  <w:style w:type="paragraph" w:customStyle="1" w:styleId="2036">
    <w:name w:val="图表"/>
    <w:basedOn w:val="1"/>
    <w:qFormat/>
    <w:uiPriority w:val="0"/>
    <w:pPr>
      <w:adjustRightInd w:val="0"/>
      <w:jc w:val="center"/>
      <w:textAlignment w:val="baseline"/>
    </w:pPr>
    <w:rPr>
      <w:szCs w:val="20"/>
    </w:rPr>
  </w:style>
  <w:style w:type="paragraph" w:customStyle="1" w:styleId="2037">
    <w:name w:val="样式 正文2 + 首行缩进:  2 字符"/>
    <w:basedOn w:val="1"/>
    <w:qFormat/>
    <w:uiPriority w:val="0"/>
    <w:pPr>
      <w:adjustRightInd w:val="0"/>
      <w:snapToGrid w:val="0"/>
      <w:spacing w:line="360" w:lineRule="auto"/>
      <w:ind w:right="50" w:rightChars="18"/>
      <w:textAlignment w:val="baseline"/>
    </w:pPr>
    <w:rPr>
      <w:sz w:val="28"/>
      <w:szCs w:val="20"/>
    </w:rPr>
  </w:style>
  <w:style w:type="paragraph" w:customStyle="1" w:styleId="2038">
    <w:name w:val="样式 标题 2节标题 1.1h2l22nd levelTitre22Header 2H2 + 段前: 0.5 行...1"/>
    <w:basedOn w:val="3"/>
    <w:autoRedefine/>
    <w:qFormat/>
    <w:uiPriority w:val="0"/>
    <w:pPr>
      <w:tabs>
        <w:tab w:val="left" w:pos="480"/>
        <w:tab w:val="left" w:pos="1680"/>
        <w:tab w:val="left" w:pos="3960"/>
        <w:tab w:val="left" w:pos="5400"/>
        <w:tab w:val="left" w:pos="6840"/>
      </w:tabs>
      <w:adjustRightInd w:val="0"/>
      <w:spacing w:before="120" w:after="120"/>
      <w:ind w:right="200" w:rightChars="200"/>
      <w:textAlignment w:val="baseline"/>
    </w:pPr>
    <w:rPr>
      <w:rFonts w:hAnsi="Arial"/>
      <w:sz w:val="30"/>
      <w:szCs w:val="20"/>
    </w:rPr>
  </w:style>
  <w:style w:type="paragraph" w:customStyle="1" w:styleId="2039">
    <w:name w:val="样式 宋体 加粗 居中 首行缩进:  0 厘米 段前: 0 磅 段后: 0 磅 行距: 单倍行距"/>
    <w:basedOn w:val="1"/>
    <w:qFormat/>
    <w:uiPriority w:val="0"/>
    <w:pPr>
      <w:adjustRightInd w:val="0"/>
      <w:jc w:val="center"/>
      <w:textAlignment w:val="baseline"/>
    </w:pPr>
    <w:rPr>
      <w:b/>
      <w:bCs/>
      <w:sz w:val="28"/>
      <w:szCs w:val="20"/>
    </w:rPr>
  </w:style>
  <w:style w:type="paragraph" w:customStyle="1" w:styleId="2040">
    <w:name w:val="xl100"/>
    <w:basedOn w:val="1"/>
    <w:qFormat/>
    <w:uiPriority w:val="0"/>
    <w:pPr>
      <w:pBdr>
        <w:top w:val="single" w:color="auto" w:sz="4" w:space="0"/>
        <w:left w:val="single" w:color="auto" w:sz="4" w:space="0"/>
        <w:bottom w:val="single" w:color="auto" w:sz="4" w:space="0"/>
        <w:right w:val="single" w:color="auto" w:sz="4" w:space="0"/>
      </w:pBdr>
      <w:shd w:val="clear" w:color="000000" w:fill="00B050"/>
      <w:spacing w:before="100" w:beforeAutospacing="1" w:after="100" w:afterAutospacing="1"/>
    </w:pPr>
  </w:style>
  <w:style w:type="paragraph" w:customStyle="1" w:styleId="2041">
    <w:name w:val="xl101"/>
    <w:basedOn w:val="1"/>
    <w:qFormat/>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pPr>
  </w:style>
  <w:style w:type="paragraph" w:customStyle="1" w:styleId="2042">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043">
    <w:name w:val="xl103"/>
    <w:basedOn w:val="1"/>
    <w:qFormat/>
    <w:uiPriority w:val="0"/>
    <w:pPr>
      <w:pBdr>
        <w:top w:val="single" w:color="auto" w:sz="4" w:space="0"/>
        <w:left w:val="single" w:color="auto" w:sz="4" w:space="0"/>
        <w:bottom w:val="single" w:color="auto" w:sz="4" w:space="0"/>
        <w:right w:val="single" w:color="auto" w:sz="4" w:space="0"/>
      </w:pBdr>
      <w:shd w:val="clear" w:color="000000" w:fill="D99795"/>
      <w:spacing w:before="100" w:beforeAutospacing="1" w:after="100" w:afterAutospacing="1"/>
      <w:jc w:val="center"/>
    </w:pPr>
  </w:style>
  <w:style w:type="paragraph" w:customStyle="1" w:styleId="2044">
    <w:name w:val="xl10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pPr>
    <w:rPr>
      <w:b/>
      <w:bCs/>
    </w:rPr>
  </w:style>
  <w:style w:type="paragraph" w:customStyle="1" w:styleId="2045">
    <w:name w:val="正文.tx"/>
    <w:basedOn w:val="1"/>
    <w:link w:val="2046"/>
    <w:qFormat/>
    <w:uiPriority w:val="0"/>
    <w:pPr>
      <w:topLinePunct/>
      <w:spacing w:beforeLines="50" w:afterLines="50" w:line="520" w:lineRule="exact"/>
      <w:ind w:firstLine="200" w:firstLineChars="200"/>
    </w:pPr>
    <w:rPr>
      <w:sz w:val="28"/>
      <w:szCs w:val="28"/>
    </w:rPr>
  </w:style>
  <w:style w:type="character" w:customStyle="1" w:styleId="2046">
    <w:name w:val="正文.tx Char"/>
    <w:link w:val="2045"/>
    <w:qFormat/>
    <w:uiPriority w:val="0"/>
    <w:rPr>
      <w:kern w:val="2"/>
      <w:sz w:val="28"/>
      <w:szCs w:val="28"/>
    </w:rPr>
  </w:style>
  <w:style w:type="paragraph" w:customStyle="1" w:styleId="2047">
    <w:name w:val="bg正文"/>
    <w:basedOn w:val="1"/>
    <w:qFormat/>
    <w:uiPriority w:val="0"/>
    <w:pPr>
      <w:spacing w:line="360" w:lineRule="auto"/>
      <w:ind w:firstLine="200" w:firstLineChars="200"/>
    </w:pPr>
    <w:rPr>
      <w:szCs w:val="20"/>
    </w:rPr>
  </w:style>
  <w:style w:type="paragraph" w:customStyle="1" w:styleId="2048">
    <w:name w:val="样式12"/>
    <w:basedOn w:val="56"/>
    <w:link w:val="2049"/>
    <w:qFormat/>
    <w:uiPriority w:val="0"/>
    <w:pPr>
      <w:pBdr>
        <w:bottom w:val="none" w:color="auto" w:sz="0" w:space="0"/>
      </w:pBdr>
    </w:pPr>
  </w:style>
  <w:style w:type="character" w:customStyle="1" w:styleId="2049">
    <w:name w:val="样式12 Char"/>
    <w:link w:val="2048"/>
    <w:qFormat/>
    <w:uiPriority w:val="0"/>
    <w:rPr>
      <w:kern w:val="2"/>
      <w:sz w:val="18"/>
      <w:szCs w:val="18"/>
    </w:rPr>
  </w:style>
  <w:style w:type="paragraph" w:customStyle="1" w:styleId="2050">
    <w:name w:val="2 Char Char Char Char Char Char Char Char Char Char Char Char Char Char Char Char"/>
    <w:basedOn w:val="1"/>
    <w:qFormat/>
    <w:uiPriority w:val="0"/>
    <w:pPr>
      <w:spacing w:line="360" w:lineRule="auto"/>
      <w:ind w:firstLine="200" w:firstLineChars="200"/>
    </w:pPr>
  </w:style>
  <w:style w:type="paragraph" w:customStyle="1" w:styleId="2051">
    <w:name w:val="样式 标题 4 +"/>
    <w:basedOn w:val="5"/>
    <w:link w:val="2052"/>
    <w:autoRedefine/>
    <w:semiHidden/>
    <w:qFormat/>
    <w:uiPriority w:val="0"/>
    <w:pPr>
      <w:keepLines/>
      <w:widowControl w:val="0"/>
      <w:overflowPunct/>
      <w:autoSpaceDE/>
      <w:autoSpaceDN/>
      <w:snapToGrid w:val="0"/>
      <w:spacing w:beforeLines="0" w:afterLines="0"/>
      <w:textAlignment w:val="auto"/>
    </w:pPr>
    <w:rPr>
      <w:b w:val="0"/>
      <w:bCs/>
      <w:i w:val="0"/>
      <w:color w:val="000000"/>
      <w:kern w:val="0"/>
    </w:rPr>
  </w:style>
  <w:style w:type="character" w:customStyle="1" w:styleId="2052">
    <w:name w:val="样式 标题 4 + Char"/>
    <w:link w:val="2051"/>
    <w:semiHidden/>
    <w:qFormat/>
    <w:uiPriority w:val="0"/>
    <w:rPr>
      <w:rFonts w:ascii="宋体" w:hAnsi="宋体"/>
      <w:bCs/>
      <w:color w:val="000000"/>
      <w:sz w:val="24"/>
      <w:szCs w:val="24"/>
    </w:rPr>
  </w:style>
  <w:style w:type="paragraph" w:customStyle="1" w:styleId="2053">
    <w:name w:val="样式 标题 3一、样式 + 小四 黑色1"/>
    <w:basedOn w:val="4"/>
    <w:link w:val="2054"/>
    <w:autoRedefine/>
    <w:qFormat/>
    <w:uiPriority w:val="0"/>
    <w:pPr>
      <w:keepLines w:val="0"/>
      <w:adjustRightInd w:val="0"/>
      <w:snapToGrid w:val="0"/>
      <w:spacing w:beforeLines="0" w:afterLines="0"/>
    </w:pPr>
    <w:rPr>
      <w:b w:val="0"/>
      <w:bCs w:val="0"/>
      <w:color w:val="000000"/>
      <w:sz w:val="24"/>
      <w:szCs w:val="24"/>
    </w:rPr>
  </w:style>
  <w:style w:type="character" w:customStyle="1" w:styleId="2054">
    <w:name w:val="样式 标题 3一、样式 + 小四 黑色1 Char"/>
    <w:link w:val="2053"/>
    <w:qFormat/>
    <w:uiPriority w:val="0"/>
    <w:rPr>
      <w:color w:val="000000"/>
      <w:sz w:val="24"/>
      <w:szCs w:val="24"/>
    </w:rPr>
  </w:style>
  <w:style w:type="character" w:customStyle="1" w:styleId="2055">
    <w:name w:val="正 Char"/>
    <w:qFormat/>
    <w:uiPriority w:val="0"/>
    <w:rPr>
      <w:rFonts w:ascii="Times New Roman" w:hAnsi="Times New Roman" w:cs="宋体"/>
      <w:kern w:val="2"/>
      <w:sz w:val="24"/>
    </w:rPr>
  </w:style>
  <w:style w:type="paragraph" w:customStyle="1" w:styleId="2056">
    <w:name w:val="样式 标题 3一、样式 +"/>
    <w:basedOn w:val="4"/>
    <w:link w:val="2057"/>
    <w:autoRedefine/>
    <w:qFormat/>
    <w:uiPriority w:val="0"/>
    <w:pPr>
      <w:keepLines w:val="0"/>
      <w:adjustRightInd w:val="0"/>
      <w:snapToGrid w:val="0"/>
      <w:spacing w:beforeLines="0" w:afterLines="0"/>
    </w:pPr>
    <w:rPr>
      <w:bCs w:val="0"/>
      <w:sz w:val="24"/>
      <w:szCs w:val="24"/>
    </w:rPr>
  </w:style>
  <w:style w:type="character" w:customStyle="1" w:styleId="2057">
    <w:name w:val="样式 标题 3一、样式 + Char"/>
    <w:link w:val="2056"/>
    <w:qFormat/>
    <w:uiPriority w:val="0"/>
    <w:rPr>
      <w:b/>
      <w:sz w:val="24"/>
      <w:szCs w:val="24"/>
    </w:rPr>
  </w:style>
  <w:style w:type="paragraph" w:customStyle="1" w:styleId="2058">
    <w:name w:val="标题411"/>
    <w:basedOn w:val="1"/>
    <w:autoRedefine/>
    <w:semiHidden/>
    <w:qFormat/>
    <w:uiPriority w:val="0"/>
    <w:pPr>
      <w:spacing w:line="360" w:lineRule="auto"/>
      <w:ind w:firstLine="200" w:firstLineChars="200"/>
    </w:pPr>
  </w:style>
  <w:style w:type="paragraph" w:customStyle="1" w:styleId="2059">
    <w:name w:val="4 Char"/>
    <w:basedOn w:val="1"/>
    <w:qFormat/>
    <w:uiPriority w:val="0"/>
    <w:rPr>
      <w:sz w:val="28"/>
      <w:szCs w:val="20"/>
    </w:rPr>
  </w:style>
  <w:style w:type="paragraph" w:customStyle="1" w:styleId="2060">
    <w:name w:val="reader-word-layer reader-word-s39-2"/>
    <w:basedOn w:val="1"/>
    <w:qFormat/>
    <w:uiPriority w:val="0"/>
    <w:pPr>
      <w:spacing w:before="100" w:beforeAutospacing="1" w:after="100" w:afterAutospacing="1"/>
    </w:pPr>
  </w:style>
  <w:style w:type="paragraph" w:customStyle="1" w:styleId="2061">
    <w:name w:val="reader-word-layer reader-word-s40-3"/>
    <w:basedOn w:val="1"/>
    <w:qFormat/>
    <w:uiPriority w:val="0"/>
    <w:pPr>
      <w:spacing w:before="100" w:beforeAutospacing="1" w:after="100" w:afterAutospacing="1"/>
    </w:pPr>
  </w:style>
  <w:style w:type="paragraph" w:customStyle="1" w:styleId="2062">
    <w:name w:val="reader-word-layer reader-word-s40-1"/>
    <w:basedOn w:val="1"/>
    <w:qFormat/>
    <w:uiPriority w:val="0"/>
    <w:pPr>
      <w:spacing w:before="100" w:beforeAutospacing="1" w:after="100" w:afterAutospacing="1"/>
    </w:pPr>
  </w:style>
  <w:style w:type="paragraph" w:customStyle="1" w:styleId="2063">
    <w:name w:val="样式 样式 正文缩进 + 行距: 1.5 倍行距 + 首行缩进:  2 字符"/>
    <w:basedOn w:val="1"/>
    <w:qFormat/>
    <w:uiPriority w:val="0"/>
    <w:pPr>
      <w:adjustRightInd w:val="0"/>
      <w:snapToGrid w:val="0"/>
      <w:spacing w:line="360" w:lineRule="auto"/>
      <w:ind w:firstLine="200" w:firstLineChars="200"/>
    </w:pPr>
    <w:rPr>
      <w:sz w:val="28"/>
      <w:szCs w:val="20"/>
    </w:rPr>
  </w:style>
  <w:style w:type="character" w:customStyle="1" w:styleId="2064">
    <w:name w:val="章标题(有序号) Char"/>
    <w:qFormat/>
    <w:uiPriority w:val="0"/>
    <w:rPr>
      <w:rFonts w:eastAsia="黑体"/>
      <w:b/>
      <w:sz w:val="44"/>
      <w:lang w:val="zh-CN"/>
    </w:rPr>
  </w:style>
  <w:style w:type="character" w:customStyle="1" w:styleId="2065">
    <w:name w:val="标题1 Char Char"/>
    <w:qFormat/>
    <w:uiPriority w:val="0"/>
    <w:rPr>
      <w:rFonts w:ascii="Cambria" w:hAnsi="Cambria" w:eastAsia="黑体"/>
      <w:b/>
      <w:bCs/>
      <w:kern w:val="2"/>
      <w:sz w:val="44"/>
      <w:szCs w:val="32"/>
    </w:rPr>
  </w:style>
  <w:style w:type="character" w:customStyle="1" w:styleId="2066">
    <w:name w:val="不明显参考1"/>
    <w:qFormat/>
    <w:uiPriority w:val="0"/>
    <w:rPr>
      <w:smallCaps/>
      <w:color w:val="C0504D"/>
      <w:u w:val="single"/>
    </w:rPr>
  </w:style>
  <w:style w:type="character" w:customStyle="1" w:styleId="2067">
    <w:name w:val="明显参考1"/>
    <w:qFormat/>
    <w:uiPriority w:val="0"/>
    <w:rPr>
      <w:b/>
      <w:bCs/>
      <w:smallCaps/>
      <w:color w:val="C0504D"/>
      <w:spacing w:val="5"/>
      <w:u w:val="single"/>
    </w:rPr>
  </w:style>
  <w:style w:type="character" w:customStyle="1" w:styleId="2068">
    <w:name w:val="书籍标题1"/>
    <w:qFormat/>
    <w:uiPriority w:val="0"/>
    <w:rPr>
      <w:b/>
      <w:bCs/>
      <w:smallCaps/>
      <w:spacing w:val="5"/>
    </w:rPr>
  </w:style>
  <w:style w:type="paragraph" w:customStyle="1" w:styleId="2069">
    <w:name w:val="样式 标题2 + 段前: 0.5 行"/>
    <w:basedOn w:val="3"/>
    <w:autoRedefine/>
    <w:qFormat/>
    <w:uiPriority w:val="0"/>
    <w:pPr>
      <w:adjustRightInd w:val="0"/>
      <w:snapToGrid w:val="0"/>
      <w:spacing w:beforeLines="100" w:afterLines="0"/>
    </w:pPr>
    <w:rPr>
      <w:rFonts w:eastAsia="黑体"/>
      <w:szCs w:val="20"/>
      <w:lang w:val="zh-CN"/>
    </w:rPr>
  </w:style>
  <w:style w:type="paragraph" w:customStyle="1" w:styleId="2070">
    <w:name w:val="标题40"/>
    <w:basedOn w:val="196"/>
    <w:link w:val="2071"/>
    <w:qFormat/>
    <w:uiPriority w:val="0"/>
    <w:pPr>
      <w:tabs>
        <w:tab w:val="clear" w:pos="360"/>
      </w:tabs>
      <w:spacing w:line="360" w:lineRule="auto"/>
      <w:ind w:left="0" w:right="0" w:firstLine="0"/>
      <w:outlineLvl w:val="9"/>
    </w:pPr>
    <w:rPr>
      <w:rFonts w:ascii="Times New Roman" w:eastAsia="宋体"/>
      <w:sz w:val="28"/>
      <w:szCs w:val="24"/>
    </w:rPr>
  </w:style>
  <w:style w:type="character" w:customStyle="1" w:styleId="2071">
    <w:name w:val="标题40 Char"/>
    <w:link w:val="2070"/>
    <w:qFormat/>
    <w:uiPriority w:val="0"/>
    <w:rPr>
      <w:b/>
      <w:kern w:val="2"/>
      <w:sz w:val="28"/>
      <w:szCs w:val="24"/>
    </w:rPr>
  </w:style>
  <w:style w:type="character" w:customStyle="1" w:styleId="2072">
    <w:name w:val="目录 1 Char"/>
    <w:link w:val="58"/>
    <w:qFormat/>
    <w:uiPriority w:val="39"/>
    <w:rPr>
      <w:rFonts w:asciiTheme="minorHAnsi" w:hAnsiTheme="minorHAnsi" w:cstheme="minorHAnsi"/>
      <w:b/>
      <w:bCs/>
      <w:caps/>
    </w:rPr>
  </w:style>
  <w:style w:type="table" w:customStyle="1" w:styleId="2073">
    <w:name w:val="网格型2"/>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74">
    <w:name w:val="网格型4"/>
    <w:basedOn w:val="8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75">
    <w:name w:val="表题 Char Char"/>
    <w:qFormat/>
    <w:uiPriority w:val="0"/>
    <w:rPr>
      <w:rFonts w:ascii="宋体" w:hAnsi="宋体" w:eastAsia="宋体"/>
      <w:b/>
      <w:snapToGrid w:val="0"/>
      <w:sz w:val="24"/>
      <w:szCs w:val="24"/>
      <w:lang w:val="en-US" w:eastAsia="zh-CN" w:bidi="ar-SA"/>
    </w:rPr>
  </w:style>
  <w:style w:type="paragraph" w:customStyle="1" w:styleId="2076">
    <w:name w:val="p17"/>
    <w:basedOn w:val="1"/>
    <w:qFormat/>
    <w:uiPriority w:val="0"/>
    <w:rPr>
      <w:szCs w:val="21"/>
    </w:rPr>
  </w:style>
  <w:style w:type="paragraph" w:customStyle="1" w:styleId="2077">
    <w:name w:val="p16"/>
    <w:basedOn w:val="1"/>
    <w:qFormat/>
    <w:uiPriority w:val="0"/>
    <w:pPr>
      <w:spacing w:after="120"/>
      <w:ind w:left="420" w:firstLine="420"/>
    </w:pPr>
    <w:rPr>
      <w:sz w:val="20"/>
      <w:szCs w:val="20"/>
    </w:rPr>
  </w:style>
  <w:style w:type="character" w:customStyle="1" w:styleId="2078">
    <w:name w:val="页码1"/>
    <w:basedOn w:val="132"/>
    <w:qFormat/>
    <w:uiPriority w:val="0"/>
  </w:style>
  <w:style w:type="paragraph" w:customStyle="1" w:styleId="2079">
    <w:name w:val="页脚2"/>
    <w:basedOn w:val="1"/>
    <w:qFormat/>
    <w:uiPriority w:val="0"/>
    <w:pPr>
      <w:tabs>
        <w:tab w:val="center" w:pos="4153"/>
        <w:tab w:val="right" w:pos="8306"/>
      </w:tabs>
      <w:snapToGrid w:val="0"/>
      <w:ind w:firstLine="602" w:firstLineChars="200"/>
    </w:pPr>
    <w:rPr>
      <w:sz w:val="18"/>
      <w:szCs w:val="20"/>
    </w:rPr>
  </w:style>
  <w:style w:type="character" w:customStyle="1" w:styleId="2080">
    <w:name w:val="acee正文 Char1"/>
    <w:link w:val="2081"/>
    <w:qFormat/>
    <w:uiPriority w:val="0"/>
    <w:rPr>
      <w:rFonts w:ascii="宋体" w:hAnsi="宋体"/>
      <w:kern w:val="2"/>
      <w:sz w:val="32"/>
    </w:rPr>
  </w:style>
  <w:style w:type="paragraph" w:customStyle="1" w:styleId="2081">
    <w:name w:val="acee正文"/>
    <w:basedOn w:val="1"/>
    <w:link w:val="2080"/>
    <w:qFormat/>
    <w:uiPriority w:val="0"/>
    <w:pPr>
      <w:tabs>
        <w:tab w:val="left" w:pos="4500"/>
      </w:tabs>
      <w:adjustRightInd w:val="0"/>
      <w:snapToGrid w:val="0"/>
      <w:spacing w:line="480" w:lineRule="exact"/>
    </w:pPr>
    <w:rPr>
      <w:sz w:val="32"/>
      <w:szCs w:val="20"/>
    </w:rPr>
  </w:style>
  <w:style w:type="paragraph" w:customStyle="1" w:styleId="2082">
    <w:name w:val="acee01"/>
    <w:basedOn w:val="1"/>
    <w:autoRedefine/>
    <w:qFormat/>
    <w:uiPriority w:val="0"/>
    <w:pPr>
      <w:adjustRightInd w:val="0"/>
      <w:snapToGrid w:val="0"/>
      <w:spacing w:line="480" w:lineRule="exact"/>
      <w:ind w:firstLine="560" w:firstLineChars="200"/>
      <w:outlineLvl w:val="0"/>
    </w:pPr>
    <w:rPr>
      <w:bCs/>
      <w:color w:val="000000"/>
      <w:sz w:val="28"/>
      <w:szCs w:val="28"/>
    </w:rPr>
  </w:style>
  <w:style w:type="paragraph" w:customStyle="1" w:styleId="2083">
    <w:name w:val="样式 标题 2W2 + 加粗 左侧:  0 厘米"/>
    <w:basedOn w:val="3"/>
    <w:qFormat/>
    <w:uiPriority w:val="0"/>
    <w:pPr>
      <w:spacing w:beforeLines="0" w:afterLines="0" w:line="440" w:lineRule="exact"/>
    </w:pPr>
    <w:rPr>
      <w:rFonts w:eastAsia="黑体"/>
      <w:snapToGrid w:val="0"/>
      <w:kern w:val="28"/>
      <w:szCs w:val="20"/>
    </w:rPr>
  </w:style>
  <w:style w:type="paragraph" w:customStyle="1" w:styleId="2084">
    <w:name w:val="_Style 6"/>
    <w:basedOn w:val="1"/>
    <w:next w:val="1"/>
    <w:qFormat/>
    <w:uiPriority w:val="0"/>
    <w:pPr>
      <w:spacing w:line="360" w:lineRule="auto"/>
      <w:ind w:firstLine="200" w:firstLineChars="200"/>
    </w:pPr>
  </w:style>
  <w:style w:type="paragraph" w:customStyle="1" w:styleId="2085">
    <w:name w:val="a-表内"/>
    <w:link w:val="2086"/>
    <w:qFormat/>
    <w:uiPriority w:val="0"/>
    <w:pPr>
      <w:adjustRightInd w:val="0"/>
      <w:snapToGrid w:val="0"/>
      <w:jc w:val="center"/>
    </w:pPr>
    <w:rPr>
      <w:rFonts w:ascii="Times New Roman" w:hAnsi="Times New Roman" w:eastAsia="宋体" w:cs="Times New Roman"/>
      <w:color w:val="000000"/>
      <w:sz w:val="21"/>
      <w:szCs w:val="21"/>
      <w:lang w:val="en-US" w:eastAsia="zh-CN" w:bidi="ar-SA"/>
    </w:rPr>
  </w:style>
  <w:style w:type="character" w:customStyle="1" w:styleId="2086">
    <w:name w:val="a-表内 Char"/>
    <w:link w:val="2085"/>
    <w:qFormat/>
    <w:uiPriority w:val="0"/>
    <w:rPr>
      <w:color w:val="000000"/>
      <w:sz w:val="21"/>
      <w:szCs w:val="21"/>
      <w:lang w:bidi="ar-SA"/>
    </w:rPr>
  </w:style>
  <w:style w:type="character" w:customStyle="1" w:styleId="2087">
    <w:name w:val="Char5 Char2"/>
    <w:qFormat/>
    <w:uiPriority w:val="0"/>
    <w:rPr>
      <w:rFonts w:eastAsia="宋体"/>
      <w:kern w:val="2"/>
      <w:sz w:val="28"/>
      <w:lang w:val="en-US" w:eastAsia="zh-CN" w:bidi="ar-SA"/>
    </w:rPr>
  </w:style>
  <w:style w:type="character" w:customStyle="1" w:styleId="2088">
    <w:name w:val="Char4 Char2"/>
    <w:qFormat/>
    <w:uiPriority w:val="0"/>
    <w:rPr>
      <w:rFonts w:eastAsia="宋体"/>
      <w:sz w:val="21"/>
      <w:lang w:val="en-US" w:eastAsia="zh-CN" w:bidi="ar-SA"/>
    </w:rPr>
  </w:style>
  <w:style w:type="character" w:customStyle="1" w:styleId="2089">
    <w:name w:val="页眉 Char Char2"/>
    <w:qFormat/>
    <w:uiPriority w:val="0"/>
    <w:rPr>
      <w:rFonts w:eastAsia="宋体"/>
      <w:kern w:val="2"/>
      <w:sz w:val="18"/>
      <w:szCs w:val="18"/>
      <w:lang w:val="en-US" w:eastAsia="zh-CN" w:bidi="ar-SA"/>
    </w:rPr>
  </w:style>
  <w:style w:type="character" w:customStyle="1" w:styleId="2090">
    <w:name w:val="Char3 Char2"/>
    <w:qFormat/>
    <w:uiPriority w:val="0"/>
    <w:rPr>
      <w:rFonts w:ascii="宋体" w:hAnsi="宋体" w:eastAsia="宋体"/>
      <w:b/>
      <w:bCs/>
      <w:color w:val="000000"/>
      <w:kern w:val="2"/>
      <w:sz w:val="24"/>
      <w:szCs w:val="24"/>
      <w:lang w:val="en-US" w:eastAsia="zh-CN" w:bidi="ar-SA"/>
    </w:rPr>
  </w:style>
  <w:style w:type="character" w:customStyle="1" w:styleId="2091">
    <w:name w:val="body text Char2"/>
    <w:qFormat/>
    <w:uiPriority w:val="0"/>
    <w:rPr>
      <w:rFonts w:eastAsia="宋体"/>
      <w:kern w:val="2"/>
      <w:sz w:val="21"/>
      <w:szCs w:val="24"/>
      <w:lang w:val="en-US" w:eastAsia="zh-CN" w:bidi="ar-SA"/>
    </w:rPr>
  </w:style>
  <w:style w:type="character" w:customStyle="1" w:styleId="2092">
    <w:name w:val="目标题 1) Char2"/>
    <w:qFormat/>
    <w:uiPriority w:val="0"/>
    <w:rPr>
      <w:rFonts w:ascii="Arial" w:hAnsi="Arial" w:eastAsia="黑体"/>
      <w:kern w:val="2"/>
      <w:sz w:val="24"/>
      <w:szCs w:val="24"/>
      <w:lang w:val="en-US" w:eastAsia="zh-CN" w:bidi="ar-SA"/>
    </w:rPr>
  </w:style>
  <w:style w:type="character" w:customStyle="1" w:styleId="2093">
    <w:name w:val="正文文字缩进 2 Char Char3"/>
    <w:qFormat/>
    <w:uiPriority w:val="0"/>
    <w:rPr>
      <w:rFonts w:eastAsia="宋体"/>
      <w:bCs/>
      <w:sz w:val="24"/>
      <w:lang w:val="en-US" w:eastAsia="zh-CN" w:bidi="ar-SA"/>
    </w:rPr>
  </w:style>
  <w:style w:type="character" w:customStyle="1" w:styleId="2094">
    <w:name w:val="标题1.1.1.1.1 Char2"/>
    <w:qFormat/>
    <w:uiPriority w:val="0"/>
    <w:rPr>
      <w:rFonts w:ascii="宋体" w:eastAsia="宋体"/>
      <w:b/>
      <w:kern w:val="2"/>
      <w:sz w:val="28"/>
      <w:szCs w:val="24"/>
      <w:lang w:val="en-US" w:eastAsia="zh-CN" w:bidi="ar-SA"/>
    </w:rPr>
  </w:style>
  <w:style w:type="character" w:customStyle="1" w:styleId="2095">
    <w:name w:val="标题1.1.1.1.1.1 Char1"/>
    <w:qFormat/>
    <w:uiPriority w:val="0"/>
    <w:rPr>
      <w:rFonts w:ascii="Arial" w:hAnsi="Arial" w:eastAsia="黑体"/>
      <w:b/>
      <w:kern w:val="2"/>
      <w:sz w:val="24"/>
      <w:szCs w:val="24"/>
      <w:lang w:val="en-US" w:eastAsia="zh-CN" w:bidi="ar-SA"/>
    </w:rPr>
  </w:style>
  <w:style w:type="character" w:customStyle="1" w:styleId="2096">
    <w:name w:val="干标题(a) Char2"/>
    <w:qFormat/>
    <w:uiPriority w:val="0"/>
    <w:rPr>
      <w:rFonts w:ascii="Arial" w:hAnsi="Arial" w:eastAsia="黑体"/>
      <w:kern w:val="2"/>
      <w:sz w:val="21"/>
      <w:szCs w:val="24"/>
      <w:lang w:val="en-US" w:eastAsia="zh-CN" w:bidi="ar-SA"/>
    </w:rPr>
  </w:style>
  <w:style w:type="character" w:customStyle="1" w:styleId="2097">
    <w:name w:val="项标题(1) Char3"/>
    <w:qFormat/>
    <w:uiPriority w:val="0"/>
    <w:rPr>
      <w:rFonts w:ascii="宋体" w:eastAsia="宋体"/>
      <w:b/>
      <w:kern w:val="2"/>
      <w:sz w:val="24"/>
      <w:szCs w:val="24"/>
      <w:lang w:val="en-US" w:eastAsia="zh-CN" w:bidi="ar-SA"/>
    </w:rPr>
  </w:style>
  <w:style w:type="character" w:customStyle="1" w:styleId="2098">
    <w:name w:val="正文文字 3 Char Char"/>
    <w:qFormat/>
    <w:uiPriority w:val="0"/>
    <w:rPr>
      <w:rFonts w:eastAsia="宋体"/>
      <w:kern w:val="2"/>
      <w:sz w:val="28"/>
      <w:lang w:val="en-US" w:eastAsia="zh-CN" w:bidi="ar-SA"/>
    </w:rPr>
  </w:style>
  <w:style w:type="character" w:customStyle="1" w:styleId="2099">
    <w:name w:val="引用 Char1"/>
    <w:qFormat/>
    <w:uiPriority w:val="0"/>
    <w:rPr>
      <w:rFonts w:ascii="Calibri" w:hAnsi="Calibri" w:eastAsia="宋体"/>
      <w:i/>
      <w:sz w:val="24"/>
      <w:szCs w:val="24"/>
      <w:lang w:val="en-US" w:eastAsia="en-US" w:bidi="en-US"/>
    </w:rPr>
  </w:style>
  <w:style w:type="character" w:customStyle="1" w:styleId="2100">
    <w:name w:val="明显引用 Char1"/>
    <w:qFormat/>
    <w:uiPriority w:val="0"/>
    <w:rPr>
      <w:rFonts w:ascii="Calibri" w:hAnsi="Calibri" w:eastAsia="宋体"/>
      <w:b/>
      <w:i/>
      <w:sz w:val="24"/>
      <w:szCs w:val="22"/>
      <w:lang w:val="en-US" w:eastAsia="en-US" w:bidi="en-US"/>
    </w:rPr>
  </w:style>
  <w:style w:type="character" w:customStyle="1" w:styleId="2101">
    <w:name w:val="无间隔 Char1"/>
    <w:qFormat/>
    <w:uiPriority w:val="0"/>
    <w:rPr>
      <w:rFonts w:ascii="Calibri" w:hAnsi="Calibri" w:eastAsia="Times New Roman"/>
      <w:kern w:val="2"/>
      <w:sz w:val="22"/>
      <w:lang w:val="en-US" w:eastAsia="zh-CN" w:bidi="ar-SA"/>
    </w:rPr>
  </w:style>
  <w:style w:type="character" w:customStyle="1" w:styleId="2102">
    <w:name w:val="正文文字缩进 31 Char1"/>
    <w:qFormat/>
    <w:uiPriority w:val="0"/>
    <w:rPr>
      <w:rFonts w:eastAsia="宋体"/>
      <w:kern w:val="2"/>
      <w:sz w:val="24"/>
      <w:lang w:val="en-US" w:eastAsia="zh-CN" w:bidi="ar-SA"/>
    </w:rPr>
  </w:style>
  <w:style w:type="character" w:customStyle="1" w:styleId="2103">
    <w:name w:val="页眉 Char Char3"/>
    <w:qFormat/>
    <w:uiPriority w:val="0"/>
    <w:rPr>
      <w:rFonts w:eastAsia="宋体"/>
      <w:kern w:val="2"/>
      <w:sz w:val="18"/>
      <w:szCs w:val="18"/>
      <w:lang w:val="en-US" w:eastAsia="zh-CN" w:bidi="ar-SA"/>
    </w:rPr>
  </w:style>
  <w:style w:type="character" w:customStyle="1" w:styleId="2104">
    <w:name w:val="Char3 Char3"/>
    <w:qFormat/>
    <w:uiPriority w:val="0"/>
    <w:rPr>
      <w:rFonts w:eastAsia="宋体"/>
      <w:kern w:val="2"/>
      <w:sz w:val="18"/>
      <w:szCs w:val="18"/>
      <w:lang w:val="en-US" w:eastAsia="zh-CN" w:bidi="ar-SA"/>
    </w:rPr>
  </w:style>
  <w:style w:type="character" w:customStyle="1" w:styleId="2105">
    <w:name w:val="干标题(a) Char3"/>
    <w:qFormat/>
    <w:uiPriority w:val="0"/>
    <w:rPr>
      <w:rFonts w:ascii="Arial" w:hAnsi="Arial" w:eastAsia="黑体"/>
      <w:kern w:val="2"/>
      <w:sz w:val="21"/>
      <w:lang w:val="en-US" w:eastAsia="zh-CN" w:bidi="ar-SA"/>
    </w:rPr>
  </w:style>
  <w:style w:type="character" w:customStyle="1" w:styleId="2106">
    <w:name w:val="Char5 Char3"/>
    <w:qFormat/>
    <w:uiPriority w:val="0"/>
    <w:rPr>
      <w:rFonts w:eastAsia="宋体"/>
      <w:kern w:val="2"/>
      <w:sz w:val="28"/>
      <w:lang w:val="en-US" w:eastAsia="zh-CN" w:bidi="ar-SA"/>
    </w:rPr>
  </w:style>
  <w:style w:type="character" w:customStyle="1" w:styleId="2107">
    <w:name w:val="Char4 Char3"/>
    <w:qFormat/>
    <w:uiPriority w:val="0"/>
    <w:rPr>
      <w:rFonts w:ascii="宋体" w:hAnsi="宋体"/>
      <w:color w:val="000000"/>
      <w:kern w:val="2"/>
      <w:sz w:val="24"/>
      <w:szCs w:val="24"/>
      <w:lang w:bidi="ar-SA"/>
    </w:rPr>
  </w:style>
  <w:style w:type="character" w:customStyle="1" w:styleId="2108">
    <w:name w:val="Footer1 Char4"/>
    <w:qFormat/>
    <w:uiPriority w:val="0"/>
    <w:rPr>
      <w:rFonts w:eastAsia="宋体"/>
      <w:kern w:val="2"/>
      <w:sz w:val="18"/>
      <w:szCs w:val="18"/>
      <w:lang w:val="en-US" w:eastAsia="zh-CN" w:bidi="ar-SA"/>
    </w:rPr>
  </w:style>
  <w:style w:type="character" w:customStyle="1" w:styleId="2109">
    <w:name w:val="标题1.1.1.1.1 Char3"/>
    <w:qFormat/>
    <w:uiPriority w:val="0"/>
    <w:rPr>
      <w:rFonts w:ascii="新宋体" w:hAnsi="新宋体" w:eastAsia="仿宋_GB2312"/>
      <w:b/>
      <w:kern w:val="2"/>
      <w:sz w:val="28"/>
      <w:lang w:val="en-US" w:eastAsia="zh-CN" w:bidi="ar-SA"/>
    </w:rPr>
  </w:style>
  <w:style w:type="character" w:customStyle="1" w:styleId="2110">
    <w:name w:val="标题1.1.1.1.1.1 Char2"/>
    <w:qFormat/>
    <w:uiPriority w:val="0"/>
    <w:rPr>
      <w:rFonts w:ascii="Arial" w:hAnsi="Arial" w:eastAsia="黑体"/>
      <w:b/>
      <w:kern w:val="2"/>
      <w:sz w:val="24"/>
      <w:lang w:val="en-US" w:eastAsia="zh-CN" w:bidi="ar-SA"/>
    </w:rPr>
  </w:style>
  <w:style w:type="character" w:customStyle="1" w:styleId="2111">
    <w:name w:val="项标题(1) Char4"/>
    <w:qFormat/>
    <w:uiPriority w:val="0"/>
    <w:rPr>
      <w:rFonts w:ascii="新宋体" w:hAnsi="新宋体" w:eastAsia="仿宋_GB2312"/>
      <w:b/>
      <w:kern w:val="2"/>
      <w:sz w:val="24"/>
      <w:lang w:val="en-US" w:eastAsia="zh-CN" w:bidi="ar-SA"/>
    </w:rPr>
  </w:style>
  <w:style w:type="character" w:customStyle="1" w:styleId="2112">
    <w:name w:val="目标题 1) Char3"/>
    <w:qFormat/>
    <w:uiPriority w:val="0"/>
    <w:rPr>
      <w:rFonts w:ascii="Arial" w:hAnsi="Arial" w:eastAsia="黑体"/>
      <w:kern w:val="2"/>
      <w:sz w:val="24"/>
      <w:lang w:val="en-US" w:eastAsia="zh-CN" w:bidi="ar-SA"/>
    </w:rPr>
  </w:style>
  <w:style w:type="character" w:customStyle="1" w:styleId="2113">
    <w:name w:val="正文文字缩进 2 Char Char4"/>
    <w:qFormat/>
    <w:uiPriority w:val="0"/>
    <w:rPr>
      <w:rFonts w:ascii="宋体" w:hAnsi="宋体" w:eastAsia="宋体"/>
      <w:sz w:val="28"/>
      <w:lang w:val="en-US" w:eastAsia="zh-CN" w:bidi="ar-SA"/>
    </w:rPr>
  </w:style>
  <w:style w:type="character" w:customStyle="1" w:styleId="2114">
    <w:name w:val="正文文字 3 Char Char1"/>
    <w:qFormat/>
    <w:uiPriority w:val="0"/>
    <w:rPr>
      <w:rFonts w:ascii="仿宋_GB2312" w:hAnsi="宋体" w:eastAsia="宋体"/>
      <w:kern w:val="2"/>
      <w:sz w:val="24"/>
      <w:szCs w:val="24"/>
      <w:lang w:val="en-US" w:eastAsia="zh-CN" w:bidi="ar-SA"/>
    </w:rPr>
  </w:style>
  <w:style w:type="character" w:customStyle="1" w:styleId="2115">
    <w:name w:val="正文首行缩进 Char1 Char Char4"/>
    <w:qFormat/>
    <w:uiPriority w:val="0"/>
    <w:rPr>
      <w:rFonts w:ascii="新宋体" w:hAnsi="新宋体" w:eastAsia="仿宋_GB2312"/>
      <w:kern w:val="2"/>
      <w:sz w:val="28"/>
      <w:lang w:val="en-US" w:eastAsia="zh-CN" w:bidi="ar-SA"/>
    </w:rPr>
  </w:style>
  <w:style w:type="character" w:customStyle="1" w:styleId="2116">
    <w:name w:val="正文缩进1 Char3"/>
    <w:qFormat/>
    <w:uiPriority w:val="0"/>
    <w:rPr>
      <w:rFonts w:eastAsia="宋体"/>
      <w:kern w:val="2"/>
      <w:sz w:val="21"/>
      <w:szCs w:val="24"/>
      <w:lang w:val="en-US" w:eastAsia="zh-CN" w:bidi="ar-SA"/>
    </w:rPr>
  </w:style>
  <w:style w:type="character" w:customStyle="1" w:styleId="2117">
    <w:name w:val="页眉 Char Char4"/>
    <w:qFormat/>
    <w:uiPriority w:val="0"/>
    <w:rPr>
      <w:rFonts w:eastAsia="宋体"/>
      <w:kern w:val="2"/>
      <w:sz w:val="18"/>
      <w:szCs w:val="18"/>
      <w:lang w:val="en-US" w:eastAsia="zh-CN" w:bidi="ar-SA"/>
    </w:rPr>
  </w:style>
  <w:style w:type="character" w:customStyle="1" w:styleId="2118">
    <w:name w:val="Char3 Char4"/>
    <w:qFormat/>
    <w:uiPriority w:val="0"/>
    <w:rPr>
      <w:rFonts w:eastAsia="宋体"/>
      <w:kern w:val="2"/>
      <w:sz w:val="18"/>
      <w:szCs w:val="18"/>
      <w:lang w:val="en-US" w:eastAsia="zh-CN" w:bidi="ar-SA"/>
    </w:rPr>
  </w:style>
  <w:style w:type="character" w:customStyle="1" w:styleId="2119">
    <w:name w:val="干标题(a) Char4"/>
    <w:qFormat/>
    <w:uiPriority w:val="0"/>
    <w:rPr>
      <w:rFonts w:ascii="Arial" w:hAnsi="Arial" w:eastAsia="黑体"/>
      <w:kern w:val="2"/>
      <w:sz w:val="21"/>
      <w:lang w:val="en-US" w:eastAsia="zh-CN" w:bidi="ar-SA"/>
    </w:rPr>
  </w:style>
  <w:style w:type="character" w:customStyle="1" w:styleId="2120">
    <w:name w:val="Char5 Char4"/>
    <w:qFormat/>
    <w:uiPriority w:val="0"/>
    <w:rPr>
      <w:rFonts w:eastAsia="宋体"/>
      <w:kern w:val="2"/>
      <w:sz w:val="28"/>
      <w:lang w:val="en-US" w:eastAsia="zh-CN" w:bidi="ar-SA"/>
    </w:rPr>
  </w:style>
  <w:style w:type="character" w:customStyle="1" w:styleId="2121">
    <w:name w:val="Char4 Char4"/>
    <w:qFormat/>
    <w:uiPriority w:val="0"/>
    <w:rPr>
      <w:rFonts w:ascii="宋体" w:hAnsi="宋体"/>
      <w:color w:val="000000"/>
      <w:kern w:val="2"/>
      <w:sz w:val="24"/>
      <w:szCs w:val="24"/>
      <w:lang w:bidi="ar-SA"/>
    </w:rPr>
  </w:style>
  <w:style w:type="character" w:customStyle="1" w:styleId="2122">
    <w:name w:val="Footer1 Char5"/>
    <w:qFormat/>
    <w:uiPriority w:val="0"/>
    <w:rPr>
      <w:rFonts w:eastAsia="宋体"/>
      <w:kern w:val="2"/>
      <w:sz w:val="18"/>
      <w:szCs w:val="18"/>
      <w:lang w:val="en-US" w:eastAsia="zh-CN" w:bidi="ar-SA"/>
    </w:rPr>
  </w:style>
  <w:style w:type="character" w:customStyle="1" w:styleId="2123">
    <w:name w:val="标题1.1.1.1.1 Char4"/>
    <w:qFormat/>
    <w:uiPriority w:val="0"/>
    <w:rPr>
      <w:rFonts w:ascii="新宋体" w:hAnsi="新宋体" w:eastAsia="仿宋_GB2312"/>
      <w:b/>
      <w:kern w:val="2"/>
      <w:sz w:val="28"/>
      <w:lang w:val="en-US" w:eastAsia="zh-CN" w:bidi="ar-SA"/>
    </w:rPr>
  </w:style>
  <w:style w:type="character" w:customStyle="1" w:styleId="2124">
    <w:name w:val="标题1.1.1.1.1.1 Char3"/>
    <w:qFormat/>
    <w:uiPriority w:val="0"/>
    <w:rPr>
      <w:rFonts w:ascii="Arial" w:hAnsi="Arial" w:eastAsia="黑体"/>
      <w:b/>
      <w:kern w:val="2"/>
      <w:sz w:val="24"/>
      <w:lang w:val="en-US" w:eastAsia="zh-CN" w:bidi="ar-SA"/>
    </w:rPr>
  </w:style>
  <w:style w:type="character" w:customStyle="1" w:styleId="2125">
    <w:name w:val="项标题(1) Char5"/>
    <w:qFormat/>
    <w:uiPriority w:val="0"/>
    <w:rPr>
      <w:rFonts w:ascii="新宋体" w:hAnsi="新宋体" w:eastAsia="仿宋_GB2312"/>
      <w:b/>
      <w:kern w:val="2"/>
      <w:sz w:val="24"/>
      <w:lang w:val="en-US" w:eastAsia="zh-CN" w:bidi="ar-SA"/>
    </w:rPr>
  </w:style>
  <w:style w:type="character" w:customStyle="1" w:styleId="2126">
    <w:name w:val="目标题 1) Char4"/>
    <w:qFormat/>
    <w:uiPriority w:val="0"/>
    <w:rPr>
      <w:rFonts w:ascii="Arial" w:hAnsi="Arial" w:eastAsia="黑体"/>
      <w:kern w:val="2"/>
      <w:sz w:val="24"/>
      <w:lang w:val="en-US" w:eastAsia="zh-CN" w:bidi="ar-SA"/>
    </w:rPr>
  </w:style>
  <w:style w:type="character" w:customStyle="1" w:styleId="2127">
    <w:name w:val="正文文字缩进 2 Char Char5"/>
    <w:qFormat/>
    <w:uiPriority w:val="0"/>
    <w:rPr>
      <w:rFonts w:ascii="宋体" w:hAnsi="宋体" w:eastAsia="宋体"/>
      <w:sz w:val="28"/>
      <w:lang w:val="en-US" w:eastAsia="zh-CN" w:bidi="ar-SA"/>
    </w:rPr>
  </w:style>
  <w:style w:type="character" w:customStyle="1" w:styleId="2128">
    <w:name w:val="正文文字 3 Char Char2"/>
    <w:qFormat/>
    <w:uiPriority w:val="0"/>
    <w:rPr>
      <w:rFonts w:ascii="仿宋_GB2312" w:hAnsi="宋体" w:eastAsia="宋体"/>
      <w:kern w:val="2"/>
      <w:sz w:val="24"/>
      <w:szCs w:val="24"/>
      <w:lang w:val="en-US" w:eastAsia="zh-CN" w:bidi="ar-SA"/>
    </w:rPr>
  </w:style>
  <w:style w:type="character" w:customStyle="1" w:styleId="2129">
    <w:name w:val="正文首行缩进 Char1 Char Char5"/>
    <w:qFormat/>
    <w:uiPriority w:val="0"/>
    <w:rPr>
      <w:rFonts w:ascii="新宋体" w:hAnsi="新宋体" w:eastAsia="仿宋_GB2312"/>
      <w:kern w:val="2"/>
      <w:sz w:val="28"/>
      <w:lang w:val="en-US" w:eastAsia="zh-CN" w:bidi="ar-SA"/>
    </w:rPr>
  </w:style>
  <w:style w:type="paragraph" w:customStyle="1" w:styleId="2130">
    <w:name w:val="周4"/>
    <w:basedOn w:val="6"/>
    <w:next w:val="1"/>
    <w:qFormat/>
    <w:uiPriority w:val="0"/>
    <w:pPr>
      <w:widowControl w:val="0"/>
      <w:spacing w:before="120" w:line="360" w:lineRule="auto"/>
    </w:pPr>
    <w:rPr>
      <w:kern w:val="2"/>
      <w:sz w:val="28"/>
      <w:szCs w:val="20"/>
    </w:rPr>
  </w:style>
  <w:style w:type="character" w:customStyle="1" w:styleId="2131">
    <w:name w:val="页眉1 Char Char"/>
    <w:qFormat/>
    <w:uiPriority w:val="0"/>
    <w:rPr>
      <w:rFonts w:eastAsia="宋体"/>
      <w:kern w:val="2"/>
      <w:sz w:val="18"/>
      <w:szCs w:val="18"/>
      <w:lang w:val="en-US" w:eastAsia="zh-CN" w:bidi="ar-SA"/>
    </w:rPr>
  </w:style>
  <w:style w:type="paragraph" w:customStyle="1" w:styleId="2132">
    <w:name w:val="reader-word-layer reader-word-s3-7"/>
    <w:basedOn w:val="1"/>
    <w:qFormat/>
    <w:uiPriority w:val="0"/>
    <w:pPr>
      <w:spacing w:before="100" w:beforeAutospacing="1" w:after="100" w:afterAutospacing="1"/>
    </w:pPr>
  </w:style>
  <w:style w:type="character" w:customStyle="1" w:styleId="2133">
    <w:name w:val="规划 表格内容 Char Char"/>
    <w:qFormat/>
    <w:uiPriority w:val="0"/>
    <w:rPr>
      <w:rFonts w:eastAsia="宋体" w:cs="宋体"/>
      <w:color w:val="000000"/>
      <w:sz w:val="18"/>
      <w:lang w:val="en-US" w:eastAsia="zh-CN" w:bidi="ar-SA"/>
    </w:rPr>
  </w:style>
  <w:style w:type="character" w:customStyle="1" w:styleId="2134">
    <w:name w:val="段落文字 Char Char"/>
    <w:qFormat/>
    <w:uiPriority w:val="0"/>
    <w:rPr>
      <w:rFonts w:eastAsia="宋体"/>
      <w:sz w:val="28"/>
      <w:szCs w:val="24"/>
      <w:lang w:val="en-US" w:eastAsia="zh-CN" w:bidi="ar-SA"/>
    </w:rPr>
  </w:style>
  <w:style w:type="character" w:customStyle="1" w:styleId="2135">
    <w:name w:val="zwb-正文 Char Char"/>
    <w:qFormat/>
    <w:uiPriority w:val="0"/>
    <w:rPr>
      <w:kern w:val="2"/>
      <w:sz w:val="24"/>
      <w:szCs w:val="24"/>
      <w:lang w:bidi="ar-SA"/>
    </w:rPr>
  </w:style>
  <w:style w:type="character" w:customStyle="1" w:styleId="2136">
    <w:name w:val="中远正文 Char Char"/>
    <w:qFormat/>
    <w:uiPriority w:val="0"/>
    <w:rPr>
      <w:rFonts w:eastAsia="宋体"/>
      <w:snapToGrid w:val="0"/>
      <w:kern w:val="24"/>
      <w:sz w:val="24"/>
      <w:lang w:val="en-US" w:eastAsia="zh-CN" w:bidi="ar-SA"/>
    </w:rPr>
  </w:style>
  <w:style w:type="character" w:customStyle="1" w:styleId="2137">
    <w:name w:val="样式 标题 3一、样式 + Char Char"/>
    <w:qFormat/>
    <w:uiPriority w:val="0"/>
    <w:rPr>
      <w:rFonts w:eastAsia="宋体"/>
      <w:b/>
      <w:sz w:val="24"/>
      <w:szCs w:val="24"/>
      <w:lang w:val="en-US" w:eastAsia="zh-CN" w:bidi="ar-SA"/>
    </w:rPr>
  </w:style>
  <w:style w:type="character" w:customStyle="1" w:styleId="2138">
    <w:name w:val="Char Char Char Char Char Char Char Char Char Char Char Char Char Char Char1"/>
    <w:qFormat/>
    <w:uiPriority w:val="0"/>
    <w:rPr>
      <w:rFonts w:hint="eastAsia" w:ascii="宋体" w:hAnsi="Courier New" w:eastAsia="宋体"/>
      <w:kern w:val="2"/>
      <w:sz w:val="21"/>
      <w:lang w:val="en-US" w:eastAsia="zh-CN" w:bidi="ar-SA"/>
    </w:rPr>
  </w:style>
  <w:style w:type="character" w:customStyle="1" w:styleId="2139">
    <w:name w:val="样式 题注 + (中文) 黑体 Char Char"/>
    <w:qFormat/>
    <w:uiPriority w:val="0"/>
    <w:rPr>
      <w:rFonts w:ascii="Arial" w:hAnsi="Arial" w:eastAsia="宋体" w:cs="Arial"/>
      <w:kern w:val="2"/>
      <w:sz w:val="24"/>
      <w:lang w:val="en-US" w:eastAsia="zh-CN" w:bidi="ar-SA"/>
    </w:rPr>
  </w:style>
  <w:style w:type="character" w:customStyle="1" w:styleId="2140">
    <w:name w:val="样式 正文首行缩进 + 黑色 Char Char"/>
    <w:qFormat/>
    <w:uiPriority w:val="0"/>
    <w:rPr>
      <w:rFonts w:eastAsia="宋体" w:cs="宋体"/>
      <w:color w:val="000000"/>
      <w:sz w:val="24"/>
      <w:szCs w:val="24"/>
      <w:lang w:val="en-US" w:eastAsia="zh-CN" w:bidi="ar-SA"/>
    </w:rPr>
  </w:style>
  <w:style w:type="character" w:customStyle="1" w:styleId="2141">
    <w:name w:val="表名，单位 Char Char"/>
    <w:qFormat/>
    <w:uiPriority w:val="0"/>
    <w:rPr>
      <w:rFonts w:ascii="宋体" w:hAnsi="宋体" w:eastAsia="宋体"/>
      <w:b/>
      <w:bCs/>
      <w:spacing w:val="-4"/>
      <w:kern w:val="2"/>
      <w:sz w:val="21"/>
      <w:szCs w:val="24"/>
      <w:lang w:val="en-US" w:eastAsia="zh-CN" w:bidi="ar-SA"/>
    </w:rPr>
  </w:style>
  <w:style w:type="character" w:customStyle="1" w:styleId="2142">
    <w:name w:val="方案正文样式 Char Char"/>
    <w:qFormat/>
    <w:uiPriority w:val="0"/>
    <w:rPr>
      <w:rFonts w:eastAsia="宋体"/>
      <w:snapToGrid w:val="0"/>
      <w:sz w:val="24"/>
      <w:szCs w:val="24"/>
      <w:lang w:val="en-US" w:eastAsia="zh-CN" w:bidi="ar-SA"/>
    </w:rPr>
  </w:style>
  <w:style w:type="character" w:customStyle="1" w:styleId="2143">
    <w:name w:val="表格文字2 Char Char"/>
    <w:qFormat/>
    <w:uiPriority w:val="0"/>
    <w:rPr>
      <w:rFonts w:eastAsia="宋体" w:cs="宋体"/>
      <w:sz w:val="21"/>
      <w:szCs w:val="21"/>
      <w:lang w:val="en-US" w:eastAsia="zh-CN" w:bidi="ar-SA"/>
    </w:rPr>
  </w:style>
  <w:style w:type="character" w:customStyle="1" w:styleId="2144">
    <w:name w:val="表格题注 Char Char"/>
    <w:qFormat/>
    <w:uiPriority w:val="0"/>
    <w:rPr>
      <w:rFonts w:eastAsia="宋体"/>
      <w:b/>
      <w:snapToGrid w:val="0"/>
      <w:kern w:val="24"/>
      <w:sz w:val="21"/>
      <w:szCs w:val="21"/>
      <w:lang w:val="en-US" w:eastAsia="zh-CN" w:bidi="ar-SA"/>
    </w:rPr>
  </w:style>
  <w:style w:type="character" w:customStyle="1" w:styleId="2145">
    <w:name w:val="样式 表头 + 小五 Char Char"/>
    <w:qFormat/>
    <w:uiPriority w:val="0"/>
    <w:rPr>
      <w:rFonts w:ascii="宋体" w:eastAsia="宋体" w:cs="宋体"/>
      <w:b/>
      <w:bCs/>
      <w:kern w:val="2"/>
      <w:sz w:val="18"/>
      <w:szCs w:val="21"/>
      <w:lang w:val="en-US" w:eastAsia="zh-CN" w:bidi="ar-SA"/>
    </w:rPr>
  </w:style>
  <w:style w:type="character" w:customStyle="1" w:styleId="2146">
    <w:name w:val="4级样式 Char Char"/>
    <w:qFormat/>
    <w:uiPriority w:val="0"/>
    <w:rPr>
      <w:rFonts w:ascii="Arial" w:hAnsi="Arial" w:eastAsia="黑体"/>
      <w:bCs/>
      <w:color w:val="339966"/>
      <w:kern w:val="2"/>
      <w:sz w:val="24"/>
      <w:szCs w:val="24"/>
      <w:lang w:bidi="ar-SA"/>
    </w:rPr>
  </w:style>
  <w:style w:type="character" w:customStyle="1" w:styleId="2147">
    <w:name w:val="论文正文文字 Char Char"/>
    <w:qFormat/>
    <w:uiPriority w:val="0"/>
    <w:rPr>
      <w:rFonts w:eastAsia="宋体" w:cs="宋体"/>
      <w:sz w:val="24"/>
      <w:szCs w:val="24"/>
      <w:lang w:val="en-US" w:eastAsia="zh-CN" w:bidi="ar-SA"/>
    </w:rPr>
  </w:style>
  <w:style w:type="character" w:customStyle="1" w:styleId="2148">
    <w:name w:val="样式 标题 2节标题 1.11.1标题2例如：1.1 内容标题 2 Charb2W2H2标题 2 Char Ch...1 Char Char"/>
    <w:qFormat/>
    <w:uiPriority w:val="0"/>
    <w:rPr>
      <w:rFonts w:ascii="宋体" w:hAnsi="宋体" w:eastAsia="宋体"/>
      <w:b/>
      <w:bCs/>
      <w:color w:val="000000"/>
      <w:kern w:val="2"/>
      <w:sz w:val="30"/>
      <w:szCs w:val="32"/>
      <w:lang w:val="en-US" w:eastAsia="zh-CN" w:bidi="ar-SA"/>
    </w:rPr>
  </w:style>
  <w:style w:type="character" w:customStyle="1" w:styleId="2149">
    <w:name w:val="表、图名宋旭峰 Char Char"/>
    <w:qFormat/>
    <w:uiPriority w:val="0"/>
    <w:rPr>
      <w:rFonts w:ascii="黑体" w:hAnsi="宋体" w:eastAsia="黑体"/>
      <w:sz w:val="21"/>
      <w:szCs w:val="21"/>
      <w:lang w:val="en-US" w:eastAsia="zh-CN" w:bidi="ar-SA"/>
    </w:rPr>
  </w:style>
  <w:style w:type="character" w:customStyle="1" w:styleId="2150">
    <w:name w:val="正文首行缩进 2 + Times New Roman Char Char"/>
    <w:qFormat/>
    <w:uiPriority w:val="0"/>
    <w:rPr>
      <w:rFonts w:ascii="宋体" w:hAnsi="宋体" w:eastAsia="宋体"/>
      <w:color w:val="00FF00"/>
      <w:sz w:val="24"/>
      <w:szCs w:val="24"/>
      <w:lang w:val="en-US" w:eastAsia="zh-CN" w:bidi="ar-SA"/>
    </w:rPr>
  </w:style>
  <w:style w:type="character" w:customStyle="1" w:styleId="2151">
    <w:name w:val="燕山正文 Char Char"/>
    <w:qFormat/>
    <w:uiPriority w:val="0"/>
    <w:rPr>
      <w:rFonts w:ascii="宋体" w:hAnsi="宋体" w:eastAsia="宋体"/>
      <w:color w:val="000000"/>
      <w:kern w:val="2"/>
      <w:sz w:val="24"/>
      <w:szCs w:val="28"/>
      <w:lang w:val="en-US" w:eastAsia="zh-CN" w:bidi="ar-SA"/>
    </w:rPr>
  </w:style>
  <w:style w:type="character" w:customStyle="1" w:styleId="2152">
    <w:name w:val="样式 题注 + (中文) 黑体 加粗 Char Char"/>
    <w:qFormat/>
    <w:uiPriority w:val="0"/>
    <w:rPr>
      <w:rFonts w:ascii="Arial" w:hAnsi="Arial" w:eastAsia="宋体" w:cs="Arial"/>
      <w:b/>
      <w:bCs/>
      <w:kern w:val="2"/>
      <w:sz w:val="24"/>
      <w:lang w:val="en-US" w:eastAsia="zh-CN" w:bidi="ar-SA"/>
    </w:rPr>
  </w:style>
  <w:style w:type="character" w:customStyle="1" w:styleId="2153">
    <w:name w:val="样式 标题 2节标题 1.11.1标题2例如：1.1 内容标题 2 Charb2W2H2标题 2 Char Ch... Char Char"/>
    <w:qFormat/>
    <w:uiPriority w:val="0"/>
    <w:rPr>
      <w:rFonts w:ascii="宋体" w:hAnsi="宋体" w:eastAsia="宋体"/>
      <w:b/>
      <w:bCs/>
      <w:color w:val="000000"/>
      <w:kern w:val="2"/>
      <w:sz w:val="30"/>
      <w:szCs w:val="32"/>
      <w:lang w:val="en-US" w:eastAsia="zh-CN" w:bidi="ar-SA"/>
    </w:rPr>
  </w:style>
  <w:style w:type="character" w:customStyle="1" w:styleId="2154">
    <w:name w:val="002 Char Char"/>
    <w:qFormat/>
    <w:uiPriority w:val="0"/>
    <w:rPr>
      <w:rFonts w:ascii="宋体" w:hAnsi="宋体" w:eastAsia="宋体" w:cs="Arial"/>
      <w:bCs/>
      <w:kern w:val="2"/>
      <w:sz w:val="28"/>
      <w:szCs w:val="32"/>
      <w:lang w:val="en-US" w:eastAsia="zh-CN" w:bidi="ar-SA"/>
    </w:rPr>
  </w:style>
  <w:style w:type="character" w:customStyle="1" w:styleId="2155">
    <w:name w:val="报告正文 Char Char Char Char"/>
    <w:qFormat/>
    <w:uiPriority w:val="0"/>
    <w:rPr>
      <w:rFonts w:eastAsia="仿宋_GB2312"/>
      <w:kern w:val="2"/>
      <w:sz w:val="28"/>
      <w:szCs w:val="24"/>
      <w:lang w:val="en-US" w:eastAsia="zh-CN" w:bidi="ar-SA"/>
    </w:rPr>
  </w:style>
  <w:style w:type="character" w:customStyle="1" w:styleId="2156">
    <w:name w:val="正文文本最新 Char Char Char Char"/>
    <w:qFormat/>
    <w:uiPriority w:val="0"/>
    <w:rPr>
      <w:rFonts w:eastAsia="宋体"/>
      <w:bCs/>
      <w:kern w:val="2"/>
      <w:sz w:val="28"/>
      <w:szCs w:val="24"/>
      <w:lang w:val="en-US" w:eastAsia="zh-CN" w:bidi="ar-SA"/>
    </w:rPr>
  </w:style>
  <w:style w:type="character" w:customStyle="1" w:styleId="2157">
    <w:name w:val="表、图名 Char Char"/>
    <w:qFormat/>
    <w:uiPriority w:val="0"/>
    <w:rPr>
      <w:rFonts w:ascii="宋体" w:hAnsi="宋体" w:eastAsia="宋体"/>
      <w:b/>
      <w:color w:val="000000"/>
      <w:sz w:val="24"/>
      <w:szCs w:val="24"/>
      <w:lang w:val="en-US" w:eastAsia="zh-CN" w:bidi="ar-SA"/>
    </w:rPr>
  </w:style>
  <w:style w:type="character" w:customStyle="1" w:styleId="2158">
    <w:name w:val="A正文 Char Char"/>
    <w:qFormat/>
    <w:uiPriority w:val="0"/>
    <w:rPr>
      <w:rFonts w:eastAsia="宋体"/>
      <w:kern w:val="2"/>
      <w:sz w:val="24"/>
      <w:szCs w:val="24"/>
      <w:lang w:bidi="ar-SA"/>
    </w:rPr>
  </w:style>
  <w:style w:type="character" w:customStyle="1" w:styleId="2159">
    <w:name w:val="样式 标题 1章节标题b1H1章标题 1标题 1 Char一级标题，黑粗，三号，序号章chapOG Headi... Char Char"/>
    <w:qFormat/>
    <w:uiPriority w:val="0"/>
    <w:rPr>
      <w:rFonts w:ascii="宋体" w:hAnsi="宋体" w:eastAsia="宋体"/>
      <w:b/>
      <w:bCs/>
      <w:color w:val="000000"/>
      <w:sz w:val="28"/>
      <w:szCs w:val="32"/>
      <w:lang w:val="en-US" w:eastAsia="zh-CN" w:bidi="ar-SA"/>
    </w:rPr>
  </w:style>
  <w:style w:type="character" w:customStyle="1" w:styleId="2160">
    <w:name w:val="正文（不缩进） Char Char"/>
    <w:qFormat/>
    <w:uiPriority w:val="0"/>
    <w:rPr>
      <w:sz w:val="24"/>
      <w:lang w:bidi="ar-SA"/>
    </w:rPr>
  </w:style>
  <w:style w:type="character" w:customStyle="1" w:styleId="2161">
    <w:name w:val="表头5H Char Char"/>
    <w:qFormat/>
    <w:uiPriority w:val="0"/>
    <w:rPr>
      <w:rFonts w:ascii="黑体" w:eastAsia="黑体"/>
      <w:kern w:val="2"/>
      <w:sz w:val="24"/>
      <w:szCs w:val="24"/>
      <w:lang w:val="en-US" w:eastAsia="zh-CN" w:bidi="ar-SA"/>
    </w:rPr>
  </w:style>
  <w:style w:type="character" w:customStyle="1" w:styleId="2162">
    <w:name w:val="MANUAL Char Char"/>
    <w:qFormat/>
    <w:uiPriority w:val="0"/>
    <w:rPr>
      <w:rFonts w:ascii="MS Mincho" w:eastAsia="MS Mincho"/>
      <w:spacing w:val="-20"/>
      <w:sz w:val="22"/>
      <w:lang w:eastAsia="ja-JP" w:bidi="ar-SA"/>
    </w:rPr>
  </w:style>
  <w:style w:type="character" w:customStyle="1" w:styleId="2163">
    <w:name w:val="Style Heading 1 + Left Before:  0.5 line Char Char"/>
    <w:qFormat/>
    <w:uiPriority w:val="0"/>
    <w:rPr>
      <w:rFonts w:ascii="Arial" w:hAnsi="Arial" w:eastAsia="宋体"/>
      <w:bCs/>
      <w:kern w:val="44"/>
      <w:sz w:val="28"/>
      <w:szCs w:val="24"/>
      <w:lang w:val="en-US" w:eastAsia="zh-CN" w:bidi="ar-SA"/>
    </w:rPr>
  </w:style>
  <w:style w:type="character" w:customStyle="1" w:styleId="2164">
    <w:name w:val="小四正文 Char Char"/>
    <w:qFormat/>
    <w:uiPriority w:val="0"/>
    <w:rPr>
      <w:rFonts w:eastAsia="宋体"/>
      <w:kern w:val="2"/>
      <w:sz w:val="24"/>
      <w:szCs w:val="24"/>
      <w:lang w:val="en-US" w:eastAsia="zh-CN" w:bidi="ar-SA"/>
    </w:rPr>
  </w:style>
  <w:style w:type="character" w:customStyle="1" w:styleId="2165">
    <w:name w:val="样式 Char Char Char Char Char Char Char Char Char Char Char Char Char Char Char Char Char Char Char Char Char"/>
    <w:qFormat/>
    <w:uiPriority w:val="0"/>
    <w:rPr>
      <w:rFonts w:eastAsia="宋体"/>
      <w:sz w:val="24"/>
      <w:szCs w:val="24"/>
      <w:lang w:val="en-US" w:eastAsia="zh-CN" w:bidi="ar-SA"/>
    </w:rPr>
  </w:style>
  <w:style w:type="character" w:customStyle="1" w:styleId="2166">
    <w:name w:val="表中文字居中 Char Char"/>
    <w:qFormat/>
    <w:uiPriority w:val="0"/>
    <w:rPr>
      <w:rFonts w:ascii="宋体" w:eastAsia="宋体"/>
      <w:kern w:val="2"/>
      <w:sz w:val="24"/>
      <w:lang w:val="en-US" w:eastAsia="zh-CN" w:bidi="ar-SA"/>
    </w:rPr>
  </w:style>
  <w:style w:type="character" w:customStyle="1" w:styleId="2167">
    <w:name w:val="四号 正文 Char Char"/>
    <w:qFormat/>
    <w:uiPriority w:val="0"/>
    <w:rPr>
      <w:rFonts w:eastAsia="宋体" w:cs="宋体"/>
      <w:spacing w:val="6"/>
      <w:kern w:val="2"/>
      <w:sz w:val="28"/>
      <w:lang w:val="en-US" w:eastAsia="zh-CN" w:bidi="ar-SA"/>
    </w:rPr>
  </w:style>
  <w:style w:type="character" w:customStyle="1" w:styleId="2168">
    <w:name w:val="表小4 Char Char"/>
    <w:qFormat/>
    <w:uiPriority w:val="0"/>
    <w:rPr>
      <w:rFonts w:ascii="宋体" w:hAnsi="宋体" w:eastAsia="宋体"/>
      <w:sz w:val="24"/>
      <w:szCs w:val="21"/>
      <w:lang w:val="en-US" w:eastAsia="zh-CN" w:bidi="ar-SA"/>
    </w:rPr>
  </w:style>
  <w:style w:type="character" w:customStyle="1" w:styleId="2169">
    <w:name w:val="正文小四首缩1.3行距 Char Char"/>
    <w:qFormat/>
    <w:uiPriority w:val="0"/>
    <w:rPr>
      <w:rFonts w:eastAsia="宋体"/>
      <w:kern w:val="2"/>
      <w:sz w:val="24"/>
      <w:szCs w:val="24"/>
      <w:lang w:val="en-US" w:eastAsia="zh-CN" w:bidi="ar-SA"/>
    </w:rPr>
  </w:style>
  <w:style w:type="character" w:customStyle="1" w:styleId="2170">
    <w:name w:val="正文样式1 Char Char"/>
    <w:qFormat/>
    <w:uiPriority w:val="0"/>
    <w:rPr>
      <w:rFonts w:eastAsia="宋体"/>
      <w:b/>
      <w:kern w:val="24"/>
      <w:sz w:val="24"/>
      <w:lang w:val="en-US" w:eastAsia="zh-CN" w:bidi="ar-SA"/>
    </w:rPr>
  </w:style>
  <w:style w:type="character" w:customStyle="1" w:styleId="2171">
    <w:name w:val="正文首行缩进 2 Char Char"/>
    <w:qFormat/>
    <w:uiPriority w:val="0"/>
    <w:rPr>
      <w:rFonts w:ascii="宋体"/>
      <w:kern w:val="2"/>
      <w:sz w:val="28"/>
    </w:rPr>
  </w:style>
  <w:style w:type="character" w:customStyle="1" w:styleId="2172">
    <w:name w:val="001 Char Char"/>
    <w:qFormat/>
    <w:uiPriority w:val="0"/>
    <w:rPr>
      <w:rFonts w:ascii="宋体" w:hAnsi="宋体" w:cs="Arial"/>
      <w:bCs/>
      <w:kern w:val="28"/>
      <w:sz w:val="28"/>
      <w:szCs w:val="32"/>
    </w:rPr>
  </w:style>
  <w:style w:type="character" w:customStyle="1" w:styleId="2173">
    <w:name w:val="Date Char Char"/>
    <w:qFormat/>
    <w:uiPriority w:val="0"/>
    <w:rPr>
      <w:rFonts w:ascii="Times New Roman" w:hAnsi="Times New Roman" w:eastAsia="宋体" w:cs="Times New Roman"/>
      <w:kern w:val="28"/>
      <w:sz w:val="20"/>
      <w:szCs w:val="20"/>
    </w:rPr>
  </w:style>
  <w:style w:type="character" w:customStyle="1" w:styleId="2174">
    <w:name w:val="正缩 Char Char"/>
    <w:qFormat/>
    <w:uiPriority w:val="0"/>
    <w:rPr>
      <w:rFonts w:eastAsia="宋体"/>
      <w:kern w:val="2"/>
      <w:sz w:val="24"/>
      <w:lang w:val="en-US" w:eastAsia="zh-CN" w:bidi="ar-SA"/>
    </w:rPr>
  </w:style>
  <w:style w:type="character" w:customStyle="1" w:styleId="2175">
    <w:name w:val="正文3 Char Char Char Char"/>
    <w:qFormat/>
    <w:uiPriority w:val="0"/>
    <w:rPr>
      <w:rFonts w:ascii="宋体" w:hAnsi="宋体" w:eastAsia="宋体"/>
      <w:bCs/>
      <w:snapToGrid w:val="0"/>
      <w:kern w:val="2"/>
      <w:sz w:val="24"/>
      <w:szCs w:val="28"/>
      <w:lang w:val="zh-CN" w:eastAsia="zh-CN" w:bidi="ar-SA"/>
    </w:rPr>
  </w:style>
  <w:style w:type="character" w:customStyle="1" w:styleId="2176">
    <w:name w:val="样式 普通文字 + (符号) 宋体 小四 Char Char"/>
    <w:qFormat/>
    <w:uiPriority w:val="0"/>
    <w:rPr>
      <w:rFonts w:ascii="宋体" w:hAnsi="Courier New" w:eastAsia="宋体"/>
      <w:kern w:val="2"/>
      <w:sz w:val="24"/>
      <w:lang w:val="en-US" w:eastAsia="zh-CN" w:bidi="ar-SA"/>
    </w:rPr>
  </w:style>
  <w:style w:type="character" w:customStyle="1" w:styleId="2177">
    <w:name w:val="样式 标题 4 + Char Char"/>
    <w:qFormat/>
    <w:uiPriority w:val="0"/>
    <w:rPr>
      <w:rFonts w:ascii="宋体" w:hAnsi="宋体" w:eastAsia="宋体"/>
      <w:bCs/>
      <w:color w:val="000000"/>
      <w:sz w:val="24"/>
      <w:szCs w:val="24"/>
      <w:lang w:val="en-US" w:eastAsia="zh-CN" w:bidi="ar-SA"/>
    </w:rPr>
  </w:style>
  <w:style w:type="character" w:customStyle="1" w:styleId="2178">
    <w:name w:val="报告书正文 Char Char"/>
    <w:qFormat/>
    <w:uiPriority w:val="0"/>
    <w:rPr>
      <w:rFonts w:ascii="宋体" w:hAnsi="宋体" w:eastAsia="宋体"/>
      <w:color w:val="000000"/>
      <w:kern w:val="2"/>
      <w:sz w:val="28"/>
      <w:szCs w:val="24"/>
      <w:lang w:val="en-US" w:eastAsia="zh-CN" w:bidi="ar-SA"/>
    </w:rPr>
  </w:style>
  <w:style w:type="character" w:customStyle="1" w:styleId="2179">
    <w:name w:val="表头1 Char Char"/>
    <w:qFormat/>
    <w:uiPriority w:val="0"/>
    <w:rPr>
      <w:rFonts w:eastAsia="黑体"/>
      <w:sz w:val="21"/>
      <w:szCs w:val="21"/>
      <w:lang w:val="en-US" w:eastAsia="zh-CN" w:bidi="ar-SA"/>
    </w:rPr>
  </w:style>
  <w:style w:type="character" w:customStyle="1" w:styleId="2180">
    <w:name w:val="0 Char Char"/>
    <w:qFormat/>
    <w:uiPriority w:val="0"/>
    <w:rPr>
      <w:rFonts w:eastAsia="宋体"/>
      <w:color w:val="000000"/>
      <w:sz w:val="21"/>
      <w:lang w:val="en-US" w:eastAsia="zh-CN" w:bidi="ar-SA"/>
    </w:rPr>
  </w:style>
  <w:style w:type="character" w:customStyle="1" w:styleId="2181">
    <w:name w:val="规划 正文 Char Char"/>
    <w:qFormat/>
    <w:uiPriority w:val="0"/>
    <w:rPr>
      <w:rFonts w:eastAsia="宋体"/>
      <w:sz w:val="24"/>
      <w:szCs w:val="21"/>
      <w:lang w:val="en-US" w:eastAsia="zh-CN" w:bidi="ar-SA"/>
    </w:rPr>
  </w:style>
  <w:style w:type="character" w:customStyle="1" w:styleId="2182">
    <w:name w:val="标题40 Char Char"/>
    <w:qFormat/>
    <w:uiPriority w:val="0"/>
    <w:rPr>
      <w:rFonts w:eastAsia="宋体"/>
      <w:b/>
      <w:kern w:val="2"/>
      <w:sz w:val="28"/>
      <w:szCs w:val="24"/>
      <w:lang w:bidi="ar-SA"/>
    </w:rPr>
  </w:style>
  <w:style w:type="character" w:customStyle="1" w:styleId="2183">
    <w:name w:val="段落样式 Char Char"/>
    <w:qFormat/>
    <w:uiPriority w:val="0"/>
    <w:rPr>
      <w:rFonts w:eastAsia="宋体"/>
      <w:snapToGrid w:val="0"/>
      <w:w w:val="80"/>
      <w:sz w:val="28"/>
      <w:lang w:val="en-US" w:eastAsia="zh-CN" w:bidi="ar-SA"/>
    </w:rPr>
  </w:style>
  <w:style w:type="character" w:customStyle="1" w:styleId="2184">
    <w:name w:val="正文.tx Char Char"/>
    <w:qFormat/>
    <w:uiPriority w:val="0"/>
    <w:rPr>
      <w:rFonts w:eastAsia="宋体"/>
      <w:kern w:val="2"/>
      <w:sz w:val="28"/>
      <w:szCs w:val="28"/>
      <w:lang w:val="en-US" w:eastAsia="zh-CN" w:bidi="ar-SA"/>
    </w:rPr>
  </w:style>
  <w:style w:type="character" w:customStyle="1" w:styleId="2185">
    <w:name w:val="样式12 Char Char"/>
    <w:qFormat/>
    <w:uiPriority w:val="0"/>
    <w:rPr>
      <w:rFonts w:eastAsia="宋体"/>
      <w:kern w:val="2"/>
      <w:sz w:val="18"/>
      <w:szCs w:val="18"/>
      <w:lang w:val="en-US" w:eastAsia="zh-CN" w:bidi="ar-SA"/>
    </w:rPr>
  </w:style>
  <w:style w:type="character" w:customStyle="1" w:styleId="2186">
    <w:name w:val="样式 标题 3一、样式 + 小四 黑色1 Char Char"/>
    <w:qFormat/>
    <w:uiPriority w:val="0"/>
    <w:rPr>
      <w:rFonts w:eastAsia="宋体"/>
      <w:color w:val="000000"/>
      <w:sz w:val="24"/>
      <w:szCs w:val="24"/>
      <w:lang w:val="en-US" w:eastAsia="zh-CN" w:bidi="ar-SA"/>
    </w:rPr>
  </w:style>
  <w:style w:type="character" w:customStyle="1" w:styleId="2187">
    <w:name w:val="标题2 Char Char Char"/>
    <w:qFormat/>
    <w:uiPriority w:val="0"/>
    <w:rPr>
      <w:rFonts w:ascii="黑体" w:hAnsi="宋体" w:eastAsia="黑体"/>
      <w:b/>
      <w:bCs/>
      <w:color w:val="000000"/>
      <w:kern w:val="2"/>
      <w:sz w:val="28"/>
      <w:szCs w:val="28"/>
      <w:lang w:val="en-US" w:eastAsia="zh-CN" w:bidi="ar-SA"/>
    </w:rPr>
  </w:style>
  <w:style w:type="character" w:customStyle="1" w:styleId="2188">
    <w:name w:val="a-表内 Char Char"/>
    <w:qFormat/>
    <w:uiPriority w:val="0"/>
    <w:rPr>
      <w:rFonts w:eastAsia="宋体"/>
      <w:color w:val="000000"/>
      <w:sz w:val="21"/>
      <w:szCs w:val="21"/>
      <w:lang w:val="en-US" w:eastAsia="zh-CN" w:bidi="ar-SA"/>
    </w:rPr>
  </w:style>
  <w:style w:type="character" w:customStyle="1" w:styleId="2189">
    <w:name w:val="样式15"/>
    <w:qFormat/>
    <w:uiPriority w:val="0"/>
    <w:rPr>
      <w:rFonts w:ascii="宋体" w:hAnsi="宋体" w:eastAsia="宋体"/>
      <w:bCs/>
      <w:sz w:val="24"/>
    </w:rPr>
  </w:style>
  <w:style w:type="paragraph" w:customStyle="1" w:styleId="2190">
    <w:name w:val="我的正文"/>
    <w:link w:val="2233"/>
    <w:qFormat/>
    <w:uiPriority w:val="0"/>
    <w:pPr>
      <w:adjustRightInd w:val="0"/>
      <w:snapToGrid w:val="0"/>
      <w:spacing w:line="360" w:lineRule="auto"/>
      <w:ind w:firstLine="200" w:firstLineChars="200"/>
    </w:pPr>
    <w:rPr>
      <w:rFonts w:ascii="Times New Roman" w:hAnsi="Times New Roman" w:eastAsia="宋体" w:cs="Times New Roman"/>
      <w:color w:val="000000"/>
      <w:kern w:val="2"/>
      <w:sz w:val="24"/>
      <w:lang w:val="en-US" w:eastAsia="zh-CN" w:bidi="ar-SA"/>
    </w:rPr>
  </w:style>
  <w:style w:type="character" w:customStyle="1" w:styleId="2191">
    <w:name w:val="正文首行缩进11 Char"/>
    <w:qFormat/>
    <w:uiPriority w:val="0"/>
    <w:rPr>
      <w:rFonts w:eastAsia="宋体"/>
      <w:kern w:val="2"/>
      <w:sz w:val="24"/>
      <w:lang w:val="en-US" w:eastAsia="zh-CN" w:bidi="ar-SA"/>
    </w:rPr>
  </w:style>
  <w:style w:type="paragraph" w:customStyle="1" w:styleId="2192">
    <w:name w:val="reader-word-layer reader-word-s3-9"/>
    <w:basedOn w:val="1"/>
    <w:qFormat/>
    <w:uiPriority w:val="0"/>
    <w:pPr>
      <w:spacing w:before="100" w:beforeAutospacing="1" w:after="100" w:afterAutospacing="1"/>
    </w:pPr>
  </w:style>
  <w:style w:type="paragraph" w:customStyle="1" w:styleId="2193">
    <w:name w:val="reader-word-layer reader-word-s3-9 reader-word-s3-11"/>
    <w:basedOn w:val="1"/>
    <w:qFormat/>
    <w:uiPriority w:val="0"/>
    <w:pPr>
      <w:spacing w:before="100" w:beforeAutospacing="1" w:after="100" w:afterAutospacing="1"/>
    </w:pPr>
  </w:style>
  <w:style w:type="paragraph" w:customStyle="1" w:styleId="2194">
    <w:name w:val="reader-word-layer reader-word-s3-7 reader-word-s3-11"/>
    <w:basedOn w:val="1"/>
    <w:qFormat/>
    <w:uiPriority w:val="0"/>
    <w:pPr>
      <w:spacing w:before="100" w:beforeAutospacing="1" w:after="100" w:afterAutospacing="1"/>
    </w:pPr>
  </w:style>
  <w:style w:type="paragraph" w:customStyle="1" w:styleId="2195">
    <w:name w:val="设计正文"/>
    <w:basedOn w:val="8"/>
    <w:link w:val="2197"/>
    <w:autoRedefine/>
    <w:qFormat/>
    <w:uiPriority w:val="0"/>
    <w:pPr>
      <w:spacing w:line="360" w:lineRule="auto"/>
      <w:ind w:firstLine="464"/>
    </w:pPr>
    <w:rPr>
      <w:bCs/>
      <w:color w:val="000000"/>
      <w:spacing w:val="-4"/>
      <w:szCs w:val="24"/>
    </w:rPr>
  </w:style>
  <w:style w:type="paragraph" w:customStyle="1" w:styleId="2196">
    <w:name w:val="表名图名"/>
    <w:basedOn w:val="1"/>
    <w:autoRedefine/>
    <w:qFormat/>
    <w:uiPriority w:val="0"/>
    <w:pPr>
      <w:keepNext/>
      <w:adjustRightInd w:val="0"/>
      <w:spacing w:line="240" w:lineRule="exact"/>
      <w:jc w:val="center"/>
      <w:textAlignment w:val="baseline"/>
    </w:pPr>
    <w:rPr>
      <w:rFonts w:hAnsi="Times"/>
      <w:b/>
      <w:sz w:val="20"/>
      <w:szCs w:val="21"/>
    </w:rPr>
  </w:style>
  <w:style w:type="character" w:customStyle="1" w:styleId="2197">
    <w:name w:val="设计正文 Char"/>
    <w:link w:val="2195"/>
    <w:qFormat/>
    <w:uiPriority w:val="0"/>
    <w:rPr>
      <w:bCs/>
      <w:color w:val="000000"/>
      <w:spacing w:val="-4"/>
      <w:kern w:val="2"/>
      <w:sz w:val="24"/>
      <w:szCs w:val="24"/>
    </w:rPr>
  </w:style>
  <w:style w:type="paragraph" w:customStyle="1" w:styleId="2198">
    <w:name w:val="院2级"/>
    <w:basedOn w:val="1"/>
    <w:next w:val="1"/>
    <w:qFormat/>
    <w:uiPriority w:val="0"/>
    <w:pPr>
      <w:tabs>
        <w:tab w:val="left" w:pos="576"/>
        <w:tab w:val="left" w:pos="960"/>
      </w:tabs>
      <w:adjustRightInd w:val="0"/>
      <w:snapToGrid w:val="0"/>
      <w:spacing w:line="360" w:lineRule="auto"/>
      <w:ind w:left="960" w:hanging="480"/>
    </w:pPr>
    <w:rPr>
      <w:bCs/>
      <w:u w:color="FFFFFF"/>
    </w:rPr>
  </w:style>
  <w:style w:type="paragraph" w:customStyle="1" w:styleId="2199">
    <w:name w:val="我的表格"/>
    <w:qFormat/>
    <w:uiPriority w:val="0"/>
    <w:pPr>
      <w:autoSpaceDE w:val="0"/>
      <w:autoSpaceDN w:val="0"/>
      <w:adjustRightInd w:val="0"/>
      <w:snapToGrid w:val="0"/>
      <w:jc w:val="center"/>
    </w:pPr>
    <w:rPr>
      <w:rFonts w:ascii="Times New Roman" w:hAnsi="Times New Roman" w:eastAsia="宋体" w:cs="Times New Roman"/>
      <w:sz w:val="21"/>
      <w:szCs w:val="21"/>
      <w:lang w:val="en-US" w:eastAsia="zh-CN" w:bidi="ar-SA"/>
    </w:rPr>
  </w:style>
  <w:style w:type="paragraph" w:customStyle="1" w:styleId="2200">
    <w:name w:val="a-图件"/>
    <w:link w:val="2201"/>
    <w:qFormat/>
    <w:uiPriority w:val="0"/>
    <w:pPr>
      <w:adjustRightInd w:val="0"/>
      <w:snapToGrid w:val="0"/>
      <w:spacing w:line="360" w:lineRule="auto"/>
      <w:jc w:val="center"/>
    </w:pPr>
    <w:rPr>
      <w:rFonts w:ascii="Times New Roman" w:hAnsi="Times New Roman" w:eastAsia="宋体" w:cs="Times New Roman"/>
      <w:b/>
      <w:color w:val="000000"/>
      <w:kern w:val="2"/>
      <w:sz w:val="24"/>
      <w:szCs w:val="21"/>
      <w:lang w:val="en-US" w:eastAsia="zh-CN" w:bidi="ar-SA"/>
    </w:rPr>
  </w:style>
  <w:style w:type="character" w:customStyle="1" w:styleId="2201">
    <w:name w:val="a-图件 Char"/>
    <w:link w:val="2200"/>
    <w:qFormat/>
    <w:uiPriority w:val="0"/>
    <w:rPr>
      <w:b/>
      <w:color w:val="000000"/>
      <w:kern w:val="2"/>
      <w:sz w:val="24"/>
      <w:szCs w:val="21"/>
      <w:lang w:bidi="ar-SA"/>
    </w:rPr>
  </w:style>
  <w:style w:type="paragraph" w:customStyle="1" w:styleId="2202">
    <w:name w:val="a-文本缩2"/>
    <w:qFormat/>
    <w:uiPriority w:val="0"/>
    <w:pPr>
      <w:adjustRightInd w:val="0"/>
      <w:snapToGrid w:val="0"/>
      <w:spacing w:line="360" w:lineRule="auto"/>
      <w:ind w:firstLine="200" w:firstLineChars="200"/>
      <w:jc w:val="both"/>
    </w:pPr>
    <w:rPr>
      <w:rFonts w:ascii="Times New Roman" w:hAnsi="Times New Roman" w:eastAsia="宋体" w:cs="Times New Roman"/>
      <w:color w:val="000000"/>
      <w:kern w:val="2"/>
      <w:sz w:val="24"/>
      <w:szCs w:val="21"/>
      <w:lang w:val="en-US" w:eastAsia="zh-CN" w:bidi="ar-SA"/>
    </w:rPr>
  </w:style>
  <w:style w:type="paragraph" w:customStyle="1" w:styleId="2203">
    <w:name w:val="a-表名"/>
    <w:link w:val="2204"/>
    <w:qFormat/>
    <w:uiPriority w:val="0"/>
    <w:pPr>
      <w:adjustRightInd w:val="0"/>
      <w:snapToGrid w:val="0"/>
      <w:spacing w:line="360" w:lineRule="auto"/>
      <w:jc w:val="center"/>
    </w:pPr>
    <w:rPr>
      <w:rFonts w:ascii="Times New Roman" w:hAnsi="Times New Roman" w:eastAsia="仿宋" w:cs="Times New Roman"/>
      <w:b/>
      <w:color w:val="000000"/>
      <w:kern w:val="2"/>
      <w:sz w:val="24"/>
      <w:szCs w:val="21"/>
      <w:lang w:val="en-US" w:eastAsia="zh-CN" w:bidi="ar-SA"/>
    </w:rPr>
  </w:style>
  <w:style w:type="character" w:customStyle="1" w:styleId="2204">
    <w:name w:val="a-表名 Char"/>
    <w:link w:val="2203"/>
    <w:qFormat/>
    <w:uiPriority w:val="0"/>
    <w:rPr>
      <w:rFonts w:eastAsia="仿宋"/>
      <w:b/>
      <w:color w:val="000000"/>
      <w:kern w:val="2"/>
      <w:sz w:val="24"/>
      <w:szCs w:val="21"/>
      <w:lang w:bidi="ar-SA"/>
    </w:rPr>
  </w:style>
  <w:style w:type="paragraph" w:customStyle="1" w:styleId="2205">
    <w:name w:val="1-表内"/>
    <w:basedOn w:val="8"/>
    <w:qFormat/>
    <w:uiPriority w:val="0"/>
    <w:pPr>
      <w:adjustRightInd w:val="0"/>
      <w:snapToGrid w:val="0"/>
      <w:ind w:firstLine="0" w:firstLineChars="0"/>
      <w:jc w:val="center"/>
    </w:pPr>
    <w:rPr>
      <w:color w:val="000000"/>
      <w:szCs w:val="21"/>
    </w:rPr>
  </w:style>
  <w:style w:type="character" w:customStyle="1" w:styleId="2206">
    <w:name w:val="a-页脚 Char Char1"/>
    <w:qFormat/>
    <w:uiPriority w:val="0"/>
    <w:rPr>
      <w:b/>
      <w:color w:val="000000"/>
      <w:kern w:val="2"/>
      <w:sz w:val="21"/>
      <w:szCs w:val="18"/>
    </w:rPr>
  </w:style>
  <w:style w:type="paragraph" w:customStyle="1" w:styleId="2207">
    <w:name w:val="a-图名"/>
    <w:link w:val="2208"/>
    <w:qFormat/>
    <w:uiPriority w:val="0"/>
    <w:pPr>
      <w:adjustRightInd w:val="0"/>
      <w:snapToGrid w:val="0"/>
      <w:spacing w:line="480" w:lineRule="auto"/>
      <w:jc w:val="center"/>
    </w:pPr>
    <w:rPr>
      <w:rFonts w:ascii="Times New Roman" w:hAnsi="Times New Roman" w:eastAsia="仿宋_GB2312" w:cs="Times New Roman"/>
      <w:b/>
      <w:color w:val="000000"/>
      <w:kern w:val="2"/>
      <w:sz w:val="24"/>
      <w:szCs w:val="21"/>
      <w:lang w:val="en-US" w:eastAsia="zh-CN" w:bidi="ar-SA"/>
    </w:rPr>
  </w:style>
  <w:style w:type="character" w:customStyle="1" w:styleId="2208">
    <w:name w:val="a-图名 Char Char"/>
    <w:link w:val="2207"/>
    <w:qFormat/>
    <w:uiPriority w:val="0"/>
    <w:rPr>
      <w:rFonts w:eastAsia="仿宋_GB2312"/>
      <w:b/>
      <w:color w:val="000000"/>
      <w:kern w:val="2"/>
      <w:sz w:val="24"/>
      <w:szCs w:val="21"/>
      <w:lang w:bidi="ar-SA"/>
    </w:rPr>
  </w:style>
  <w:style w:type="character" w:customStyle="1" w:styleId="2209">
    <w:name w:val="标题4 Char Char1"/>
    <w:qFormat/>
    <w:uiPriority w:val="0"/>
    <w:rPr>
      <w:rFonts w:eastAsia="宋体"/>
      <w:b/>
      <w:bCs/>
      <w:color w:val="000000"/>
      <w:kern w:val="2"/>
      <w:sz w:val="24"/>
      <w:szCs w:val="24"/>
      <w:lang w:val="en-US" w:eastAsia="zh-CN" w:bidi="ar-SA"/>
    </w:rPr>
  </w:style>
  <w:style w:type="paragraph" w:customStyle="1" w:styleId="2210">
    <w:name w:val="Char Char2 Char Char Char Char Char Char Char Char Char Char Char Char Char Char Char Char1"/>
    <w:basedOn w:val="1"/>
    <w:qFormat/>
    <w:uiPriority w:val="0"/>
  </w:style>
  <w:style w:type="paragraph" w:customStyle="1" w:styleId="2211">
    <w:name w:val="标题4   改 Char Char Char"/>
    <w:basedOn w:val="1"/>
    <w:autoRedefine/>
    <w:semiHidden/>
    <w:qFormat/>
    <w:uiPriority w:val="0"/>
    <w:pPr>
      <w:snapToGrid w:val="0"/>
      <w:spacing w:line="240" w:lineRule="atLeast"/>
      <w:jc w:val="center"/>
    </w:pPr>
    <w:rPr>
      <w:color w:val="000000"/>
      <w:szCs w:val="21"/>
    </w:rPr>
  </w:style>
  <w:style w:type="paragraph" w:customStyle="1" w:styleId="2212">
    <w:name w:val="3333"/>
    <w:basedOn w:val="1"/>
    <w:qFormat/>
    <w:uiPriority w:val="0"/>
    <w:pPr>
      <w:tabs>
        <w:tab w:val="right" w:pos="10773"/>
      </w:tabs>
      <w:autoSpaceDE w:val="0"/>
      <w:autoSpaceDN w:val="0"/>
      <w:adjustRightInd w:val="0"/>
      <w:snapToGrid w:val="0"/>
      <w:spacing w:line="440" w:lineRule="atLeast"/>
      <w:textAlignment w:val="bottom"/>
      <w:outlineLvl w:val="2"/>
    </w:pPr>
    <w:rPr>
      <w:rFonts w:hAnsi="Calibri"/>
      <w:szCs w:val="22"/>
    </w:rPr>
  </w:style>
  <w:style w:type="paragraph" w:customStyle="1" w:styleId="2213">
    <w:name w:val="表标题"/>
    <w:basedOn w:val="86"/>
    <w:qFormat/>
    <w:uiPriority w:val="0"/>
    <w:pPr>
      <w:tabs>
        <w:tab w:val="left" w:pos="0"/>
        <w:tab w:val="left" w:pos="870"/>
        <w:tab w:val="left" w:pos="3150"/>
      </w:tabs>
      <w:autoSpaceDE w:val="0"/>
      <w:autoSpaceDN w:val="0"/>
      <w:adjustRightInd w:val="0"/>
      <w:spacing w:after="0" w:line="360" w:lineRule="auto"/>
      <w:ind w:left="0" w:leftChars="0" w:firstLine="0" w:firstLineChars="0"/>
      <w:jc w:val="center"/>
      <w:textAlignment w:val="baseline"/>
    </w:pPr>
    <w:rPr>
      <w:rFonts w:eastAsia="黑体"/>
    </w:rPr>
  </w:style>
  <w:style w:type="paragraph" w:customStyle="1" w:styleId="2214">
    <w:name w:val="批注主题1"/>
    <w:basedOn w:val="1"/>
    <w:next w:val="1"/>
    <w:qFormat/>
    <w:uiPriority w:val="0"/>
    <w:pPr>
      <w:spacing w:line="360" w:lineRule="auto"/>
    </w:pPr>
    <w:rPr>
      <w:b/>
      <w:szCs w:val="20"/>
    </w:rPr>
  </w:style>
  <w:style w:type="character" w:customStyle="1" w:styleId="2215">
    <w:name w:val="正文：段落格式 Char"/>
    <w:link w:val="2216"/>
    <w:qFormat/>
    <w:locked/>
    <w:uiPriority w:val="0"/>
    <w:rPr>
      <w:rFonts w:ascii="宋体" w:hAnsi="宋体" w:cs="宋体"/>
      <w:color w:val="000000"/>
      <w:kern w:val="15"/>
      <w:sz w:val="24"/>
      <w:szCs w:val="24"/>
    </w:rPr>
  </w:style>
  <w:style w:type="paragraph" w:customStyle="1" w:styleId="2216">
    <w:name w:val="正文：段落格式"/>
    <w:basedOn w:val="1"/>
    <w:link w:val="2215"/>
    <w:autoRedefine/>
    <w:qFormat/>
    <w:uiPriority w:val="0"/>
    <w:pPr>
      <w:numPr>
        <w:ilvl w:val="1"/>
        <w:numId w:val="10"/>
      </w:numPr>
      <w:tabs>
        <w:tab w:val="left" w:pos="0"/>
      </w:tabs>
      <w:adjustRightInd w:val="0"/>
      <w:snapToGrid w:val="0"/>
      <w:spacing w:line="360" w:lineRule="auto"/>
      <w:ind w:left="0" w:right="-91" w:firstLine="0"/>
    </w:pPr>
    <w:rPr>
      <w:color w:val="000000"/>
      <w:kern w:val="15"/>
    </w:rPr>
  </w:style>
  <w:style w:type="paragraph" w:customStyle="1" w:styleId="2217">
    <w:name w:val="CM5"/>
    <w:basedOn w:val="312"/>
    <w:next w:val="312"/>
    <w:qFormat/>
    <w:uiPriority w:val="0"/>
    <w:rPr>
      <w:rFonts w:ascii="黑体" w:hAnsi="Calibri" w:eastAsia="黑体" w:cs="Times New Roman"/>
      <w:color w:val="auto"/>
    </w:rPr>
  </w:style>
  <w:style w:type="paragraph" w:customStyle="1" w:styleId="2218">
    <w:name w:val="CM143"/>
    <w:basedOn w:val="312"/>
    <w:next w:val="312"/>
    <w:qFormat/>
    <w:uiPriority w:val="0"/>
    <w:pPr>
      <w:spacing w:after="410"/>
    </w:pPr>
    <w:rPr>
      <w:rFonts w:ascii="黑体" w:hAnsi="Calibri" w:eastAsia="黑体" w:cs="Times New Roman"/>
      <w:color w:val="auto"/>
    </w:rPr>
  </w:style>
  <w:style w:type="paragraph" w:customStyle="1" w:styleId="2219">
    <w:name w:val="CM14"/>
    <w:basedOn w:val="312"/>
    <w:next w:val="312"/>
    <w:qFormat/>
    <w:uiPriority w:val="0"/>
    <w:pPr>
      <w:spacing w:line="471" w:lineRule="atLeast"/>
    </w:pPr>
    <w:rPr>
      <w:rFonts w:ascii="黑体" w:hAnsi="Calibri" w:eastAsia="黑体" w:cs="Times New Roman"/>
      <w:color w:val="auto"/>
    </w:rPr>
  </w:style>
  <w:style w:type="paragraph" w:customStyle="1" w:styleId="2220">
    <w:name w:val="CM46"/>
    <w:basedOn w:val="312"/>
    <w:next w:val="312"/>
    <w:qFormat/>
    <w:uiPriority w:val="0"/>
    <w:pPr>
      <w:spacing w:line="468" w:lineRule="atLeast"/>
    </w:pPr>
    <w:rPr>
      <w:rFonts w:ascii="黑体" w:hAnsi="Calibri" w:eastAsia="黑体" w:cs="Times New Roman"/>
      <w:color w:val="auto"/>
    </w:rPr>
  </w:style>
  <w:style w:type="paragraph" w:customStyle="1" w:styleId="2221">
    <w:name w:val="CM45"/>
    <w:basedOn w:val="1"/>
    <w:next w:val="1"/>
    <w:qFormat/>
    <w:uiPriority w:val="0"/>
    <w:pPr>
      <w:autoSpaceDE w:val="0"/>
      <w:autoSpaceDN w:val="0"/>
      <w:adjustRightInd w:val="0"/>
      <w:spacing w:line="468" w:lineRule="atLeast"/>
    </w:pPr>
    <w:rPr>
      <w:rFonts w:ascii="黑体" w:hAnsi="Calibri" w:eastAsia="黑体"/>
    </w:rPr>
  </w:style>
  <w:style w:type="paragraph" w:customStyle="1" w:styleId="2222">
    <w:name w:val="CM27"/>
    <w:basedOn w:val="312"/>
    <w:next w:val="312"/>
    <w:qFormat/>
    <w:uiPriority w:val="0"/>
    <w:rPr>
      <w:rFonts w:ascii="黑体" w:hAnsi="Calibri" w:eastAsia="黑体" w:cs="Times New Roman"/>
      <w:color w:val="auto"/>
    </w:rPr>
  </w:style>
  <w:style w:type="paragraph" w:customStyle="1" w:styleId="2223">
    <w:name w:val="BG"/>
    <w:basedOn w:val="2212"/>
    <w:qFormat/>
    <w:uiPriority w:val="0"/>
    <w:pPr>
      <w:spacing w:line="360" w:lineRule="atLeast"/>
      <w:outlineLvl w:val="9"/>
    </w:pPr>
    <w:rPr>
      <w:sz w:val="21"/>
    </w:rPr>
  </w:style>
  <w:style w:type="character" w:customStyle="1" w:styleId="2224">
    <w:name w:val="页眉2 Char Char1"/>
    <w:qFormat/>
    <w:uiPriority w:val="0"/>
    <w:rPr>
      <w:kern w:val="2"/>
      <w:sz w:val="18"/>
      <w:lang w:bidi="ar-SA"/>
    </w:rPr>
  </w:style>
  <w:style w:type="character" w:customStyle="1" w:styleId="2225">
    <w:name w:val="正文首行缩进 Char Char2"/>
    <w:qFormat/>
    <w:uiPriority w:val="0"/>
    <w:rPr>
      <w:rFonts w:eastAsia="宋体"/>
      <w:spacing w:val="10"/>
      <w:kern w:val="2"/>
      <w:sz w:val="24"/>
      <w:szCs w:val="24"/>
      <w:lang w:val="en-US" w:eastAsia="zh-CN" w:bidi="ar-SA"/>
    </w:rPr>
  </w:style>
  <w:style w:type="paragraph" w:customStyle="1" w:styleId="2226">
    <w:name w:val="p18"/>
    <w:basedOn w:val="1"/>
    <w:qFormat/>
    <w:uiPriority w:val="0"/>
    <w:pPr>
      <w:spacing w:line="240" w:lineRule="atLeast"/>
      <w:ind w:firstLine="210"/>
    </w:pPr>
  </w:style>
  <w:style w:type="paragraph" w:customStyle="1" w:styleId="2227">
    <w:name w:val="p19"/>
    <w:basedOn w:val="1"/>
    <w:qFormat/>
    <w:uiPriority w:val="0"/>
    <w:pPr>
      <w:spacing w:line="360" w:lineRule="auto"/>
      <w:ind w:firstLine="420"/>
    </w:pPr>
  </w:style>
  <w:style w:type="paragraph" w:customStyle="1" w:styleId="2228">
    <w:name w:val="p21"/>
    <w:basedOn w:val="1"/>
    <w:qFormat/>
    <w:uiPriority w:val="0"/>
    <w:rPr>
      <w:sz w:val="28"/>
      <w:szCs w:val="28"/>
    </w:rPr>
  </w:style>
  <w:style w:type="character" w:customStyle="1" w:styleId="2229">
    <w:name w:val="正文(首行缩进) Char Char Char"/>
    <w:qFormat/>
    <w:uiPriority w:val="0"/>
    <w:rPr>
      <w:rFonts w:eastAsia="宋体"/>
      <w:bCs/>
      <w:snapToGrid w:val="0"/>
      <w:sz w:val="24"/>
      <w:szCs w:val="24"/>
      <w:lang w:val="en-US" w:eastAsia="zh-CN" w:bidi="ar-SA"/>
    </w:rPr>
  </w:style>
  <w:style w:type="paragraph" w:customStyle="1" w:styleId="2230">
    <w:name w:val="CM18"/>
    <w:basedOn w:val="312"/>
    <w:next w:val="312"/>
    <w:qFormat/>
    <w:uiPriority w:val="0"/>
    <w:pPr>
      <w:spacing w:after="420"/>
    </w:pPr>
    <w:rPr>
      <w:rFonts w:ascii="Arial" w:hAnsi="Arial" w:cs="Times New Roman"/>
      <w:color w:val="auto"/>
    </w:rPr>
  </w:style>
  <w:style w:type="paragraph" w:customStyle="1" w:styleId="2231">
    <w:name w:val="FH正文"/>
    <w:next w:val="1"/>
    <w:qFormat/>
    <w:uiPriority w:val="0"/>
    <w:pPr>
      <w:widowControl w:val="0"/>
      <w:adjustRightInd w:val="0"/>
      <w:spacing w:line="500" w:lineRule="exact"/>
      <w:ind w:firstLine="480" w:firstLineChars="200"/>
      <w:jc w:val="both"/>
    </w:pPr>
    <w:rPr>
      <w:rFonts w:ascii="宋体" w:hAnsi="宋体" w:eastAsia="宋体" w:cs="Arial"/>
      <w:color w:val="008000"/>
      <w:kern w:val="2"/>
      <w:sz w:val="24"/>
      <w:szCs w:val="21"/>
      <w:lang w:val="en-US" w:eastAsia="zh-CN" w:bidi="ar-SA"/>
    </w:rPr>
  </w:style>
  <w:style w:type="paragraph" w:customStyle="1" w:styleId="2232">
    <w:name w:val="分点段落文字"/>
    <w:basedOn w:val="1"/>
    <w:qFormat/>
    <w:uiPriority w:val="0"/>
    <w:pPr>
      <w:numPr>
        <w:ilvl w:val="0"/>
        <w:numId w:val="11"/>
      </w:numPr>
      <w:spacing w:line="360" w:lineRule="auto"/>
    </w:pPr>
  </w:style>
  <w:style w:type="character" w:customStyle="1" w:styleId="2233">
    <w:name w:val="我的正文 Char"/>
    <w:link w:val="2190"/>
    <w:qFormat/>
    <w:locked/>
    <w:uiPriority w:val="0"/>
    <w:rPr>
      <w:color w:val="000000"/>
      <w:kern w:val="2"/>
      <w:sz w:val="24"/>
      <w:lang w:bidi="ar-SA"/>
    </w:rPr>
  </w:style>
  <w:style w:type="character" w:customStyle="1" w:styleId="2234">
    <w:name w:val="报告正文 Char Char1"/>
    <w:qFormat/>
    <w:uiPriority w:val="0"/>
    <w:rPr>
      <w:rFonts w:eastAsia="宋体" w:cs="宋体"/>
      <w:snapToGrid w:val="0"/>
      <w:kern w:val="24"/>
      <w:sz w:val="24"/>
      <w:szCs w:val="21"/>
      <w:lang w:val="en-US" w:eastAsia="zh-CN" w:bidi="ar-SA"/>
    </w:rPr>
  </w:style>
  <w:style w:type="character" w:customStyle="1" w:styleId="2235">
    <w:name w:val="dxj正文 Char"/>
    <w:link w:val="2236"/>
    <w:qFormat/>
    <w:uiPriority w:val="0"/>
    <w:rPr>
      <w:kern w:val="2"/>
      <w:sz w:val="24"/>
      <w:szCs w:val="24"/>
    </w:rPr>
  </w:style>
  <w:style w:type="paragraph" w:customStyle="1" w:styleId="2236">
    <w:name w:val="dxj正文"/>
    <w:basedOn w:val="1"/>
    <w:link w:val="2235"/>
    <w:qFormat/>
    <w:uiPriority w:val="0"/>
    <w:pPr>
      <w:spacing w:line="360" w:lineRule="auto"/>
      <w:ind w:firstLine="200" w:firstLineChars="200"/>
    </w:pPr>
  </w:style>
  <w:style w:type="character" w:customStyle="1" w:styleId="2237">
    <w:name w:val="报告正文 Char Char Char"/>
    <w:link w:val="1520"/>
    <w:qFormat/>
    <w:uiPriority w:val="0"/>
    <w:rPr>
      <w:rFonts w:cs="宋体"/>
      <w:snapToGrid w:val="0"/>
      <w:kern w:val="24"/>
      <w:sz w:val="24"/>
    </w:rPr>
  </w:style>
  <w:style w:type="character" w:customStyle="1" w:styleId="2238">
    <w:name w:val="题注 Char Char"/>
    <w:qFormat/>
    <w:uiPriority w:val="0"/>
    <w:rPr>
      <w:rFonts w:ascii="Arial" w:hAnsi="Arial" w:eastAsia="宋体" w:cs="Arial"/>
      <w:kern w:val="2"/>
      <w:sz w:val="24"/>
      <w:lang w:val="en-US" w:eastAsia="zh-CN" w:bidi="ar-SA"/>
    </w:rPr>
  </w:style>
  <w:style w:type="character" w:customStyle="1" w:styleId="2239">
    <w:name w:val="标题 2－ch Char"/>
    <w:qFormat/>
    <w:uiPriority w:val="0"/>
    <w:rPr>
      <w:rFonts w:ascii="Arial" w:hAnsi="Arial" w:eastAsia="黑体" w:cs="Times New Roman"/>
      <w:b/>
      <w:bCs/>
      <w:sz w:val="32"/>
      <w:szCs w:val="32"/>
    </w:rPr>
  </w:style>
  <w:style w:type="character" w:customStyle="1" w:styleId="2240">
    <w:name w:val="st"/>
    <w:qFormat/>
    <w:uiPriority w:val="0"/>
  </w:style>
  <w:style w:type="paragraph" w:customStyle="1" w:styleId="2241">
    <w:name w:val="style4"/>
    <w:basedOn w:val="1"/>
    <w:qFormat/>
    <w:uiPriority w:val="0"/>
    <w:pPr>
      <w:spacing w:before="100" w:beforeAutospacing="1" w:after="100" w:afterAutospacing="1"/>
    </w:pPr>
    <w:rPr>
      <w:color w:val="666666"/>
    </w:rPr>
  </w:style>
  <w:style w:type="paragraph" w:customStyle="1" w:styleId="2242">
    <w:name w:val="+标题3"/>
    <w:basedOn w:val="4"/>
    <w:qFormat/>
    <w:uiPriority w:val="0"/>
    <w:pPr>
      <w:keepNext w:val="0"/>
      <w:tabs>
        <w:tab w:val="left" w:pos="0"/>
        <w:tab w:val="left" w:pos="709"/>
      </w:tabs>
      <w:spacing w:beforeLines="0" w:afterLines="0"/>
    </w:pPr>
    <w:rPr>
      <w:rFonts w:ascii="黑体" w:eastAsia="黑体"/>
      <w:b w:val="0"/>
      <w:sz w:val="24"/>
      <w:szCs w:val="28"/>
    </w:rPr>
  </w:style>
  <w:style w:type="paragraph" w:customStyle="1" w:styleId="2243">
    <w:name w:val="煤炭资源普查报告格式"/>
    <w:basedOn w:val="1"/>
    <w:qFormat/>
    <w:uiPriority w:val="0"/>
    <w:pPr>
      <w:spacing w:line="500" w:lineRule="exact"/>
      <w:ind w:firstLine="200" w:firstLineChars="200"/>
    </w:pPr>
  </w:style>
  <w:style w:type="paragraph" w:customStyle="1" w:styleId="2244">
    <w:name w:val="Char Char3 Char Char"/>
    <w:basedOn w:val="1"/>
    <w:qFormat/>
    <w:uiPriority w:val="0"/>
    <w:rPr>
      <w:rFonts w:ascii="Calibri" w:hAnsi="Calibri"/>
      <w:szCs w:val="22"/>
    </w:rPr>
  </w:style>
  <w:style w:type="paragraph" w:customStyle="1" w:styleId="2245">
    <w:name w:val="列出段落11"/>
    <w:basedOn w:val="1"/>
    <w:qFormat/>
    <w:uiPriority w:val="0"/>
    <w:pPr>
      <w:ind w:firstLine="420" w:firstLineChars="200"/>
    </w:pPr>
    <w:rPr>
      <w:rFonts w:ascii="Calibri" w:hAnsi="Calibri"/>
      <w:szCs w:val="22"/>
    </w:rPr>
  </w:style>
  <w:style w:type="paragraph" w:customStyle="1" w:styleId="2246">
    <w:name w:val="正文首行缩进1"/>
    <w:basedOn w:val="6"/>
    <w:qFormat/>
    <w:uiPriority w:val="0"/>
    <w:pPr>
      <w:widowControl w:val="0"/>
      <w:ind w:firstLine="420" w:firstLineChars="100"/>
      <w:jc w:val="both"/>
    </w:pPr>
    <w:rPr>
      <w:kern w:val="2"/>
      <w:sz w:val="21"/>
    </w:rPr>
  </w:style>
  <w:style w:type="paragraph" w:customStyle="1" w:styleId="2247">
    <w:name w:val="CM30"/>
    <w:basedOn w:val="1"/>
    <w:next w:val="1"/>
    <w:qFormat/>
    <w:uiPriority w:val="0"/>
    <w:pPr>
      <w:autoSpaceDE w:val="0"/>
      <w:autoSpaceDN w:val="0"/>
      <w:adjustRightInd w:val="0"/>
    </w:pPr>
    <w:rPr>
      <w:rFonts w:hAnsi="Calibri"/>
    </w:rPr>
  </w:style>
  <w:style w:type="paragraph" w:customStyle="1" w:styleId="2248">
    <w:name w:val="a-文本"/>
    <w:qFormat/>
    <w:uiPriority w:val="0"/>
    <w:pPr>
      <w:adjustRightInd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2249">
    <w:name w:val="1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50">
    <w:name w:val="标题 1 + 段前: 0.5 行 段后: 0.5 行1"/>
    <w:basedOn w:val="1"/>
    <w:autoRedefine/>
    <w:qFormat/>
    <w:uiPriority w:val="0"/>
    <w:pPr>
      <w:spacing w:beforeLines="50" w:afterLines="50" w:line="540" w:lineRule="exact"/>
      <w:jc w:val="center"/>
      <w:outlineLvl w:val="0"/>
    </w:pPr>
    <w:rPr>
      <w:b/>
      <w:kern w:val="44"/>
      <w:sz w:val="32"/>
      <w:szCs w:val="32"/>
    </w:rPr>
  </w:style>
  <w:style w:type="paragraph" w:customStyle="1" w:styleId="2251">
    <w:name w:val="2222222222"/>
    <w:basedOn w:val="1"/>
    <w:qFormat/>
    <w:uiPriority w:val="0"/>
    <w:pPr>
      <w:spacing w:line="460" w:lineRule="exact"/>
      <w:ind w:firstLine="200" w:firstLineChars="200"/>
    </w:pPr>
    <w:rPr>
      <w:color w:val="000000"/>
      <w:sz w:val="26"/>
      <w:szCs w:val="20"/>
    </w:rPr>
  </w:style>
  <w:style w:type="paragraph" w:customStyle="1" w:styleId="2252">
    <w:name w:val="Char Char Char Char Char Char Char Char Char Char Char Char Char Char Char Char Char Char Char Char Char Char Char Char1"/>
    <w:basedOn w:val="1"/>
    <w:qFormat/>
    <w:uiPriority w:val="0"/>
    <w:pPr>
      <w:spacing w:line="360" w:lineRule="auto"/>
    </w:pPr>
    <w:rPr>
      <w:szCs w:val="21"/>
    </w:rPr>
  </w:style>
  <w:style w:type="paragraph" w:customStyle="1" w:styleId="2253">
    <w:name w:val="qqq"/>
    <w:basedOn w:val="31"/>
    <w:semiHidden/>
    <w:qFormat/>
    <w:uiPriority w:val="0"/>
    <w:pPr>
      <w:adjustRightInd w:val="0"/>
      <w:spacing w:line="360" w:lineRule="auto"/>
      <w:ind w:firstLine="200" w:firstLineChars="200"/>
      <w:textAlignment w:val="baseline"/>
    </w:pPr>
    <w:rPr>
      <w:rFonts w:hAnsi="宋体" w:cs="Times New Roman"/>
      <w:szCs w:val="28"/>
    </w:rPr>
  </w:style>
  <w:style w:type="character" w:customStyle="1" w:styleId="2254">
    <w:name w:val="5文章(治) Char Char"/>
    <w:link w:val="2255"/>
    <w:qFormat/>
    <w:uiPriority w:val="0"/>
    <w:rPr>
      <w:kern w:val="2"/>
      <w:sz w:val="24"/>
    </w:rPr>
  </w:style>
  <w:style w:type="paragraph" w:customStyle="1" w:styleId="2255">
    <w:name w:val="5文章(治)"/>
    <w:basedOn w:val="1"/>
    <w:link w:val="2254"/>
    <w:qFormat/>
    <w:uiPriority w:val="0"/>
    <w:pPr>
      <w:spacing w:line="360" w:lineRule="auto"/>
      <w:ind w:firstLine="480" w:firstLineChars="200"/>
    </w:pPr>
    <w:rPr>
      <w:szCs w:val="20"/>
    </w:rPr>
  </w:style>
  <w:style w:type="paragraph" w:customStyle="1" w:styleId="2256">
    <w:name w:val="Char Char Char Char Char Char Char Char Char Char Char Char Char Char"/>
    <w:basedOn w:val="1"/>
    <w:qFormat/>
    <w:uiPriority w:val="0"/>
  </w:style>
  <w:style w:type="character" w:customStyle="1" w:styleId="2257">
    <w:name w:val="5文章(治) Char"/>
    <w:qFormat/>
    <w:uiPriority w:val="0"/>
    <w:rPr>
      <w:kern w:val="2"/>
      <w:sz w:val="24"/>
    </w:rPr>
  </w:style>
  <w:style w:type="paragraph" w:customStyle="1" w:styleId="2258">
    <w:name w:val="7表格(治)"/>
    <w:link w:val="2259"/>
    <w:qFormat/>
    <w:uiPriority w:val="0"/>
    <w:pPr>
      <w:snapToGrid w:val="0"/>
      <w:jc w:val="center"/>
    </w:pPr>
    <w:rPr>
      <w:rFonts w:ascii="Times New Roman" w:hAnsi="Times New Roman" w:eastAsia="宋体" w:cs="Times New Roman"/>
      <w:sz w:val="21"/>
      <w:lang w:val="en-US" w:eastAsia="zh-CN" w:bidi="ar-SA"/>
    </w:rPr>
  </w:style>
  <w:style w:type="character" w:customStyle="1" w:styleId="2259">
    <w:name w:val="7表格(治) Char"/>
    <w:link w:val="2258"/>
    <w:qFormat/>
    <w:uiPriority w:val="0"/>
    <w:rPr>
      <w:sz w:val="21"/>
      <w:lang w:bidi="ar-SA"/>
    </w:rPr>
  </w:style>
  <w:style w:type="paragraph" w:customStyle="1" w:styleId="2260">
    <w:name w:val="环保表内字（小五）"/>
    <w:basedOn w:val="1"/>
    <w:link w:val="2261"/>
    <w:qFormat/>
    <w:uiPriority w:val="0"/>
    <w:pPr>
      <w:autoSpaceDE w:val="0"/>
      <w:autoSpaceDN w:val="0"/>
      <w:adjustRightInd w:val="0"/>
      <w:snapToGrid w:val="0"/>
      <w:spacing w:line="0" w:lineRule="atLeast"/>
    </w:pPr>
    <w:rPr>
      <w:snapToGrid w:val="0"/>
      <w:color w:val="000000"/>
      <w:sz w:val="20"/>
      <w:szCs w:val="20"/>
      <w:lang w:val="zh-CN"/>
    </w:rPr>
  </w:style>
  <w:style w:type="character" w:customStyle="1" w:styleId="2261">
    <w:name w:val="环保表内字（小五） Char"/>
    <w:link w:val="2260"/>
    <w:qFormat/>
    <w:uiPriority w:val="0"/>
    <w:rPr>
      <w:snapToGrid w:val="0"/>
      <w:color w:val="000000"/>
      <w:lang w:val="zh-CN"/>
    </w:rPr>
  </w:style>
  <w:style w:type="paragraph" w:customStyle="1" w:styleId="2262">
    <w:name w:val="正文 楷体"/>
    <w:basedOn w:val="1"/>
    <w:link w:val="2263"/>
    <w:qFormat/>
    <w:uiPriority w:val="0"/>
    <w:pPr>
      <w:spacing w:line="500" w:lineRule="exact"/>
      <w:ind w:firstLine="200" w:firstLineChars="200"/>
    </w:pPr>
    <w:rPr>
      <w:rFonts w:ascii="楷体_GB2312" w:hAnsi="楷体_GB2312" w:eastAsia="楷体_GB2312"/>
      <w:color w:val="000000"/>
      <w:spacing w:val="8"/>
      <w:w w:val="110"/>
    </w:rPr>
  </w:style>
  <w:style w:type="character" w:customStyle="1" w:styleId="2263">
    <w:name w:val="正文 楷体 Char"/>
    <w:link w:val="2262"/>
    <w:qFormat/>
    <w:uiPriority w:val="0"/>
    <w:rPr>
      <w:rFonts w:ascii="楷体_GB2312" w:hAnsi="楷体_GB2312" w:eastAsia="楷体_GB2312" w:cs="宋体"/>
      <w:color w:val="000000"/>
      <w:spacing w:val="8"/>
      <w:w w:val="110"/>
      <w:kern w:val="2"/>
      <w:sz w:val="24"/>
      <w:szCs w:val="24"/>
    </w:rPr>
  </w:style>
  <w:style w:type="table" w:customStyle="1" w:styleId="2264">
    <w:name w:val="Table Normal"/>
    <w:semiHidden/>
    <w:unhideWhenUsed/>
    <w:qFormat/>
    <w:uiPriority w:val="0"/>
    <w:pPr>
      <w:widowControl w:val="0"/>
    </w:pPr>
    <w:rPr>
      <w:rFonts w:ascii="Calibri" w:hAnsi="Calibri"/>
      <w:sz w:val="22"/>
      <w:szCs w:val="22"/>
      <w:lang w:eastAsia="en-US"/>
    </w:rPr>
    <w:tblPr>
      <w:tblCellMar>
        <w:top w:w="0" w:type="dxa"/>
        <w:left w:w="0" w:type="dxa"/>
        <w:bottom w:w="0" w:type="dxa"/>
        <w:right w:w="0" w:type="dxa"/>
      </w:tblCellMar>
    </w:tblPr>
  </w:style>
  <w:style w:type="paragraph" w:customStyle="1" w:styleId="2265">
    <w:name w:val="Table Paragraph"/>
    <w:basedOn w:val="1"/>
    <w:link w:val="2465"/>
    <w:qFormat/>
    <w:uiPriority w:val="1"/>
    <w:rPr>
      <w:sz w:val="22"/>
      <w:szCs w:val="22"/>
      <w:lang w:eastAsia="en-US"/>
    </w:rPr>
  </w:style>
  <w:style w:type="paragraph" w:customStyle="1" w:styleId="2266">
    <w:name w:val="标题 71"/>
    <w:basedOn w:val="1"/>
    <w:qFormat/>
    <w:uiPriority w:val="1"/>
    <w:pPr>
      <w:spacing w:before="26"/>
      <w:ind w:right="101"/>
      <w:outlineLvl w:val="7"/>
    </w:pPr>
    <w:rPr>
      <w:b/>
      <w:bCs/>
      <w:lang w:eastAsia="en-US"/>
    </w:rPr>
  </w:style>
  <w:style w:type="paragraph" w:customStyle="1" w:styleId="2267">
    <w:name w:val="纯文本3"/>
    <w:basedOn w:val="1"/>
    <w:qFormat/>
    <w:uiPriority w:val="0"/>
    <w:pPr>
      <w:adjustRightInd w:val="0"/>
      <w:textAlignment w:val="baseline"/>
    </w:pPr>
    <w:rPr>
      <w:rFonts w:hAnsi="Courier New"/>
      <w:szCs w:val="20"/>
    </w:rPr>
  </w:style>
  <w:style w:type="paragraph" w:customStyle="1" w:styleId="2268">
    <w:name w:val="正文-ls"/>
    <w:basedOn w:val="1"/>
    <w:link w:val="2269"/>
    <w:qFormat/>
    <w:uiPriority w:val="0"/>
    <w:pPr>
      <w:spacing w:line="360" w:lineRule="auto"/>
      <w:ind w:firstLine="200" w:firstLineChars="200"/>
    </w:pPr>
    <w:rPr>
      <w:rFonts w:ascii="Calibri"/>
      <w:color w:val="000000"/>
      <w:w w:val="110"/>
      <w:szCs w:val="20"/>
    </w:rPr>
  </w:style>
  <w:style w:type="character" w:customStyle="1" w:styleId="2269">
    <w:name w:val="正文-ls Char Char"/>
    <w:link w:val="2268"/>
    <w:qFormat/>
    <w:uiPriority w:val="0"/>
    <w:rPr>
      <w:rFonts w:ascii="Calibri" w:hAnsi="宋体"/>
      <w:color w:val="000000"/>
      <w:w w:val="110"/>
      <w:sz w:val="24"/>
    </w:rPr>
  </w:style>
  <w:style w:type="paragraph" w:customStyle="1" w:styleId="2270">
    <w:name w:val="xl105"/>
    <w:basedOn w:val="1"/>
    <w:qFormat/>
    <w:uiPriority w:val="0"/>
    <w:pPr>
      <w:spacing w:before="100" w:beforeAutospacing="1" w:after="100" w:afterAutospacing="1"/>
      <w:jc w:val="center"/>
    </w:pPr>
    <w:rPr>
      <w:color w:val="FF0000"/>
      <w:sz w:val="16"/>
      <w:szCs w:val="16"/>
    </w:rPr>
  </w:style>
  <w:style w:type="paragraph" w:customStyle="1" w:styleId="2271">
    <w:name w:val="xl106"/>
    <w:basedOn w:val="1"/>
    <w:qFormat/>
    <w:uiPriority w:val="0"/>
    <w:pPr>
      <w:spacing w:before="100" w:beforeAutospacing="1" w:after="100" w:afterAutospacing="1"/>
      <w:jc w:val="center"/>
    </w:pPr>
    <w:rPr>
      <w:color w:val="7030A0"/>
      <w:sz w:val="16"/>
      <w:szCs w:val="16"/>
    </w:rPr>
  </w:style>
  <w:style w:type="paragraph" w:customStyle="1" w:styleId="2272">
    <w:name w:val="xl107"/>
    <w:basedOn w:val="1"/>
    <w:qFormat/>
    <w:uiPriority w:val="0"/>
    <w:pPr>
      <w:spacing w:before="100" w:beforeAutospacing="1" w:after="100" w:afterAutospacing="1"/>
      <w:jc w:val="center"/>
    </w:pPr>
  </w:style>
  <w:style w:type="paragraph" w:customStyle="1" w:styleId="2273">
    <w:name w:val="xl108"/>
    <w:basedOn w:val="1"/>
    <w:qFormat/>
    <w:uiPriority w:val="0"/>
    <w:pPr>
      <w:shd w:val="clear" w:color="000000" w:fill="FFFF00"/>
      <w:spacing w:before="100" w:beforeAutospacing="1" w:after="100" w:afterAutospacing="1"/>
      <w:jc w:val="center"/>
    </w:pPr>
  </w:style>
  <w:style w:type="paragraph" w:customStyle="1" w:styleId="2274">
    <w:name w:val="xl109"/>
    <w:basedOn w:val="1"/>
    <w:qFormat/>
    <w:uiPriority w:val="0"/>
    <w:pPr>
      <w:shd w:val="clear" w:color="000000" w:fill="FF0000"/>
      <w:spacing w:before="100" w:beforeAutospacing="1" w:after="100" w:afterAutospacing="1"/>
      <w:jc w:val="center"/>
    </w:pPr>
    <w:rPr>
      <w:sz w:val="16"/>
      <w:szCs w:val="16"/>
    </w:rPr>
  </w:style>
  <w:style w:type="paragraph" w:customStyle="1" w:styleId="2275">
    <w:name w:val="xl110"/>
    <w:basedOn w:val="1"/>
    <w:qFormat/>
    <w:uiPriority w:val="0"/>
    <w:pPr>
      <w:shd w:val="clear" w:color="000000" w:fill="FF0000"/>
      <w:spacing w:before="100" w:beforeAutospacing="1" w:after="100" w:afterAutospacing="1"/>
    </w:pPr>
  </w:style>
  <w:style w:type="paragraph" w:customStyle="1" w:styleId="2276">
    <w:name w:val="xl111"/>
    <w:basedOn w:val="1"/>
    <w:qFormat/>
    <w:uiPriority w:val="0"/>
    <w:pPr>
      <w:shd w:val="clear" w:color="000000" w:fill="92D050"/>
      <w:spacing w:before="100" w:beforeAutospacing="1" w:after="100" w:afterAutospacing="1"/>
    </w:pPr>
  </w:style>
  <w:style w:type="paragraph" w:customStyle="1" w:styleId="2277">
    <w:name w:val="xl112"/>
    <w:basedOn w:val="1"/>
    <w:qFormat/>
    <w:uiPriority w:val="0"/>
    <w:pPr>
      <w:spacing w:before="100" w:beforeAutospacing="1" w:after="100" w:afterAutospacing="1"/>
      <w:jc w:val="center"/>
    </w:pPr>
  </w:style>
  <w:style w:type="paragraph" w:customStyle="1" w:styleId="2278">
    <w:name w:val="xl113"/>
    <w:basedOn w:val="1"/>
    <w:qFormat/>
    <w:uiPriority w:val="0"/>
    <w:pPr>
      <w:spacing w:before="100" w:beforeAutospacing="1" w:after="100" w:afterAutospacing="1"/>
      <w:jc w:val="center"/>
    </w:pPr>
    <w:rPr>
      <w:sz w:val="16"/>
      <w:szCs w:val="16"/>
    </w:rPr>
  </w:style>
  <w:style w:type="paragraph" w:customStyle="1" w:styleId="2279">
    <w:name w:val="xl114"/>
    <w:basedOn w:val="1"/>
    <w:qFormat/>
    <w:uiPriority w:val="0"/>
    <w:pPr>
      <w:spacing w:before="100" w:beforeAutospacing="1" w:after="100" w:afterAutospacing="1"/>
      <w:jc w:val="center"/>
    </w:pPr>
    <w:rPr>
      <w:color w:val="00B050"/>
      <w:sz w:val="16"/>
      <w:szCs w:val="16"/>
    </w:rPr>
  </w:style>
  <w:style w:type="paragraph" w:customStyle="1" w:styleId="2280">
    <w:name w:val="Char22"/>
    <w:basedOn w:val="1"/>
    <w:qFormat/>
    <w:uiPriority w:val="0"/>
    <w:pPr>
      <w:spacing w:line="360" w:lineRule="auto"/>
      <w:ind w:firstLine="200" w:firstLineChars="200"/>
    </w:pPr>
  </w:style>
  <w:style w:type="character" w:customStyle="1" w:styleId="2281">
    <w:name w:val="正文格式 Char Char"/>
    <w:qFormat/>
    <w:uiPriority w:val="0"/>
    <w:rPr>
      <w:rFonts w:ascii="宋体"/>
      <w:color w:val="000000"/>
      <w:w w:val="110"/>
      <w:kern w:val="0"/>
      <w:sz w:val="24"/>
      <w:szCs w:val="24"/>
    </w:rPr>
  </w:style>
  <w:style w:type="paragraph" w:customStyle="1" w:styleId="2282">
    <w:name w:val="00表名"/>
    <w:basedOn w:val="1"/>
    <w:qFormat/>
    <w:uiPriority w:val="0"/>
    <w:rPr>
      <w:rFonts w:eastAsia="黑体"/>
    </w:rPr>
  </w:style>
  <w:style w:type="paragraph" w:customStyle="1" w:styleId="2283">
    <w:name w:val="正文样式"/>
    <w:basedOn w:val="1"/>
    <w:autoRedefine/>
    <w:semiHidden/>
    <w:qFormat/>
    <w:uiPriority w:val="0"/>
    <w:pPr>
      <w:spacing w:line="360" w:lineRule="auto"/>
      <w:ind w:firstLine="560" w:firstLineChars="200"/>
    </w:pPr>
    <w:rPr>
      <w:sz w:val="28"/>
      <w:szCs w:val="28"/>
    </w:rPr>
  </w:style>
  <w:style w:type="paragraph" w:customStyle="1" w:styleId="2284">
    <w:name w:val="正文内容"/>
    <w:basedOn w:val="1"/>
    <w:link w:val="2285"/>
    <w:qFormat/>
    <w:uiPriority w:val="0"/>
    <w:pPr>
      <w:spacing w:line="520" w:lineRule="exact"/>
      <w:ind w:firstLine="200" w:firstLineChars="200"/>
      <w:contextualSpacing/>
    </w:pPr>
  </w:style>
  <w:style w:type="character" w:customStyle="1" w:styleId="2285">
    <w:name w:val="正文内容 Char"/>
    <w:link w:val="2284"/>
    <w:qFormat/>
    <w:uiPriority w:val="0"/>
    <w:rPr>
      <w:kern w:val="2"/>
      <w:sz w:val="24"/>
      <w:szCs w:val="24"/>
    </w:rPr>
  </w:style>
  <w:style w:type="paragraph" w:customStyle="1" w:styleId="2286">
    <w:name w:val="环评 正文"/>
    <w:basedOn w:val="75"/>
    <w:link w:val="2287"/>
    <w:qFormat/>
    <w:uiPriority w:val="0"/>
    <w:pPr>
      <w:adjustRightInd/>
      <w:snapToGrid/>
      <w:spacing w:after="0" w:line="360" w:lineRule="auto"/>
      <w:ind w:firstLine="200" w:firstLineChars="200"/>
    </w:pPr>
    <w:rPr>
      <w:szCs w:val="20"/>
    </w:rPr>
  </w:style>
  <w:style w:type="character" w:customStyle="1" w:styleId="2287">
    <w:name w:val="环评 正文 Char Char"/>
    <w:link w:val="2286"/>
    <w:qFormat/>
    <w:uiPriority w:val="0"/>
    <w:rPr>
      <w:rFonts w:ascii="宋体" w:hAnsi="宋体"/>
      <w:sz w:val="24"/>
    </w:rPr>
  </w:style>
  <w:style w:type="paragraph" w:customStyle="1" w:styleId="2288">
    <w:name w:val="text01"/>
    <w:basedOn w:val="1"/>
    <w:qFormat/>
    <w:uiPriority w:val="0"/>
    <w:pPr>
      <w:spacing w:before="100" w:beforeAutospacing="1" w:after="100" w:afterAutospacing="1" w:line="280" w:lineRule="atLeast"/>
    </w:pPr>
    <w:rPr>
      <w:rFonts w:ascii="Verdana" w:hAnsi="Verdana"/>
      <w:sz w:val="20"/>
      <w:szCs w:val="20"/>
    </w:rPr>
  </w:style>
  <w:style w:type="paragraph" w:customStyle="1" w:styleId="2289">
    <w:name w:val="标题 21"/>
    <w:basedOn w:val="1"/>
    <w:qFormat/>
    <w:uiPriority w:val="1"/>
    <w:pPr>
      <w:spacing w:before="131"/>
      <w:ind w:left="100"/>
      <w:outlineLvl w:val="2"/>
    </w:pPr>
    <w:rPr>
      <w:b/>
      <w:bCs/>
      <w:sz w:val="28"/>
      <w:szCs w:val="28"/>
      <w:lang w:eastAsia="en-US"/>
    </w:rPr>
  </w:style>
  <w:style w:type="paragraph" w:customStyle="1" w:styleId="2290">
    <w:name w:val="标题 31"/>
    <w:basedOn w:val="1"/>
    <w:qFormat/>
    <w:uiPriority w:val="1"/>
    <w:pPr>
      <w:ind w:left="100"/>
      <w:outlineLvl w:val="3"/>
    </w:pPr>
    <w:rPr>
      <w:b/>
      <w:bCs/>
      <w:lang w:eastAsia="en-US"/>
    </w:rPr>
  </w:style>
  <w:style w:type="character" w:customStyle="1" w:styleId="2291">
    <w:name w:val="正文缩进 字符"/>
    <w:qFormat/>
    <w:uiPriority w:val="0"/>
    <w:rPr>
      <w:rFonts w:eastAsia="宋体"/>
      <w:kern w:val="2"/>
      <w:sz w:val="21"/>
      <w:lang w:val="en-US" w:eastAsia="zh-CN" w:bidi="ar-SA"/>
    </w:rPr>
  </w:style>
  <w:style w:type="character" w:customStyle="1" w:styleId="2292">
    <w:name w:val="题注 字符"/>
    <w:qFormat/>
    <w:uiPriority w:val="0"/>
    <w:rPr>
      <w:rFonts w:ascii="Arial" w:hAnsi="Arial" w:eastAsia="黑体" w:cs="Arial"/>
      <w:kern w:val="2"/>
    </w:rPr>
  </w:style>
  <w:style w:type="character" w:customStyle="1" w:styleId="2293">
    <w:name w:val="标题表格 Char"/>
    <w:link w:val="2294"/>
    <w:qFormat/>
    <w:uiPriority w:val="0"/>
    <w:rPr>
      <w:rFonts w:ascii="黑体" w:hAnsi="楷体_GB2312" w:eastAsia="黑体" w:cs="宋体"/>
      <w:sz w:val="24"/>
      <w:szCs w:val="24"/>
    </w:rPr>
  </w:style>
  <w:style w:type="paragraph" w:customStyle="1" w:styleId="2294">
    <w:name w:val="标题表格"/>
    <w:basedOn w:val="1"/>
    <w:link w:val="2293"/>
    <w:qFormat/>
    <w:uiPriority w:val="0"/>
    <w:pPr>
      <w:spacing w:beforeLines="80"/>
      <w:jc w:val="center"/>
    </w:pPr>
    <w:rPr>
      <w:rFonts w:ascii="黑体" w:hAnsi="楷体_GB2312" w:eastAsia="黑体"/>
    </w:rPr>
  </w:style>
  <w:style w:type="paragraph" w:customStyle="1" w:styleId="2295">
    <w:name w:val="表后空行格式"/>
    <w:basedOn w:val="176"/>
    <w:qFormat/>
    <w:uiPriority w:val="0"/>
    <w:pPr>
      <w:spacing w:line="240" w:lineRule="exact"/>
      <w:ind w:left="50" w:leftChars="50" w:right="50" w:rightChars="50" w:firstLine="0" w:firstLineChars="0"/>
    </w:pPr>
    <w:rPr>
      <w:sz w:val="18"/>
    </w:rPr>
  </w:style>
  <w:style w:type="paragraph" w:customStyle="1" w:styleId="2296">
    <w:name w:val="表头图名"/>
    <w:basedOn w:val="1"/>
    <w:link w:val="2297"/>
    <w:qFormat/>
    <w:uiPriority w:val="0"/>
    <w:pPr>
      <w:spacing w:line="520" w:lineRule="exact"/>
      <w:contextualSpacing/>
      <w:jc w:val="center"/>
    </w:pPr>
    <w:rPr>
      <w:rFonts w:eastAsia="黑体"/>
    </w:rPr>
  </w:style>
  <w:style w:type="character" w:customStyle="1" w:styleId="2297">
    <w:name w:val="表头图名 Char"/>
    <w:link w:val="2296"/>
    <w:qFormat/>
    <w:uiPriority w:val="0"/>
    <w:rPr>
      <w:rFonts w:eastAsia="黑体"/>
      <w:kern w:val="2"/>
      <w:sz w:val="24"/>
      <w:szCs w:val="24"/>
    </w:rPr>
  </w:style>
  <w:style w:type="character" w:customStyle="1" w:styleId="2298">
    <w:name w:val="标题 1 字符"/>
    <w:qFormat/>
    <w:uiPriority w:val="9"/>
    <w:rPr>
      <w:rFonts w:ascii="Times New Roman" w:hAnsi="Times New Roman" w:eastAsia="宋体" w:cs="Times New Roman"/>
      <w:b/>
      <w:bCs/>
      <w:kern w:val="44"/>
      <w:sz w:val="44"/>
      <w:szCs w:val="44"/>
    </w:rPr>
  </w:style>
  <w:style w:type="character" w:customStyle="1" w:styleId="2299">
    <w:name w:val="标题 2 字符"/>
    <w:semiHidden/>
    <w:qFormat/>
    <w:uiPriority w:val="9"/>
    <w:rPr>
      <w:rFonts w:ascii="等线 Light" w:hAnsi="等线 Light" w:eastAsia="等线 Light" w:cs="Times New Roman"/>
      <w:b/>
      <w:bCs/>
      <w:sz w:val="32"/>
      <w:szCs w:val="32"/>
    </w:rPr>
  </w:style>
  <w:style w:type="character" w:customStyle="1" w:styleId="2300">
    <w:name w:val="标题 3 字符"/>
    <w:semiHidden/>
    <w:qFormat/>
    <w:uiPriority w:val="9"/>
    <w:rPr>
      <w:rFonts w:ascii="Times New Roman" w:hAnsi="Times New Roman" w:eastAsia="宋体" w:cs="Times New Roman"/>
      <w:b/>
      <w:bCs/>
      <w:sz w:val="32"/>
      <w:szCs w:val="32"/>
    </w:rPr>
  </w:style>
  <w:style w:type="character" w:customStyle="1" w:styleId="2301">
    <w:name w:val="标题 4 字符"/>
    <w:qFormat/>
    <w:uiPriority w:val="0"/>
    <w:rPr>
      <w:rFonts w:ascii="等线 Light" w:hAnsi="等线 Light" w:eastAsia="等线 Light" w:cs="Times New Roman"/>
      <w:b/>
      <w:bCs/>
      <w:sz w:val="28"/>
      <w:szCs w:val="28"/>
    </w:rPr>
  </w:style>
  <w:style w:type="character" w:customStyle="1" w:styleId="2302">
    <w:name w:val="标题 5 字符"/>
    <w:semiHidden/>
    <w:qFormat/>
    <w:uiPriority w:val="9"/>
    <w:rPr>
      <w:rFonts w:ascii="Times New Roman" w:hAnsi="Times New Roman" w:eastAsia="宋体" w:cs="Times New Roman"/>
      <w:b/>
      <w:bCs/>
      <w:sz w:val="28"/>
      <w:szCs w:val="28"/>
    </w:rPr>
  </w:style>
  <w:style w:type="character" w:customStyle="1" w:styleId="2303">
    <w:name w:val="标题 6 字符"/>
    <w:semiHidden/>
    <w:qFormat/>
    <w:uiPriority w:val="9"/>
    <w:rPr>
      <w:rFonts w:ascii="等线 Light" w:hAnsi="等线 Light" w:eastAsia="等线 Light" w:cs="Times New Roman"/>
      <w:b/>
      <w:bCs/>
      <w:sz w:val="24"/>
      <w:szCs w:val="24"/>
    </w:rPr>
  </w:style>
  <w:style w:type="character" w:customStyle="1" w:styleId="2304">
    <w:name w:val="标题 7 字符"/>
    <w:qFormat/>
    <w:uiPriority w:val="0"/>
    <w:rPr>
      <w:rFonts w:ascii="Times New Roman" w:hAnsi="Times New Roman" w:eastAsia="宋体" w:cs="Times New Roman"/>
      <w:b/>
      <w:bCs/>
      <w:sz w:val="24"/>
      <w:szCs w:val="24"/>
    </w:rPr>
  </w:style>
  <w:style w:type="character" w:customStyle="1" w:styleId="2305">
    <w:name w:val="标题 8 字符"/>
    <w:semiHidden/>
    <w:qFormat/>
    <w:uiPriority w:val="9"/>
    <w:rPr>
      <w:rFonts w:ascii="等线 Light" w:hAnsi="等线 Light" w:eastAsia="等线 Light" w:cs="Times New Roman"/>
      <w:sz w:val="24"/>
      <w:szCs w:val="24"/>
    </w:rPr>
  </w:style>
  <w:style w:type="character" w:customStyle="1" w:styleId="2306">
    <w:name w:val="标题 9 字符"/>
    <w:semiHidden/>
    <w:qFormat/>
    <w:uiPriority w:val="9"/>
    <w:rPr>
      <w:rFonts w:ascii="等线 Light" w:hAnsi="等线 Light" w:eastAsia="等线 Light" w:cs="Times New Roman"/>
      <w:szCs w:val="21"/>
    </w:rPr>
  </w:style>
  <w:style w:type="character" w:customStyle="1" w:styleId="2307">
    <w:name w:val="HTML 地址 字符"/>
    <w:semiHidden/>
    <w:qFormat/>
    <w:uiPriority w:val="99"/>
    <w:rPr>
      <w:rFonts w:ascii="Times New Roman" w:hAnsi="Times New Roman" w:eastAsia="宋体" w:cs="Times New Roman"/>
      <w:i/>
      <w:iCs/>
      <w:szCs w:val="24"/>
    </w:rPr>
  </w:style>
  <w:style w:type="character" w:customStyle="1" w:styleId="2308">
    <w:name w:val="标题 1 字符1"/>
    <w:qFormat/>
    <w:locked/>
    <w:uiPriority w:val="0"/>
    <w:rPr>
      <w:rFonts w:ascii="Times New Roman" w:hAnsi="Times New Roman" w:eastAsia="宋体" w:cs="Times New Roman"/>
      <w:b/>
      <w:bCs/>
      <w:kern w:val="44"/>
      <w:sz w:val="44"/>
      <w:szCs w:val="44"/>
    </w:rPr>
  </w:style>
  <w:style w:type="character" w:customStyle="1" w:styleId="2309">
    <w:name w:val="标题 2 字符1"/>
    <w:qFormat/>
    <w:locked/>
    <w:uiPriority w:val="0"/>
    <w:rPr>
      <w:rFonts w:ascii="等线 Light" w:hAnsi="等线 Light" w:eastAsia="等线 Light" w:cs="Times New Roman"/>
      <w:b/>
      <w:bCs/>
      <w:sz w:val="32"/>
      <w:szCs w:val="32"/>
    </w:rPr>
  </w:style>
  <w:style w:type="character" w:customStyle="1" w:styleId="2310">
    <w:name w:val="标题 3 字符1"/>
    <w:qFormat/>
    <w:locked/>
    <w:uiPriority w:val="0"/>
    <w:rPr>
      <w:rFonts w:ascii="Times New Roman" w:hAnsi="Times New Roman" w:eastAsia="宋体" w:cs="Times New Roman"/>
      <w:b/>
      <w:bCs/>
      <w:sz w:val="32"/>
      <w:szCs w:val="32"/>
    </w:rPr>
  </w:style>
  <w:style w:type="character" w:customStyle="1" w:styleId="2311">
    <w:name w:val="正文文本 字符"/>
    <w:semiHidden/>
    <w:qFormat/>
    <w:uiPriority w:val="99"/>
    <w:rPr>
      <w:rFonts w:ascii="Times New Roman" w:hAnsi="Times New Roman" w:eastAsia="宋体" w:cs="Times New Roman"/>
      <w:szCs w:val="24"/>
    </w:rPr>
  </w:style>
  <w:style w:type="character" w:customStyle="1" w:styleId="2312">
    <w:name w:val="标题 4 字符1"/>
    <w:qFormat/>
    <w:locked/>
    <w:uiPriority w:val="0"/>
    <w:rPr>
      <w:rFonts w:ascii="等线 Light" w:hAnsi="等线 Light" w:eastAsia="等线 Light" w:cs="Times New Roman"/>
      <w:b/>
      <w:bCs/>
      <w:sz w:val="28"/>
      <w:szCs w:val="28"/>
    </w:rPr>
  </w:style>
  <w:style w:type="character" w:customStyle="1" w:styleId="2313">
    <w:name w:val="标题 5 字符1"/>
    <w:qFormat/>
    <w:locked/>
    <w:uiPriority w:val="0"/>
    <w:rPr>
      <w:rFonts w:ascii="Times New Roman" w:hAnsi="Times New Roman" w:eastAsia="宋体" w:cs="Times New Roman"/>
      <w:b/>
      <w:bCs/>
      <w:sz w:val="28"/>
      <w:szCs w:val="28"/>
    </w:rPr>
  </w:style>
  <w:style w:type="character" w:customStyle="1" w:styleId="2314">
    <w:name w:val="标题 6 字符1"/>
    <w:semiHidden/>
    <w:qFormat/>
    <w:locked/>
    <w:uiPriority w:val="0"/>
    <w:rPr>
      <w:rFonts w:ascii="等线 Light" w:hAnsi="等线 Light" w:eastAsia="等线 Light" w:cs="Times New Roman"/>
      <w:b/>
      <w:bCs/>
      <w:sz w:val="24"/>
      <w:szCs w:val="24"/>
    </w:rPr>
  </w:style>
  <w:style w:type="character" w:customStyle="1" w:styleId="2315">
    <w:name w:val="HTML 预设格式 字符"/>
    <w:semiHidden/>
    <w:qFormat/>
    <w:uiPriority w:val="99"/>
    <w:rPr>
      <w:rFonts w:ascii="Courier New" w:hAnsi="Courier New" w:eastAsia="宋体" w:cs="Times New Roman"/>
      <w:kern w:val="0"/>
      <w:sz w:val="20"/>
      <w:szCs w:val="20"/>
    </w:rPr>
  </w:style>
  <w:style w:type="character" w:customStyle="1" w:styleId="2316">
    <w:name w:val="标题 7 字符1"/>
    <w:semiHidden/>
    <w:qFormat/>
    <w:locked/>
    <w:uiPriority w:val="0"/>
    <w:rPr>
      <w:rFonts w:ascii="Times New Roman" w:hAnsi="Times New Roman" w:eastAsia="宋体" w:cs="Times New Roman"/>
      <w:b/>
      <w:bCs/>
      <w:sz w:val="24"/>
      <w:szCs w:val="24"/>
    </w:rPr>
  </w:style>
  <w:style w:type="character" w:customStyle="1" w:styleId="2317">
    <w:name w:val="标题 8 字符1"/>
    <w:semiHidden/>
    <w:qFormat/>
    <w:locked/>
    <w:uiPriority w:val="0"/>
    <w:rPr>
      <w:rFonts w:ascii="等线 Light" w:hAnsi="等线 Light" w:eastAsia="等线 Light" w:cs="Times New Roman"/>
      <w:sz w:val="24"/>
      <w:szCs w:val="24"/>
    </w:rPr>
  </w:style>
  <w:style w:type="character" w:customStyle="1" w:styleId="2318">
    <w:name w:val="标题 9 字符1"/>
    <w:semiHidden/>
    <w:qFormat/>
    <w:locked/>
    <w:uiPriority w:val="0"/>
    <w:rPr>
      <w:rFonts w:ascii="等线 Light" w:hAnsi="等线 Light" w:eastAsia="等线 Light" w:cs="Times New Roman"/>
      <w:szCs w:val="21"/>
    </w:rPr>
  </w:style>
  <w:style w:type="character" w:customStyle="1" w:styleId="2319">
    <w:name w:val="正文缩进 字符1"/>
    <w:semiHidden/>
    <w:qFormat/>
    <w:locked/>
    <w:uiPriority w:val="0"/>
    <w:rPr>
      <w:rFonts w:ascii="Times New Roman" w:hAnsi="Times New Roman" w:eastAsia="宋体" w:cs="Times New Roman"/>
      <w:szCs w:val="20"/>
    </w:rPr>
  </w:style>
  <w:style w:type="character" w:customStyle="1" w:styleId="2320">
    <w:name w:val="脚注文本 字符2"/>
    <w:semiHidden/>
    <w:qFormat/>
    <w:locked/>
    <w:uiPriority w:val="0"/>
    <w:rPr>
      <w:szCs w:val="18"/>
    </w:rPr>
  </w:style>
  <w:style w:type="character" w:customStyle="1" w:styleId="2321">
    <w:name w:val="批注文字 字符1"/>
    <w:qFormat/>
    <w:uiPriority w:val="99"/>
    <w:rPr>
      <w:rFonts w:ascii="宋体" w:hAnsi="宋体" w:eastAsia="宋体"/>
    </w:rPr>
  </w:style>
  <w:style w:type="character" w:customStyle="1" w:styleId="2322">
    <w:name w:val="批注文字 字符"/>
    <w:semiHidden/>
    <w:qFormat/>
    <w:uiPriority w:val="99"/>
    <w:rPr>
      <w:rFonts w:ascii="Times New Roman" w:hAnsi="Times New Roman" w:eastAsia="宋体" w:cs="Times New Roman"/>
      <w:szCs w:val="24"/>
    </w:rPr>
  </w:style>
  <w:style w:type="character" w:customStyle="1" w:styleId="2323">
    <w:name w:val="页眉 字符1"/>
    <w:semiHidden/>
    <w:qFormat/>
    <w:locked/>
    <w:uiPriority w:val="0"/>
    <w:rPr>
      <w:sz w:val="18"/>
      <w:szCs w:val="18"/>
    </w:rPr>
  </w:style>
  <w:style w:type="character" w:customStyle="1" w:styleId="2324">
    <w:name w:val="页眉 字符"/>
    <w:qFormat/>
    <w:uiPriority w:val="0"/>
    <w:rPr>
      <w:rFonts w:ascii="Times New Roman" w:hAnsi="Times New Roman" w:eastAsia="宋体" w:cs="Times New Roman"/>
      <w:sz w:val="18"/>
      <w:szCs w:val="18"/>
    </w:rPr>
  </w:style>
  <w:style w:type="character" w:customStyle="1" w:styleId="2325">
    <w:name w:val="页脚 字符1"/>
    <w:semiHidden/>
    <w:qFormat/>
    <w:locked/>
    <w:uiPriority w:val="0"/>
    <w:rPr>
      <w:sz w:val="18"/>
      <w:szCs w:val="18"/>
    </w:rPr>
  </w:style>
  <w:style w:type="character" w:customStyle="1" w:styleId="2326">
    <w:name w:val="页脚 字符"/>
    <w:qFormat/>
    <w:uiPriority w:val="99"/>
    <w:rPr>
      <w:rFonts w:ascii="Times New Roman" w:hAnsi="Times New Roman" w:eastAsia="宋体" w:cs="Times New Roman"/>
      <w:sz w:val="18"/>
      <w:szCs w:val="18"/>
    </w:rPr>
  </w:style>
  <w:style w:type="character" w:customStyle="1" w:styleId="2327">
    <w:name w:val="题注 字符1"/>
    <w:semiHidden/>
    <w:qFormat/>
    <w:locked/>
    <w:uiPriority w:val="0"/>
    <w:rPr>
      <w:rFonts w:ascii="Arial" w:hAnsi="Arial" w:eastAsia="黑体" w:cs="Arial"/>
    </w:rPr>
  </w:style>
  <w:style w:type="character" w:customStyle="1" w:styleId="2328">
    <w:name w:val="尾注文本 字符2"/>
    <w:semiHidden/>
    <w:qFormat/>
    <w:locked/>
    <w:uiPriority w:val="0"/>
  </w:style>
  <w:style w:type="character" w:customStyle="1" w:styleId="2329">
    <w:name w:val="标题 字符1"/>
    <w:qFormat/>
    <w:locked/>
    <w:uiPriority w:val="0"/>
    <w:rPr>
      <w:rFonts w:ascii="Cambria" w:hAnsi="Cambria"/>
      <w:b/>
      <w:bCs/>
      <w:sz w:val="32"/>
      <w:szCs w:val="32"/>
    </w:rPr>
  </w:style>
  <w:style w:type="character" w:customStyle="1" w:styleId="2330">
    <w:name w:val="结束语 字符2"/>
    <w:semiHidden/>
    <w:qFormat/>
    <w:locked/>
    <w:uiPriority w:val="0"/>
    <w:rPr>
      <w:rFonts w:ascii="仿宋_GB2312" w:eastAsia="仿宋_GB2312"/>
      <w:sz w:val="32"/>
      <w:szCs w:val="32"/>
    </w:rPr>
  </w:style>
  <w:style w:type="character" w:customStyle="1" w:styleId="2331">
    <w:name w:val="签名 字符2"/>
    <w:semiHidden/>
    <w:qFormat/>
    <w:locked/>
    <w:uiPriority w:val="0"/>
    <w:rPr>
      <w:szCs w:val="24"/>
    </w:rPr>
  </w:style>
  <w:style w:type="character" w:customStyle="1" w:styleId="2332">
    <w:name w:val="正文文本 字符1"/>
    <w:semiHidden/>
    <w:qFormat/>
    <w:locked/>
    <w:uiPriority w:val="0"/>
    <w:rPr>
      <w:rFonts w:ascii="Times New Roman" w:hAnsi="Times New Roman" w:eastAsia="宋体" w:cs="Times New Roman"/>
      <w:kern w:val="0"/>
      <w:sz w:val="24"/>
      <w:szCs w:val="24"/>
    </w:rPr>
  </w:style>
  <w:style w:type="character" w:customStyle="1" w:styleId="2333">
    <w:name w:val="正文文本缩进 字符1"/>
    <w:semiHidden/>
    <w:qFormat/>
    <w:locked/>
    <w:uiPriority w:val="0"/>
    <w:rPr>
      <w:szCs w:val="24"/>
    </w:rPr>
  </w:style>
  <w:style w:type="character" w:customStyle="1" w:styleId="2334">
    <w:name w:val="正文文本缩进 字符"/>
    <w:semiHidden/>
    <w:qFormat/>
    <w:uiPriority w:val="99"/>
    <w:rPr>
      <w:rFonts w:ascii="Times New Roman" w:hAnsi="Times New Roman" w:eastAsia="宋体" w:cs="Times New Roman"/>
      <w:szCs w:val="24"/>
    </w:rPr>
  </w:style>
  <w:style w:type="character" w:customStyle="1" w:styleId="2335">
    <w:name w:val="信息标题 字符2"/>
    <w:semiHidden/>
    <w:qFormat/>
    <w:locked/>
    <w:uiPriority w:val="0"/>
    <w:rPr>
      <w:rFonts w:ascii="Arial" w:hAnsi="Arial" w:cs="Arial"/>
      <w:szCs w:val="24"/>
      <w:shd w:val="pct20" w:color="auto" w:fill="auto"/>
    </w:rPr>
  </w:style>
  <w:style w:type="character" w:customStyle="1" w:styleId="2336">
    <w:name w:val="副标题 字符1"/>
    <w:qFormat/>
    <w:locked/>
    <w:uiPriority w:val="0"/>
    <w:rPr>
      <w:rFonts w:ascii="Cambria" w:hAnsi="Cambria"/>
      <w:b/>
      <w:bCs/>
      <w:kern w:val="28"/>
      <w:sz w:val="32"/>
      <w:szCs w:val="32"/>
    </w:rPr>
  </w:style>
  <w:style w:type="character" w:customStyle="1" w:styleId="2337">
    <w:name w:val="纯文本 字符"/>
    <w:uiPriority w:val="0"/>
    <w:rPr>
      <w:rFonts w:ascii="等线" w:hAnsi="Courier New" w:cs="Courier New"/>
      <w:szCs w:val="24"/>
    </w:rPr>
  </w:style>
  <w:style w:type="character" w:customStyle="1" w:styleId="2338">
    <w:name w:val="称呼 字符2"/>
    <w:semiHidden/>
    <w:qFormat/>
    <w:locked/>
    <w:uiPriority w:val="0"/>
    <w:rPr>
      <w:rFonts w:ascii="宋体" w:hAnsi="Courier New" w:eastAsia="宋体"/>
      <w:sz w:val="24"/>
      <w:szCs w:val="21"/>
    </w:rPr>
  </w:style>
  <w:style w:type="character" w:customStyle="1" w:styleId="2339">
    <w:name w:val="日期 字符1"/>
    <w:semiHidden/>
    <w:qFormat/>
    <w:locked/>
    <w:uiPriority w:val="0"/>
    <w:rPr>
      <w:rFonts w:ascii="仿宋_GB2312" w:eastAsia="仿宋_GB2312"/>
      <w:b/>
      <w:sz w:val="32"/>
      <w:szCs w:val="24"/>
    </w:rPr>
  </w:style>
  <w:style w:type="character" w:customStyle="1" w:styleId="2340">
    <w:name w:val="正文文本首行缩进 字符1"/>
    <w:semiHidden/>
    <w:qFormat/>
    <w:locked/>
    <w:uiPriority w:val="0"/>
    <w:rPr>
      <w:sz w:val="24"/>
      <w:szCs w:val="24"/>
    </w:rPr>
  </w:style>
  <w:style w:type="character" w:customStyle="1" w:styleId="2341">
    <w:name w:val="正文文本首行缩进 字符"/>
    <w:semiHidden/>
    <w:qFormat/>
    <w:uiPriority w:val="99"/>
  </w:style>
  <w:style w:type="character" w:customStyle="1" w:styleId="2342">
    <w:name w:val="正文文本首行缩进 2 字符"/>
    <w:semiHidden/>
    <w:qFormat/>
    <w:locked/>
    <w:uiPriority w:val="99"/>
  </w:style>
  <w:style w:type="character" w:customStyle="1" w:styleId="2343">
    <w:name w:val="注释标题 字符1"/>
    <w:semiHidden/>
    <w:qFormat/>
    <w:uiPriority w:val="0"/>
    <w:rPr>
      <w:rFonts w:ascii="宋体" w:hAnsi="宋体" w:eastAsia="宋体"/>
      <w:sz w:val="28"/>
    </w:rPr>
  </w:style>
  <w:style w:type="character" w:customStyle="1" w:styleId="2344">
    <w:name w:val="注释标题 字符"/>
    <w:semiHidden/>
    <w:qFormat/>
    <w:uiPriority w:val="99"/>
    <w:rPr>
      <w:rFonts w:ascii="Times New Roman" w:hAnsi="Times New Roman" w:eastAsia="宋体" w:cs="Times New Roman"/>
      <w:szCs w:val="24"/>
    </w:rPr>
  </w:style>
  <w:style w:type="character" w:customStyle="1" w:styleId="2345">
    <w:name w:val="正文文本 2 字符1"/>
    <w:semiHidden/>
    <w:qFormat/>
    <w:locked/>
    <w:uiPriority w:val="0"/>
    <w:rPr>
      <w:sz w:val="24"/>
      <w:szCs w:val="24"/>
    </w:rPr>
  </w:style>
  <w:style w:type="character" w:customStyle="1" w:styleId="2346">
    <w:name w:val="正文文本 3 字符1"/>
    <w:semiHidden/>
    <w:qFormat/>
    <w:locked/>
    <w:uiPriority w:val="0"/>
    <w:rPr>
      <w:sz w:val="24"/>
      <w:szCs w:val="24"/>
    </w:rPr>
  </w:style>
  <w:style w:type="character" w:customStyle="1" w:styleId="2347">
    <w:name w:val="正文文本 3 字符"/>
    <w:semiHidden/>
    <w:qFormat/>
    <w:uiPriority w:val="99"/>
    <w:rPr>
      <w:rFonts w:ascii="Times New Roman" w:hAnsi="Times New Roman" w:eastAsia="宋体" w:cs="Times New Roman"/>
      <w:sz w:val="16"/>
      <w:szCs w:val="16"/>
    </w:rPr>
  </w:style>
  <w:style w:type="character" w:customStyle="1" w:styleId="2348">
    <w:name w:val="正文文本缩进 2 字符1"/>
    <w:semiHidden/>
    <w:qFormat/>
    <w:locked/>
    <w:uiPriority w:val="0"/>
    <w:rPr>
      <w:sz w:val="24"/>
      <w:szCs w:val="24"/>
    </w:rPr>
  </w:style>
  <w:style w:type="character" w:customStyle="1" w:styleId="2349">
    <w:name w:val="正文文本缩进 2 字符"/>
    <w:semiHidden/>
    <w:qFormat/>
    <w:uiPriority w:val="99"/>
    <w:rPr>
      <w:rFonts w:ascii="Times New Roman" w:hAnsi="Times New Roman" w:eastAsia="宋体" w:cs="Times New Roman"/>
      <w:szCs w:val="24"/>
    </w:rPr>
  </w:style>
  <w:style w:type="character" w:customStyle="1" w:styleId="2350">
    <w:name w:val="正文文本缩进 3 字符1"/>
    <w:semiHidden/>
    <w:qFormat/>
    <w:locked/>
    <w:uiPriority w:val="0"/>
    <w:rPr>
      <w:sz w:val="28"/>
      <w:szCs w:val="24"/>
    </w:rPr>
  </w:style>
  <w:style w:type="character" w:customStyle="1" w:styleId="2351">
    <w:name w:val="正文文本缩进 3 字符"/>
    <w:semiHidden/>
    <w:qFormat/>
    <w:uiPriority w:val="99"/>
    <w:rPr>
      <w:rFonts w:ascii="Times New Roman" w:hAnsi="Times New Roman" w:eastAsia="宋体" w:cs="Times New Roman"/>
      <w:sz w:val="16"/>
      <w:szCs w:val="16"/>
    </w:rPr>
  </w:style>
  <w:style w:type="character" w:customStyle="1" w:styleId="2352">
    <w:name w:val="文本块 字符"/>
    <w:semiHidden/>
    <w:qFormat/>
    <w:locked/>
    <w:uiPriority w:val="0"/>
    <w:rPr>
      <w:spacing w:val="26"/>
      <w:sz w:val="28"/>
    </w:rPr>
  </w:style>
  <w:style w:type="character" w:customStyle="1" w:styleId="2353">
    <w:name w:val="文档结构图 字符1"/>
    <w:semiHidden/>
    <w:qFormat/>
    <w:locked/>
    <w:uiPriority w:val="0"/>
    <w:rPr>
      <w:szCs w:val="24"/>
      <w:shd w:val="clear" w:color="auto" w:fill="000080"/>
    </w:rPr>
  </w:style>
  <w:style w:type="character" w:customStyle="1" w:styleId="2354">
    <w:name w:val="纯文本 字符1"/>
    <w:semiHidden/>
    <w:qFormat/>
    <w:locked/>
    <w:uiPriority w:val="0"/>
    <w:rPr>
      <w:rFonts w:ascii="宋体" w:hAnsi="Courier New" w:eastAsia="宋体" w:cs="Courier New"/>
      <w:szCs w:val="21"/>
    </w:rPr>
  </w:style>
  <w:style w:type="character" w:customStyle="1" w:styleId="2355">
    <w:name w:val="电子邮件签名 字符2"/>
    <w:semiHidden/>
    <w:qFormat/>
    <w:locked/>
    <w:uiPriority w:val="0"/>
    <w:rPr>
      <w:szCs w:val="24"/>
    </w:rPr>
  </w:style>
  <w:style w:type="character" w:customStyle="1" w:styleId="2356">
    <w:name w:val="批注主题 字符1"/>
    <w:semiHidden/>
    <w:qFormat/>
    <w:uiPriority w:val="0"/>
    <w:rPr>
      <w:rFonts w:ascii="宋体" w:hAnsi="宋体" w:eastAsia="宋体"/>
      <w:b/>
      <w:bCs/>
      <w:color w:val="000000"/>
      <w:sz w:val="24"/>
      <w:szCs w:val="24"/>
    </w:rPr>
  </w:style>
  <w:style w:type="character" w:customStyle="1" w:styleId="2357">
    <w:name w:val="批注主题 字符"/>
    <w:semiHidden/>
    <w:uiPriority w:val="99"/>
    <w:rPr>
      <w:rFonts w:ascii="Times New Roman" w:hAnsi="Times New Roman" w:eastAsia="宋体" w:cs="Times New Roman"/>
      <w:b/>
      <w:bCs/>
      <w:szCs w:val="24"/>
    </w:rPr>
  </w:style>
  <w:style w:type="character" w:customStyle="1" w:styleId="2358">
    <w:name w:val="批注框文本 Char2"/>
    <w:link w:val="53"/>
    <w:locked/>
    <w:uiPriority w:val="99"/>
    <w:rPr>
      <w:sz w:val="18"/>
      <w:szCs w:val="18"/>
    </w:rPr>
  </w:style>
  <w:style w:type="character" w:customStyle="1" w:styleId="2359">
    <w:name w:val="无间隔 字符"/>
    <w:locked/>
    <w:uiPriority w:val="1"/>
    <w:rPr>
      <w:szCs w:val="32"/>
    </w:rPr>
  </w:style>
  <w:style w:type="character" w:customStyle="1" w:styleId="2360">
    <w:name w:val="引用 字符2"/>
    <w:locked/>
    <w:uiPriority w:val="0"/>
    <w:rPr>
      <w:i/>
      <w:szCs w:val="24"/>
    </w:rPr>
  </w:style>
  <w:style w:type="character" w:customStyle="1" w:styleId="2361">
    <w:name w:val="明显引用 字符2"/>
    <w:locked/>
    <w:uiPriority w:val="0"/>
    <w:rPr>
      <w:b/>
      <w:i/>
    </w:rPr>
  </w:style>
  <w:style w:type="paragraph" w:customStyle="1" w:styleId="2362">
    <w:name w:val="正文21"/>
    <w:basedOn w:val="1"/>
    <w:link w:val="2451"/>
    <w:qFormat/>
    <w:uiPriority w:val="0"/>
    <w:pPr>
      <w:adjustRightInd w:val="0"/>
      <w:snapToGrid w:val="0"/>
      <w:spacing w:line="440" w:lineRule="atLeast"/>
      <w:ind w:firstLine="510"/>
    </w:pPr>
    <w:rPr>
      <w:szCs w:val="20"/>
    </w:rPr>
  </w:style>
  <w:style w:type="character" w:customStyle="1" w:styleId="2363">
    <w:name w:val="正文文本 2 字符"/>
    <w:semiHidden/>
    <w:uiPriority w:val="99"/>
    <w:rPr>
      <w:rFonts w:ascii="Times New Roman" w:hAnsi="Times New Roman" w:eastAsia="宋体" w:cs="Times New Roman"/>
      <w:szCs w:val="24"/>
    </w:rPr>
  </w:style>
  <w:style w:type="character" w:customStyle="1" w:styleId="2364">
    <w:name w:val="正文文本首行缩进 2 字符1"/>
    <w:semiHidden/>
    <w:uiPriority w:val="99"/>
  </w:style>
  <w:style w:type="character" w:customStyle="1" w:styleId="2365">
    <w:name w:val="标题 字符"/>
    <w:uiPriority w:val="10"/>
    <w:rPr>
      <w:rFonts w:ascii="等线 Light" w:hAnsi="等线 Light" w:eastAsia="等线 Light" w:cs="Times New Roman"/>
      <w:b/>
      <w:bCs/>
      <w:sz w:val="32"/>
      <w:szCs w:val="32"/>
    </w:rPr>
  </w:style>
  <w:style w:type="character" w:customStyle="1" w:styleId="2366">
    <w:name w:val="文档结构图 字符"/>
    <w:semiHidden/>
    <w:uiPriority w:val="99"/>
    <w:rPr>
      <w:rFonts w:ascii="Microsoft YaHei UI" w:hAnsi="Times New Roman" w:eastAsia="Microsoft YaHei UI" w:cs="Times New Roman"/>
      <w:sz w:val="18"/>
      <w:szCs w:val="18"/>
    </w:rPr>
  </w:style>
  <w:style w:type="paragraph" w:customStyle="1" w:styleId="2367">
    <w:name w:val="标题 711"/>
    <w:basedOn w:val="1"/>
    <w:qFormat/>
    <w:uiPriority w:val="1"/>
    <w:pPr>
      <w:spacing w:before="26"/>
      <w:ind w:right="101"/>
      <w:outlineLvl w:val="7"/>
    </w:pPr>
    <w:rPr>
      <w:b/>
      <w:bCs/>
      <w:lang w:eastAsia="en-US"/>
    </w:rPr>
  </w:style>
  <w:style w:type="paragraph" w:customStyle="1" w:styleId="2368">
    <w:name w:val="纯文本31"/>
    <w:basedOn w:val="1"/>
    <w:qFormat/>
    <w:uiPriority w:val="0"/>
    <w:pPr>
      <w:adjustRightInd w:val="0"/>
    </w:pPr>
    <w:rPr>
      <w:rFonts w:hAnsi="Courier New"/>
      <w:szCs w:val="20"/>
    </w:rPr>
  </w:style>
  <w:style w:type="paragraph" w:customStyle="1" w:styleId="2369">
    <w:name w:val="标题 211"/>
    <w:basedOn w:val="1"/>
    <w:qFormat/>
    <w:uiPriority w:val="1"/>
    <w:pPr>
      <w:spacing w:before="131"/>
      <w:ind w:left="100"/>
      <w:outlineLvl w:val="2"/>
    </w:pPr>
    <w:rPr>
      <w:b/>
      <w:bCs/>
      <w:sz w:val="28"/>
      <w:szCs w:val="28"/>
      <w:lang w:eastAsia="en-US"/>
    </w:rPr>
  </w:style>
  <w:style w:type="paragraph" w:customStyle="1" w:styleId="2370">
    <w:name w:val="标题 312"/>
    <w:basedOn w:val="1"/>
    <w:qFormat/>
    <w:uiPriority w:val="1"/>
    <w:pPr>
      <w:ind w:left="100"/>
      <w:outlineLvl w:val="3"/>
    </w:pPr>
    <w:rPr>
      <w:b/>
      <w:bCs/>
      <w:lang w:eastAsia="en-US"/>
    </w:rPr>
  </w:style>
  <w:style w:type="character" w:customStyle="1" w:styleId="2371">
    <w:name w:val="副标题 字符"/>
    <w:uiPriority w:val="11"/>
    <w:rPr>
      <w:b/>
      <w:bCs/>
      <w:kern w:val="28"/>
      <w:sz w:val="32"/>
      <w:szCs w:val="32"/>
    </w:rPr>
  </w:style>
  <w:style w:type="character" w:customStyle="1" w:styleId="2372">
    <w:name w:val="日期 字符"/>
    <w:semiHidden/>
    <w:uiPriority w:val="99"/>
    <w:rPr>
      <w:rFonts w:ascii="Times New Roman" w:hAnsi="Times New Roman" w:eastAsia="宋体" w:cs="Times New Roman"/>
      <w:szCs w:val="24"/>
    </w:rPr>
  </w:style>
  <w:style w:type="character" w:customStyle="1" w:styleId="2373">
    <w:name w:val="标题5"/>
    <w:uiPriority w:val="0"/>
  </w:style>
  <w:style w:type="character" w:customStyle="1" w:styleId="2374">
    <w:name w:val="批注框文本 字符1"/>
    <w:semiHidden/>
    <w:uiPriority w:val="0"/>
    <w:rPr>
      <w:rFonts w:ascii="Times New Roman" w:hAnsi="Times New Roman" w:eastAsia="宋体" w:cs="Times New Roman"/>
      <w:sz w:val="18"/>
      <w:szCs w:val="18"/>
    </w:rPr>
  </w:style>
  <w:style w:type="character" w:customStyle="1" w:styleId="2375">
    <w:name w:val="称呼 字符"/>
    <w:semiHidden/>
    <w:uiPriority w:val="99"/>
    <w:rPr>
      <w:kern w:val="2"/>
      <w:sz w:val="21"/>
      <w:szCs w:val="24"/>
    </w:rPr>
  </w:style>
  <w:style w:type="character" w:customStyle="1" w:styleId="2376">
    <w:name w:val="引用 字符"/>
    <w:uiPriority w:val="29"/>
    <w:rPr>
      <w:i/>
      <w:iCs/>
      <w:color w:val="404040"/>
      <w:kern w:val="2"/>
      <w:sz w:val="21"/>
      <w:szCs w:val="24"/>
    </w:rPr>
  </w:style>
  <w:style w:type="character" w:customStyle="1" w:styleId="2377">
    <w:name w:val="引用 字符1"/>
    <w:uiPriority w:val="0"/>
    <w:rPr>
      <w:rFonts w:ascii="Times New Roman" w:hAnsi="Times New Roman" w:eastAsia="宋体" w:cs="Times New Roman"/>
      <w:i/>
      <w:iCs/>
      <w:color w:val="404040"/>
      <w:szCs w:val="24"/>
    </w:rPr>
  </w:style>
  <w:style w:type="character" w:customStyle="1" w:styleId="2378">
    <w:name w:val="明显引用 字符"/>
    <w:uiPriority w:val="30"/>
    <w:rPr>
      <w:i/>
      <w:iCs/>
      <w:color w:val="4472C4"/>
      <w:kern w:val="2"/>
      <w:sz w:val="21"/>
      <w:szCs w:val="24"/>
    </w:rPr>
  </w:style>
  <w:style w:type="character" w:customStyle="1" w:styleId="2379">
    <w:name w:val="明显引用 字符1"/>
    <w:uiPriority w:val="0"/>
    <w:rPr>
      <w:rFonts w:ascii="Times New Roman" w:hAnsi="Times New Roman" w:eastAsia="宋体" w:cs="Times New Roman"/>
      <w:i/>
      <w:iCs/>
      <w:color w:val="4472C4"/>
      <w:szCs w:val="24"/>
    </w:rPr>
  </w:style>
  <w:style w:type="character" w:customStyle="1" w:styleId="2380">
    <w:name w:val="称呼 字符1"/>
    <w:semiHidden/>
    <w:uiPriority w:val="0"/>
    <w:rPr>
      <w:rFonts w:ascii="Times New Roman" w:hAnsi="Times New Roman" w:eastAsia="宋体" w:cs="Times New Roman"/>
      <w:szCs w:val="24"/>
    </w:rPr>
  </w:style>
  <w:style w:type="character" w:customStyle="1" w:styleId="2381">
    <w:name w:val="结束语 字符"/>
    <w:semiHidden/>
    <w:uiPriority w:val="99"/>
    <w:rPr>
      <w:kern w:val="2"/>
      <w:sz w:val="21"/>
      <w:szCs w:val="24"/>
    </w:rPr>
  </w:style>
  <w:style w:type="character" w:customStyle="1" w:styleId="2382">
    <w:name w:val="结束语 字符1"/>
    <w:semiHidden/>
    <w:uiPriority w:val="0"/>
    <w:rPr>
      <w:rFonts w:ascii="Times New Roman" w:hAnsi="Times New Roman" w:eastAsia="宋体" w:cs="Times New Roman"/>
      <w:szCs w:val="24"/>
    </w:rPr>
  </w:style>
  <w:style w:type="character" w:customStyle="1" w:styleId="2383">
    <w:name w:val="脚注文本 字符"/>
    <w:semiHidden/>
    <w:uiPriority w:val="99"/>
    <w:rPr>
      <w:kern w:val="2"/>
      <w:sz w:val="18"/>
      <w:szCs w:val="18"/>
    </w:rPr>
  </w:style>
  <w:style w:type="character" w:customStyle="1" w:styleId="2384">
    <w:name w:val="脚注文本 字符1"/>
    <w:semiHidden/>
    <w:uiPriority w:val="0"/>
    <w:rPr>
      <w:rFonts w:ascii="Times New Roman" w:hAnsi="Times New Roman" w:eastAsia="宋体" w:cs="Times New Roman"/>
      <w:sz w:val="18"/>
      <w:szCs w:val="18"/>
    </w:rPr>
  </w:style>
  <w:style w:type="character" w:customStyle="1" w:styleId="2385">
    <w:name w:val="z-窗体顶端 字符"/>
    <w:semiHidden/>
    <w:uiPriority w:val="99"/>
    <w:rPr>
      <w:rFonts w:hint="default" w:ascii="Arial" w:hAnsi="Arial" w:cs="Arial"/>
      <w:vanish/>
      <w:kern w:val="2"/>
      <w:sz w:val="16"/>
      <w:szCs w:val="16"/>
    </w:rPr>
  </w:style>
  <w:style w:type="character" w:customStyle="1" w:styleId="2386">
    <w:name w:val="z-窗体顶端 字符1"/>
    <w:semiHidden/>
    <w:uiPriority w:val="0"/>
    <w:rPr>
      <w:rFonts w:ascii="Arial" w:hAnsi="Arial" w:eastAsia="宋体" w:cs="Arial"/>
      <w:vanish/>
      <w:sz w:val="16"/>
      <w:szCs w:val="16"/>
    </w:rPr>
  </w:style>
  <w:style w:type="character" w:customStyle="1" w:styleId="2387">
    <w:name w:val="z-窗体顶端 字符2"/>
    <w:semiHidden/>
    <w:locked/>
    <w:uiPriority w:val="0"/>
    <w:rPr>
      <w:rFonts w:ascii="Arial" w:hAnsi="Arial" w:eastAsia="宋体" w:cs="Arial"/>
      <w:vanish/>
      <w:sz w:val="16"/>
      <w:szCs w:val="16"/>
    </w:rPr>
  </w:style>
  <w:style w:type="character" w:customStyle="1" w:styleId="2388">
    <w:name w:val="z-窗体底端 字符"/>
    <w:semiHidden/>
    <w:uiPriority w:val="99"/>
    <w:rPr>
      <w:rFonts w:hint="default" w:ascii="Arial" w:hAnsi="Arial" w:cs="Arial"/>
      <w:vanish/>
      <w:kern w:val="2"/>
      <w:sz w:val="16"/>
      <w:szCs w:val="16"/>
    </w:rPr>
  </w:style>
  <w:style w:type="character" w:customStyle="1" w:styleId="2389">
    <w:name w:val="z-窗体底端 字符1"/>
    <w:semiHidden/>
    <w:uiPriority w:val="0"/>
    <w:rPr>
      <w:rFonts w:ascii="Arial" w:hAnsi="Arial" w:eastAsia="宋体" w:cs="Arial"/>
      <w:vanish/>
      <w:sz w:val="16"/>
      <w:szCs w:val="16"/>
    </w:rPr>
  </w:style>
  <w:style w:type="character" w:customStyle="1" w:styleId="2390">
    <w:name w:val="z-窗体底端 字符2"/>
    <w:semiHidden/>
    <w:locked/>
    <w:uiPriority w:val="0"/>
    <w:rPr>
      <w:rFonts w:ascii="Arial" w:hAnsi="Arial" w:eastAsia="宋体" w:cs="Arial"/>
      <w:vanish/>
      <w:sz w:val="16"/>
      <w:szCs w:val="16"/>
    </w:rPr>
  </w:style>
  <w:style w:type="character" w:customStyle="1" w:styleId="2391">
    <w:name w:val="尾注文本 字符"/>
    <w:semiHidden/>
    <w:uiPriority w:val="99"/>
    <w:rPr>
      <w:kern w:val="2"/>
      <w:sz w:val="21"/>
      <w:szCs w:val="24"/>
    </w:rPr>
  </w:style>
  <w:style w:type="character" w:customStyle="1" w:styleId="2392">
    <w:name w:val="尾注文本 字符1"/>
    <w:semiHidden/>
    <w:uiPriority w:val="0"/>
    <w:rPr>
      <w:rFonts w:ascii="Times New Roman" w:hAnsi="Times New Roman" w:eastAsia="宋体" w:cs="Times New Roman"/>
      <w:szCs w:val="24"/>
    </w:rPr>
  </w:style>
  <w:style w:type="character" w:customStyle="1" w:styleId="2393">
    <w:name w:val="HTML 地址 字符1"/>
    <w:semiHidden/>
    <w:locked/>
    <w:uiPriority w:val="0"/>
    <w:rPr>
      <w:rFonts w:ascii="Times New Roman" w:hAnsi="Times New Roman" w:eastAsia="宋体" w:cs="Times New Roman"/>
      <w:i/>
      <w:iCs/>
      <w:szCs w:val="24"/>
    </w:rPr>
  </w:style>
  <w:style w:type="character" w:customStyle="1" w:styleId="2394">
    <w:name w:val="电子邮件签名 字符"/>
    <w:semiHidden/>
    <w:uiPriority w:val="99"/>
    <w:rPr>
      <w:kern w:val="2"/>
      <w:sz w:val="21"/>
      <w:szCs w:val="24"/>
    </w:rPr>
  </w:style>
  <w:style w:type="character" w:customStyle="1" w:styleId="2395">
    <w:name w:val="电子邮件签名 字符1"/>
    <w:semiHidden/>
    <w:uiPriority w:val="0"/>
    <w:rPr>
      <w:rFonts w:ascii="Times New Roman" w:hAnsi="Times New Roman" w:eastAsia="宋体" w:cs="Times New Roman"/>
      <w:szCs w:val="24"/>
    </w:rPr>
  </w:style>
  <w:style w:type="character" w:customStyle="1" w:styleId="2396">
    <w:name w:val="签名 字符"/>
    <w:semiHidden/>
    <w:uiPriority w:val="99"/>
    <w:rPr>
      <w:kern w:val="2"/>
      <w:sz w:val="21"/>
      <w:szCs w:val="24"/>
    </w:rPr>
  </w:style>
  <w:style w:type="character" w:customStyle="1" w:styleId="2397">
    <w:name w:val="签名 字符1"/>
    <w:semiHidden/>
    <w:uiPriority w:val="0"/>
    <w:rPr>
      <w:rFonts w:ascii="Times New Roman" w:hAnsi="Times New Roman" w:eastAsia="宋体" w:cs="Times New Roman"/>
      <w:szCs w:val="24"/>
    </w:rPr>
  </w:style>
  <w:style w:type="character" w:customStyle="1" w:styleId="2398">
    <w:name w:val="信息标题 字符"/>
    <w:semiHidden/>
    <w:uiPriority w:val="99"/>
    <w:rPr>
      <w:rFonts w:hint="eastAsia" w:ascii="等线 Light" w:hAnsi="等线 Light" w:eastAsia="等线 Light" w:cs="Times New Roman"/>
      <w:kern w:val="2"/>
      <w:sz w:val="24"/>
      <w:szCs w:val="24"/>
      <w:shd w:val="pct20" w:color="auto" w:fill="auto"/>
    </w:rPr>
  </w:style>
  <w:style w:type="character" w:customStyle="1" w:styleId="2399">
    <w:name w:val="信息标题 字符1"/>
    <w:semiHidden/>
    <w:uiPriority w:val="0"/>
    <w:rPr>
      <w:rFonts w:ascii="等线 Light" w:hAnsi="等线 Light" w:eastAsia="等线 Light" w:cs="Times New Roman"/>
      <w:sz w:val="24"/>
      <w:szCs w:val="24"/>
      <w:shd w:val="pct20" w:color="auto" w:fill="auto"/>
    </w:rPr>
  </w:style>
  <w:style w:type="paragraph" w:customStyle="1" w:styleId="2400">
    <w:name w:val="正文22"/>
    <w:basedOn w:val="1"/>
    <w:uiPriority w:val="0"/>
    <w:pPr>
      <w:adjustRightInd w:val="0"/>
      <w:snapToGrid w:val="0"/>
      <w:spacing w:line="440" w:lineRule="atLeast"/>
      <w:ind w:firstLine="510"/>
    </w:pPr>
    <w:rPr>
      <w:szCs w:val="20"/>
    </w:rPr>
  </w:style>
  <w:style w:type="character" w:customStyle="1" w:styleId="2401">
    <w:name w:val="未处理的提及1"/>
    <w:semiHidden/>
    <w:unhideWhenUsed/>
    <w:uiPriority w:val="99"/>
    <w:rPr>
      <w:color w:val="605E5C"/>
      <w:shd w:val="clear" w:color="auto" w:fill="E1DFDD"/>
    </w:rPr>
  </w:style>
  <w:style w:type="paragraph" w:customStyle="1" w:styleId="2402">
    <w:name w:val="表格内容11"/>
    <w:basedOn w:val="31"/>
    <w:link w:val="2403"/>
    <w:qFormat/>
    <w:uiPriority w:val="99"/>
    <w:rPr>
      <w:rFonts w:ascii="Times New Roman" w:hAnsi="Times New Roman" w:cs="Times New Roman"/>
      <w:sz w:val="20"/>
    </w:rPr>
  </w:style>
  <w:style w:type="character" w:customStyle="1" w:styleId="2403">
    <w:name w:val="表格内容11 Char"/>
    <w:link w:val="2402"/>
    <w:uiPriority w:val="99"/>
    <w:rPr>
      <w:szCs w:val="21"/>
    </w:rPr>
  </w:style>
  <w:style w:type="paragraph" w:customStyle="1" w:styleId="2404">
    <w:name w:val="Char Char Char Char Char Char Char Char Char Char Char Char Char Char Char Char Char Char Char Char Char Char Char Char3"/>
    <w:basedOn w:val="1"/>
    <w:uiPriority w:val="0"/>
    <w:pPr>
      <w:spacing w:line="360" w:lineRule="auto"/>
    </w:pPr>
    <w:rPr>
      <w:szCs w:val="21"/>
    </w:rPr>
  </w:style>
  <w:style w:type="character" w:customStyle="1" w:styleId="2405">
    <w:name w:val="报告书表格 Char"/>
    <w:link w:val="2406"/>
    <w:uiPriority w:val="0"/>
    <w:rPr>
      <w:sz w:val="21"/>
    </w:rPr>
  </w:style>
  <w:style w:type="paragraph" w:customStyle="1" w:styleId="2406">
    <w:name w:val="报告书表格"/>
    <w:basedOn w:val="1"/>
    <w:link w:val="2405"/>
    <w:uiPriority w:val="0"/>
    <w:pPr>
      <w:adjustRightInd w:val="0"/>
      <w:spacing w:before="60" w:after="60" w:line="240" w:lineRule="atLeast"/>
      <w:jc w:val="center"/>
      <w:textAlignment w:val="baseline"/>
    </w:pPr>
    <w:rPr>
      <w:szCs w:val="20"/>
    </w:rPr>
  </w:style>
  <w:style w:type="character" w:customStyle="1" w:styleId="2407">
    <w:name w:val="bb"/>
    <w:basedOn w:val="132"/>
    <w:semiHidden/>
    <w:uiPriority w:val="0"/>
  </w:style>
  <w:style w:type="character" w:customStyle="1" w:styleId="2408">
    <w:name w:val="Char Char1"/>
    <w:semiHidden/>
    <w:uiPriority w:val="0"/>
    <w:rPr>
      <w:kern w:val="2"/>
      <w:sz w:val="18"/>
    </w:rPr>
  </w:style>
  <w:style w:type="character" w:customStyle="1" w:styleId="2409">
    <w:name w:val="正文内容 Char Char"/>
    <w:uiPriority w:val="0"/>
    <w:rPr>
      <w:rFonts w:eastAsia="宋体"/>
      <w:sz w:val="24"/>
      <w:lang w:val="en-US" w:eastAsia="zh-CN"/>
    </w:rPr>
  </w:style>
  <w:style w:type="character" w:customStyle="1" w:styleId="2410">
    <w:name w:val="正文wang Char"/>
    <w:link w:val="2411"/>
    <w:semiHidden/>
    <w:uiPriority w:val="0"/>
    <w:rPr>
      <w:rFonts w:hAnsi="宋体"/>
      <w:sz w:val="21"/>
    </w:rPr>
  </w:style>
  <w:style w:type="paragraph" w:customStyle="1" w:styleId="2411">
    <w:name w:val="正文wang"/>
    <w:basedOn w:val="1"/>
    <w:link w:val="2410"/>
    <w:semiHidden/>
    <w:uiPriority w:val="0"/>
    <w:pPr>
      <w:adjustRightInd w:val="0"/>
      <w:spacing w:beforeLines="25"/>
    </w:pPr>
    <w:rPr>
      <w:szCs w:val="20"/>
    </w:rPr>
  </w:style>
  <w:style w:type="character" w:customStyle="1" w:styleId="2412">
    <w:name w:val="a1"/>
    <w:semiHidden/>
    <w:uiPriority w:val="0"/>
    <w:rPr>
      <w:rFonts w:hint="eastAsia" w:ascii="宋体" w:hAnsi="宋体" w:eastAsia="宋体"/>
      <w:color w:val="000000"/>
      <w:sz w:val="18"/>
    </w:rPr>
  </w:style>
  <w:style w:type="character" w:customStyle="1" w:styleId="2413">
    <w:name w:val="样式 (符号) 宋体 小四 行距: 固定值 26 磅 Char Char Char"/>
    <w:link w:val="2414"/>
    <w:semiHidden/>
    <w:uiPriority w:val="0"/>
    <w:rPr>
      <w:rFonts w:hAnsi="宋体"/>
      <w:color w:val="000000"/>
      <w:kern w:val="2"/>
      <w:sz w:val="28"/>
    </w:rPr>
  </w:style>
  <w:style w:type="paragraph" w:customStyle="1" w:styleId="2414">
    <w:name w:val="样式 (符号) 宋体 小四 行距: 固定值 26 磅 Char Char"/>
    <w:basedOn w:val="1"/>
    <w:link w:val="2413"/>
    <w:semiHidden/>
    <w:uiPriority w:val="0"/>
    <w:pPr>
      <w:spacing w:line="360" w:lineRule="auto"/>
      <w:ind w:firstLine="480" w:firstLineChars="200"/>
    </w:pPr>
    <w:rPr>
      <w:color w:val="000000"/>
      <w:sz w:val="28"/>
      <w:szCs w:val="20"/>
    </w:rPr>
  </w:style>
  <w:style w:type="character" w:customStyle="1" w:styleId="2415">
    <w:name w:val="k1"/>
    <w:basedOn w:val="132"/>
    <w:semiHidden/>
    <w:uiPriority w:val="0"/>
  </w:style>
  <w:style w:type="character" w:customStyle="1" w:styleId="2416">
    <w:name w:val="he31"/>
    <w:semiHidden/>
    <w:uiPriority w:val="0"/>
    <w:rPr>
      <w:rFonts w:hint="default" w:ascii="ˎ̥" w:hAnsi="ˎ̥"/>
      <w:color w:val="000000"/>
      <w:sz w:val="18"/>
      <w:u w:val="none"/>
    </w:rPr>
  </w:style>
  <w:style w:type="character" w:customStyle="1" w:styleId="2417">
    <w:name w:val="样式 标题 3 + 宋体 Char Char Char"/>
    <w:link w:val="2418"/>
    <w:semiHidden/>
    <w:uiPriority w:val="0"/>
    <w:rPr>
      <w:b/>
      <w:kern w:val="2"/>
      <w:sz w:val="32"/>
    </w:rPr>
  </w:style>
  <w:style w:type="paragraph" w:customStyle="1" w:styleId="2418">
    <w:name w:val="样式 标题 3 + 宋体 Char Char"/>
    <w:basedOn w:val="4"/>
    <w:link w:val="2417"/>
    <w:semiHidden/>
    <w:uiPriority w:val="0"/>
    <w:pPr>
      <w:overflowPunct w:val="0"/>
      <w:spacing w:beforeLines="0" w:beforeAutospacing="1" w:afterLines="0" w:line="420" w:lineRule="auto"/>
    </w:pPr>
    <w:rPr>
      <w:bCs w:val="0"/>
      <w:szCs w:val="20"/>
    </w:rPr>
  </w:style>
  <w:style w:type="paragraph" w:customStyle="1" w:styleId="2419">
    <w:name w:val="样式 正文文本缩进 3 + 行距: 固定值 19 磅"/>
    <w:basedOn w:val="69"/>
    <w:semiHidden/>
    <w:uiPriority w:val="0"/>
    <w:pPr>
      <w:widowControl w:val="0"/>
      <w:spacing w:after="120" w:line="380" w:lineRule="exact"/>
      <w:ind w:firstLine="0" w:firstLineChars="0"/>
      <w:jc w:val="center"/>
    </w:pPr>
    <w:rPr>
      <w:kern w:val="2"/>
      <w:sz w:val="16"/>
    </w:rPr>
  </w:style>
  <w:style w:type="paragraph" w:customStyle="1" w:styleId="2420">
    <w:name w:val="表格文字5号"/>
    <w:basedOn w:val="1"/>
    <w:uiPriority w:val="0"/>
    <w:pPr>
      <w:jc w:val="center"/>
    </w:pPr>
  </w:style>
  <w:style w:type="paragraph" w:customStyle="1" w:styleId="2421">
    <w:name w:val="样式 正文首行缩进 + 首行缩进:  2 字符"/>
    <w:basedOn w:val="85"/>
    <w:semiHidden/>
    <w:uiPriority w:val="0"/>
    <w:pPr>
      <w:tabs>
        <w:tab w:val="left" w:pos="7020"/>
      </w:tabs>
      <w:wordWrap/>
      <w:overflowPunct/>
      <w:adjustRightInd w:val="0"/>
      <w:spacing w:after="0" w:line="240" w:lineRule="auto"/>
      <w:ind w:firstLine="0" w:firstLineChars="0"/>
      <w:jc w:val="center"/>
      <w:textAlignment w:val="center"/>
    </w:pPr>
    <w:rPr>
      <w:snapToGrid w:val="0"/>
      <w:spacing w:val="-6"/>
      <w:kern w:val="0"/>
      <w:sz w:val="21"/>
    </w:rPr>
  </w:style>
  <w:style w:type="paragraph" w:customStyle="1" w:styleId="2422">
    <w:name w:val="HD1"/>
    <w:basedOn w:val="2"/>
    <w:semiHidden/>
    <w:qFormat/>
    <w:uiPriority w:val="0"/>
    <w:pPr>
      <w:tabs>
        <w:tab w:val="left" w:pos="-114"/>
      </w:tabs>
      <w:overflowPunct w:val="0"/>
      <w:autoSpaceDN w:val="0"/>
      <w:spacing w:beforeLines="0" w:afterLines="0" w:line="480" w:lineRule="exact"/>
    </w:pPr>
    <w:rPr>
      <w:rFonts w:eastAsia="黑体"/>
      <w:b w:val="0"/>
      <w:bCs w:val="0"/>
      <w:sz w:val="30"/>
      <w:szCs w:val="24"/>
    </w:rPr>
  </w:style>
  <w:style w:type="paragraph" w:customStyle="1" w:styleId="2423">
    <w:name w:val="二级无标题条"/>
    <w:basedOn w:val="1"/>
    <w:semiHidden/>
    <w:uiPriority w:val="0"/>
  </w:style>
  <w:style w:type="paragraph" w:customStyle="1" w:styleId="2424">
    <w:name w:val="Char小五"/>
    <w:semiHidden/>
    <w:uiPriority w:val="0"/>
    <w:pPr>
      <w:jc w:val="both"/>
    </w:pPr>
    <w:rPr>
      <w:rFonts w:ascii="Times New Roman" w:hAnsi="Times New Roman" w:eastAsia="仿宋_GB2312" w:cs="Times New Roman"/>
      <w:kern w:val="2"/>
      <w:sz w:val="18"/>
      <w:szCs w:val="24"/>
      <w:lang w:val="en-US" w:eastAsia="zh-CN" w:bidi="ar-SA"/>
    </w:rPr>
  </w:style>
  <w:style w:type="paragraph" w:customStyle="1" w:styleId="2425">
    <w:name w:val="样式 标题 3 + 黑体"/>
    <w:basedOn w:val="4"/>
    <w:semiHidden/>
    <w:uiPriority w:val="0"/>
    <w:pPr>
      <w:overflowPunct w:val="0"/>
      <w:spacing w:beforeLines="0" w:beforeAutospacing="1" w:after="50"/>
    </w:pPr>
    <w:rPr>
      <w:rFonts w:ascii="黑体" w:hAnsi="黑体"/>
      <w:bCs w:val="0"/>
      <w:sz w:val="30"/>
      <w:szCs w:val="28"/>
    </w:rPr>
  </w:style>
  <w:style w:type="paragraph" w:customStyle="1" w:styleId="2426">
    <w:name w:val="样式 标题 3 + 黑色"/>
    <w:basedOn w:val="4"/>
    <w:semiHidden/>
    <w:uiPriority w:val="0"/>
    <w:pPr>
      <w:overflowPunct w:val="0"/>
      <w:spacing w:beforeLines="0" w:beforeAutospacing="1" w:afterLines="0"/>
    </w:pPr>
    <w:rPr>
      <w:bCs w:val="0"/>
      <w:sz w:val="24"/>
      <w:szCs w:val="28"/>
    </w:rPr>
  </w:style>
  <w:style w:type="paragraph" w:customStyle="1" w:styleId="2427">
    <w:name w:val="样式 标题 3条标题1.1.1条标题BSH-3W3 + 仿宋_GB2312 非加粗"/>
    <w:basedOn w:val="4"/>
    <w:semiHidden/>
    <w:uiPriority w:val="0"/>
    <w:pPr>
      <w:tabs>
        <w:tab w:val="left" w:pos="578"/>
      </w:tabs>
      <w:overflowPunct w:val="0"/>
      <w:adjustRightInd w:val="0"/>
      <w:snapToGrid w:val="0"/>
      <w:spacing w:beforeLines="0" w:beforeAutospacing="1" w:afterLines="0"/>
    </w:pPr>
    <w:rPr>
      <w:rFonts w:hAnsi="仿宋_GB2312"/>
      <w:bCs w:val="0"/>
      <w:sz w:val="28"/>
      <w:szCs w:val="28"/>
    </w:rPr>
  </w:style>
  <w:style w:type="paragraph" w:customStyle="1" w:styleId="2428">
    <w:name w:val="样式 正文文本缩进 3 + 小四"/>
    <w:basedOn w:val="69"/>
    <w:semiHidden/>
    <w:uiPriority w:val="0"/>
    <w:pPr>
      <w:widowControl w:val="0"/>
      <w:ind w:firstLine="0" w:firstLineChars="0"/>
      <w:jc w:val="both"/>
    </w:pPr>
    <w:rPr>
      <w:w w:val="90"/>
      <w:kern w:val="2"/>
      <w:sz w:val="24"/>
    </w:rPr>
  </w:style>
  <w:style w:type="paragraph" w:customStyle="1" w:styleId="2429">
    <w:name w:val="HD4"/>
    <w:basedOn w:val="1"/>
    <w:semiHidden/>
    <w:uiPriority w:val="0"/>
    <w:pPr>
      <w:spacing w:before="240" w:after="120" w:line="520" w:lineRule="exact"/>
    </w:pPr>
    <w:rPr>
      <w:b/>
      <w:sz w:val="28"/>
    </w:rPr>
  </w:style>
  <w:style w:type="paragraph" w:customStyle="1" w:styleId="2430">
    <w:name w:val="样式 图表标题 + 两端对齐"/>
    <w:basedOn w:val="198"/>
    <w:semiHidden/>
    <w:uiPriority w:val="0"/>
    <w:pPr>
      <w:spacing w:line="260" w:lineRule="exact"/>
      <w:jc w:val="both"/>
      <w:outlineLvl w:val="9"/>
    </w:pPr>
    <w:rPr>
      <w:rFonts w:eastAsia="黑体"/>
      <w:b w:val="0"/>
      <w:spacing w:val="-10"/>
    </w:rPr>
  </w:style>
  <w:style w:type="paragraph" w:customStyle="1" w:styleId="2431">
    <w:name w:val="图例"/>
    <w:basedOn w:val="1"/>
    <w:semiHidden/>
    <w:uiPriority w:val="0"/>
    <w:pPr>
      <w:spacing w:before="240" w:after="120"/>
      <w:jc w:val="center"/>
    </w:pPr>
    <w:rPr>
      <w:rFonts w:eastAsia="楷体_GB2312"/>
      <w:sz w:val="28"/>
    </w:rPr>
  </w:style>
  <w:style w:type="paragraph" w:customStyle="1" w:styleId="2432">
    <w:name w:val="文档结构图1"/>
    <w:basedOn w:val="1"/>
    <w:semiHidden/>
    <w:uiPriority w:val="0"/>
    <w:pPr>
      <w:shd w:val="clear" w:color="auto" w:fill="000080"/>
      <w:tabs>
        <w:tab w:val="left" w:pos="480"/>
        <w:tab w:val="left" w:pos="1680"/>
        <w:tab w:val="left" w:pos="3960"/>
        <w:tab w:val="left" w:pos="5400"/>
        <w:tab w:val="left" w:pos="6840"/>
      </w:tabs>
      <w:adjustRightInd w:val="0"/>
      <w:spacing w:line="240" w:lineRule="atLeast"/>
      <w:ind w:firstLine="482"/>
      <w:textAlignment w:val="baseline"/>
    </w:pPr>
    <w:rPr>
      <w:rFonts w:eastAsia="创艺简楷体"/>
      <w:sz w:val="28"/>
    </w:rPr>
  </w:style>
  <w:style w:type="paragraph" w:customStyle="1" w:styleId="2433">
    <w:name w:val="普通段落文字"/>
    <w:basedOn w:val="1"/>
    <w:semiHidden/>
    <w:uiPriority w:val="0"/>
    <w:pPr>
      <w:adjustRightInd w:val="0"/>
      <w:snapToGrid w:val="0"/>
      <w:spacing w:line="300" w:lineRule="auto"/>
      <w:ind w:firstLine="567" w:firstLineChars="200"/>
    </w:pPr>
    <w:rPr>
      <w:sz w:val="28"/>
    </w:rPr>
  </w:style>
  <w:style w:type="paragraph" w:customStyle="1" w:styleId="2434">
    <w:name w:val="加粗正文"/>
    <w:basedOn w:val="1"/>
    <w:next w:val="31"/>
    <w:semiHidden/>
    <w:uiPriority w:val="0"/>
    <w:rPr>
      <w:rFonts w:hAnsi="Courier New"/>
    </w:rPr>
  </w:style>
  <w:style w:type="paragraph" w:customStyle="1" w:styleId="2435">
    <w:name w:val="样式 首行缩进:  2 字符3"/>
    <w:basedOn w:val="1"/>
    <w:semiHidden/>
    <w:uiPriority w:val="0"/>
    <w:pPr>
      <w:ind w:firstLine="567" w:firstLineChars="200"/>
    </w:pPr>
  </w:style>
  <w:style w:type="paragraph" w:customStyle="1" w:styleId="2436">
    <w:name w:val="样式 样式 标题 1标题1章节H1一、h11st levelSection Headl1H11H12第A章第*...2 + 加粗..."/>
    <w:basedOn w:val="1"/>
    <w:semiHidden/>
    <w:uiPriority w:val="0"/>
    <w:pPr>
      <w:keepNext/>
      <w:keepLines/>
      <w:spacing w:before="240" w:after="240" w:line="520" w:lineRule="exact"/>
      <w:outlineLvl w:val="0"/>
    </w:pPr>
    <w:rPr>
      <w:rFonts w:eastAsia="黑体"/>
      <w:b/>
      <w:color w:val="000000"/>
      <w:sz w:val="32"/>
    </w:rPr>
  </w:style>
  <w:style w:type="character" w:customStyle="1" w:styleId="2437">
    <w:name w:val="正文首行缩进 Char"/>
    <w:link w:val="85"/>
    <w:semiHidden/>
    <w:uiPriority w:val="0"/>
    <w:rPr>
      <w:rFonts w:eastAsia="宋体"/>
      <w:kern w:val="2"/>
      <w:sz w:val="24"/>
      <w:szCs w:val="24"/>
      <w:lang w:val="en-US" w:eastAsia="zh-CN" w:bidi="ar-SA"/>
    </w:rPr>
  </w:style>
  <w:style w:type="paragraph" w:customStyle="1" w:styleId="2438">
    <w:name w:val="样式 (符号) 宋体 小四 行距: 固定值 26 磅"/>
    <w:basedOn w:val="1"/>
    <w:semiHidden/>
    <w:uiPriority w:val="0"/>
    <w:pPr>
      <w:spacing w:line="280" w:lineRule="exact"/>
    </w:pPr>
    <w:rPr>
      <w:spacing w:val="-8"/>
      <w:sz w:val="18"/>
    </w:rPr>
  </w:style>
  <w:style w:type="paragraph" w:customStyle="1" w:styleId="2439">
    <w:name w:val="HD3"/>
    <w:basedOn w:val="1"/>
    <w:semiHidden/>
    <w:uiPriority w:val="0"/>
    <w:pPr>
      <w:keepNext/>
      <w:keepLines/>
      <w:spacing w:before="120" w:after="120" w:line="480" w:lineRule="exact"/>
      <w:outlineLvl w:val="4"/>
    </w:pPr>
    <w:rPr>
      <w:b/>
      <w:sz w:val="28"/>
    </w:rPr>
  </w:style>
  <w:style w:type="paragraph" w:customStyle="1" w:styleId="2440">
    <w:name w:val="样式 宋体 10 磅 黑色 居中"/>
    <w:basedOn w:val="1"/>
    <w:next w:val="1"/>
    <w:semiHidden/>
    <w:uiPriority w:val="0"/>
    <w:pPr>
      <w:jc w:val="center"/>
    </w:pPr>
    <w:rPr>
      <w:color w:val="000000"/>
      <w:sz w:val="20"/>
    </w:rPr>
  </w:style>
  <w:style w:type="paragraph" w:customStyle="1" w:styleId="2441">
    <w:name w:val="样式 正文缩进正文（首行缩进两字）正文2 + 首行缩进:  2 字符"/>
    <w:basedOn w:val="8"/>
    <w:semiHidden/>
    <w:uiPriority w:val="0"/>
    <w:pPr>
      <w:spacing w:line="500" w:lineRule="exact"/>
      <w:ind w:firstLine="200"/>
    </w:pPr>
    <w:rPr>
      <w:rFonts w:ascii="Arial" w:hAnsi="Arial"/>
    </w:rPr>
  </w:style>
  <w:style w:type="paragraph" w:customStyle="1" w:styleId="2442">
    <w:name w:val="样式 首行缩进:  2 字符 行距: 固定值 23 磅"/>
    <w:basedOn w:val="1"/>
    <w:semiHidden/>
    <w:uiPriority w:val="0"/>
    <w:pPr>
      <w:spacing w:line="460" w:lineRule="exact"/>
      <w:ind w:firstLine="648" w:firstLineChars="200"/>
    </w:pPr>
  </w:style>
  <w:style w:type="paragraph" w:customStyle="1" w:styleId="2443">
    <w:name w:val="正文文本缩进 31"/>
    <w:basedOn w:val="1"/>
    <w:semiHidden/>
    <w:uiPriority w:val="0"/>
    <w:pPr>
      <w:tabs>
        <w:tab w:val="left" w:pos="0"/>
      </w:tabs>
      <w:adjustRightInd w:val="0"/>
      <w:spacing w:line="396" w:lineRule="atLeast"/>
      <w:ind w:firstLine="560"/>
      <w:textAlignment w:val="baseline"/>
    </w:pPr>
  </w:style>
  <w:style w:type="paragraph" w:customStyle="1" w:styleId="2444">
    <w:name w:val="样式 标题 3 + 宋体"/>
    <w:basedOn w:val="4"/>
    <w:semiHidden/>
    <w:uiPriority w:val="0"/>
    <w:pPr>
      <w:overflowPunct w:val="0"/>
      <w:spacing w:beforeLines="0" w:beforeAutospacing="1" w:afterLines="0"/>
    </w:pPr>
    <w:rPr>
      <w:rFonts w:eastAsia="黑体"/>
      <w:b w:val="0"/>
      <w:bCs w:val="0"/>
      <w:sz w:val="28"/>
      <w:szCs w:val="28"/>
    </w:rPr>
  </w:style>
  <w:style w:type="paragraph" w:customStyle="1" w:styleId="2445">
    <w:name w:val="普通(Web)2"/>
    <w:basedOn w:val="1"/>
    <w:semiHidden/>
    <w:uiPriority w:val="0"/>
    <w:pPr>
      <w:spacing w:before="225" w:after="225" w:line="345" w:lineRule="atLeast"/>
    </w:pPr>
  </w:style>
  <w:style w:type="paragraph" w:customStyle="1" w:styleId="2446">
    <w:name w:val="封面落款"/>
    <w:basedOn w:val="1"/>
    <w:next w:val="1"/>
    <w:semiHidden/>
    <w:uiPriority w:val="0"/>
    <w:pPr>
      <w:jc w:val="center"/>
    </w:pPr>
    <w:rPr>
      <w:sz w:val="32"/>
    </w:rPr>
  </w:style>
  <w:style w:type="paragraph" w:customStyle="1" w:styleId="2447">
    <w:name w:val="样式 标题 1 + 首行缩进:  2 字符"/>
    <w:basedOn w:val="2"/>
    <w:semiHidden/>
    <w:uiPriority w:val="0"/>
    <w:pPr>
      <w:keepLines w:val="0"/>
      <w:tabs>
        <w:tab w:val="left" w:pos="-114"/>
        <w:tab w:val="left" w:pos="1152"/>
      </w:tabs>
      <w:overflowPunct w:val="0"/>
      <w:autoSpaceDN w:val="0"/>
      <w:spacing w:beforeLines="0" w:afterLines="0" w:line="500" w:lineRule="exact"/>
    </w:pPr>
    <w:rPr>
      <w:b w:val="0"/>
      <w:bCs w:val="0"/>
      <w:kern w:val="2"/>
      <w:sz w:val="30"/>
      <w:szCs w:val="24"/>
    </w:rPr>
  </w:style>
  <w:style w:type="paragraph" w:customStyle="1" w:styleId="2448">
    <w:name w:val="样式 目录 1 + 首行缩进:  2 字符"/>
    <w:basedOn w:val="58"/>
    <w:autoRedefine/>
    <w:uiPriority w:val="0"/>
    <w:pPr>
      <w:wordWrap w:val="0"/>
      <w:overflowPunct w:val="0"/>
      <w:snapToGrid w:val="0"/>
      <w:spacing w:line="360" w:lineRule="auto"/>
      <w:ind w:firstLine="402" w:firstLineChars="200"/>
    </w:pPr>
    <w:rPr>
      <w:rFonts w:eastAsia="仿宋_GB2312" w:cs="宋体"/>
      <w:sz w:val="28"/>
      <w:szCs w:val="24"/>
    </w:rPr>
  </w:style>
  <w:style w:type="paragraph" w:customStyle="1" w:styleId="2449">
    <w:name w:val="样式 样式 样式 样式 样式 样式 样式 样式 样式 样式 样式 首行缩进:  2 字符1 + 首行缩进:  2 字符 + 首行..."/>
    <w:basedOn w:val="1"/>
    <w:uiPriority w:val="0"/>
    <w:pPr>
      <w:spacing w:line="480" w:lineRule="exact"/>
      <w:ind w:firstLine="560" w:firstLineChars="200"/>
    </w:pPr>
    <w:rPr>
      <w:szCs w:val="20"/>
    </w:rPr>
  </w:style>
  <w:style w:type="paragraph" w:customStyle="1" w:styleId="2450">
    <w:name w:val="表格文字3"/>
    <w:basedOn w:val="1"/>
    <w:next w:val="1"/>
    <w:autoRedefine/>
    <w:uiPriority w:val="0"/>
    <w:pPr>
      <w:adjustRightInd w:val="0"/>
      <w:snapToGrid w:val="0"/>
      <w:spacing w:line="240" w:lineRule="atLeast"/>
      <w:ind w:right="2" w:rightChars="1"/>
      <w:jc w:val="center"/>
    </w:pPr>
    <w:rPr>
      <w:color w:val="FF0000"/>
      <w:spacing w:val="-10"/>
      <w:szCs w:val="21"/>
    </w:rPr>
  </w:style>
  <w:style w:type="character" w:customStyle="1" w:styleId="2451">
    <w:name w:val="正文21 Char"/>
    <w:link w:val="2362"/>
    <w:uiPriority w:val="0"/>
    <w:rPr>
      <w:kern w:val="2"/>
      <w:sz w:val="21"/>
    </w:rPr>
  </w:style>
  <w:style w:type="paragraph" w:customStyle="1" w:styleId="2452">
    <w:name w:val="中交正文"/>
    <w:basedOn w:val="1"/>
    <w:link w:val="2453"/>
    <w:uiPriority w:val="0"/>
    <w:pPr>
      <w:spacing w:line="500" w:lineRule="exact"/>
      <w:ind w:firstLine="480" w:firstLineChars="200"/>
    </w:pPr>
  </w:style>
  <w:style w:type="character" w:customStyle="1" w:styleId="2453">
    <w:name w:val="中交正文 Char"/>
    <w:link w:val="2452"/>
    <w:uiPriority w:val="0"/>
    <w:rPr>
      <w:kern w:val="2"/>
      <w:sz w:val="24"/>
      <w:szCs w:val="24"/>
    </w:rPr>
  </w:style>
  <w:style w:type="character" w:customStyle="1" w:styleId="2454">
    <w:name w:val="表体 Char"/>
    <w:link w:val="728"/>
    <w:uiPriority w:val="0"/>
    <w:rPr>
      <w:spacing w:val="-28"/>
      <w:kern w:val="24"/>
      <w:sz w:val="18"/>
      <w:szCs w:val="18"/>
    </w:rPr>
  </w:style>
  <w:style w:type="paragraph" w:customStyle="1" w:styleId="2455">
    <w:name w:val="表格式"/>
    <w:basedOn w:val="65"/>
    <w:uiPriority w:val="0"/>
    <w:pPr>
      <w:widowControl w:val="0"/>
      <w:spacing w:beforeLines="50" w:afterLines="50" w:line="200" w:lineRule="exact"/>
      <w:jc w:val="center"/>
    </w:pPr>
    <w:rPr>
      <w:rFonts w:ascii="Times New Roman"/>
      <w:sz w:val="21"/>
      <w:szCs w:val="24"/>
    </w:rPr>
  </w:style>
  <w:style w:type="paragraph" w:customStyle="1" w:styleId="2456">
    <w:name w:val="标题 61"/>
    <w:basedOn w:val="1"/>
    <w:uiPriority w:val="1"/>
    <w:pPr>
      <w:contextualSpacing/>
      <w:outlineLvl w:val="6"/>
    </w:pPr>
    <w:rPr>
      <w:rFonts w:ascii="Microsoft JhengHei" w:hAnsi="Microsoft JhengHei" w:eastAsia="Microsoft JhengHei"/>
      <w:b/>
      <w:bCs/>
      <w:lang w:eastAsia="en-US"/>
    </w:rPr>
  </w:style>
  <w:style w:type="character" w:customStyle="1" w:styleId="2457">
    <w:name w:val="正文 小四 行距: 1.5 倍行距 Char Char"/>
    <w:uiPriority w:val="0"/>
    <w:rPr>
      <w:rFonts w:ascii="宋体" w:hAnsi="Times New Roman"/>
      <w:sz w:val="24"/>
    </w:rPr>
  </w:style>
  <w:style w:type="character" w:customStyle="1" w:styleId="2458">
    <w:name w:val="列出段落 Char"/>
    <w:link w:val="426"/>
    <w:uiPriority w:val="1"/>
    <w:rPr>
      <w:kern w:val="2"/>
      <w:sz w:val="21"/>
      <w:szCs w:val="24"/>
    </w:rPr>
  </w:style>
  <w:style w:type="paragraph" w:customStyle="1" w:styleId="2459">
    <w:name w:val="Char Char Char Char Char Char Char Char Char Char Char Char Char Char Char Char Char Char Char Char Char Char Char Char2"/>
    <w:basedOn w:val="1"/>
    <w:uiPriority w:val="0"/>
    <w:pPr>
      <w:spacing w:line="360" w:lineRule="auto"/>
    </w:pPr>
    <w:rPr>
      <w:rFonts w:ascii="Calibri" w:hAnsi="Calibri"/>
      <w:szCs w:val="21"/>
    </w:rPr>
  </w:style>
  <w:style w:type="table" w:customStyle="1" w:styleId="2460">
    <w:name w:val="Table Normal1"/>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461">
    <w:name w:val="Table Normal2"/>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462">
    <w:name w:val="Table Normal3"/>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463">
    <w:name w:val="Table Normal4"/>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464">
    <w:name w:val="Table Normal5"/>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2465">
    <w:name w:val="Table Paragraph Char"/>
    <w:link w:val="2265"/>
    <w:uiPriority w:val="1"/>
    <w:rPr>
      <w:rFonts w:ascii="宋体" w:hAnsi="宋体" w:cs="宋体"/>
      <w:sz w:val="22"/>
      <w:szCs w:val="22"/>
      <w:lang w:eastAsia="en-US"/>
    </w:rPr>
  </w:style>
  <w:style w:type="table" w:customStyle="1" w:styleId="2466">
    <w:name w:val="毛的表格1"/>
    <w:basedOn w:val="87"/>
    <w:qFormat/>
    <w:uiPriority w:val="0"/>
    <w:pPr>
      <w:jc w:val="center"/>
    </w:pPr>
    <w:rPr>
      <w:rFonts w:ascii="Calibri" w:hAnsi="Calibri"/>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2467">
    <w:name w:val="Table Normal6"/>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2468">
    <w:name w:val="网格型 51"/>
    <w:basedOn w:val="87"/>
    <w:uiPriority w:val="0"/>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69">
    <w:name w:val="表格主题1"/>
    <w:basedOn w:val="87"/>
    <w:uiPriority w:val="0"/>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70">
    <w:name w:val="标题 1 Char Char Char Char Char Char Char Char1"/>
    <w:uiPriority w:val="0"/>
    <w:rPr>
      <w:rFonts w:ascii="宋体" w:hAnsi="宋体" w:eastAsia="黑体" w:cs="宋体"/>
      <w:b/>
      <w:bCs/>
      <w:kern w:val="44"/>
      <w:sz w:val="28"/>
      <w:szCs w:val="44"/>
      <w:lang w:val="en-US" w:eastAsia="zh-CN" w:bidi="ar-SA"/>
    </w:rPr>
  </w:style>
  <w:style w:type="character" w:customStyle="1" w:styleId="2471">
    <w:name w:val="页脚 Char"/>
    <w:uiPriority w:val="99"/>
    <w:rPr>
      <w:rFonts w:ascii="宋体" w:hAnsi="宋体" w:cs="宋体"/>
      <w:sz w:val="18"/>
      <w:szCs w:val="18"/>
    </w:rPr>
  </w:style>
  <w:style w:type="character" w:customStyle="1" w:styleId="2472">
    <w:name w:val="unnamed1"/>
    <w:basedOn w:val="132"/>
    <w:uiPriority w:val="0"/>
  </w:style>
  <w:style w:type="paragraph" w:customStyle="1" w:styleId="2473">
    <w:name w:val="样式 样式 标题 3 + 黑体 小四 段前: 0 磅 段后: 13.4 磅 行距: 固定值 24 磅 + 段前: 0.5 行"/>
    <w:basedOn w:val="1"/>
    <w:uiPriority w:val="0"/>
    <w:pPr>
      <w:keepNext/>
      <w:keepLines/>
      <w:spacing w:before="268" w:beforeLines="50" w:after="240" w:line="480" w:lineRule="exact"/>
      <w:outlineLvl w:val="2"/>
    </w:pPr>
    <w:rPr>
      <w:rFonts w:ascii="黑体"/>
      <w:b/>
      <w:bCs/>
      <w:sz w:val="28"/>
      <w:szCs w:val="20"/>
    </w:rPr>
  </w:style>
  <w:style w:type="paragraph" w:customStyle="1" w:styleId="2474">
    <w:name w:val="6 Char Char Char Char"/>
    <w:basedOn w:val="1"/>
    <w:uiPriority w:val="0"/>
  </w:style>
  <w:style w:type="paragraph" w:customStyle="1" w:styleId="2475">
    <w:name w:val="正文j"/>
    <w:basedOn w:val="1"/>
    <w:uiPriority w:val="0"/>
    <w:rPr>
      <w:rFonts w:hint="eastAsia"/>
      <w:sz w:val="28"/>
      <w:szCs w:val="20"/>
    </w:rPr>
  </w:style>
  <w:style w:type="paragraph" w:customStyle="1" w:styleId="2476">
    <w:name w:val="表格文字小四号"/>
    <w:basedOn w:val="1"/>
    <w:uiPriority w:val="0"/>
    <w:pPr>
      <w:spacing w:line="320" w:lineRule="exact"/>
      <w:jc w:val="center"/>
    </w:pPr>
    <w:rPr>
      <w:szCs w:val="18"/>
    </w:rPr>
  </w:style>
  <w:style w:type="paragraph" w:customStyle="1" w:styleId="2477">
    <w:name w:val="正文3 + 首行缩进:  2 字符3 + 首行缩进:  2 字符"/>
    <w:basedOn w:val="1"/>
    <w:uiPriority w:val="0"/>
    <w:pPr>
      <w:suppressAutoHyphens/>
      <w:overflowPunct w:val="0"/>
      <w:topLinePunct/>
      <w:spacing w:line="480" w:lineRule="exact"/>
      <w:ind w:firstLine="501" w:firstLineChars="200"/>
    </w:pPr>
    <w:rPr>
      <w:bCs/>
      <w:snapToGrid w:val="0"/>
      <w:lang w:val="zh-CN"/>
    </w:rPr>
  </w:style>
  <w:style w:type="character" w:customStyle="1" w:styleId="2478">
    <w:name w:val="正文3 + 首行缩进:  2 字符3 + 首行缩进:  2 字符 Char"/>
    <w:uiPriority w:val="0"/>
    <w:rPr>
      <w:rFonts w:ascii="宋体" w:hAnsi="宋体" w:eastAsia="宋体" w:cs="宋体"/>
      <w:bCs/>
      <w:snapToGrid w:val="0"/>
      <w:sz w:val="24"/>
      <w:szCs w:val="24"/>
      <w:lang w:val="zh-CN" w:eastAsia="zh-CN" w:bidi="ar-SA"/>
    </w:rPr>
  </w:style>
  <w:style w:type="paragraph" w:customStyle="1" w:styleId="2479">
    <w:name w:val="扉页"/>
    <w:basedOn w:val="1"/>
    <w:autoRedefine/>
    <w:uiPriority w:val="0"/>
    <w:pPr>
      <w:tabs>
        <w:tab w:val="left" w:pos="606"/>
      </w:tabs>
      <w:autoSpaceDE w:val="0"/>
      <w:autoSpaceDN w:val="0"/>
      <w:spacing w:line="520" w:lineRule="exact"/>
      <w:ind w:firstLine="454"/>
    </w:pPr>
  </w:style>
  <w:style w:type="paragraph" w:customStyle="1" w:styleId="2480">
    <w:name w:val="样式 正文3 + 首行缩进:  2 字符3 + 首行缩进:  2 字符 + 首行缩进:  2 字符1"/>
    <w:basedOn w:val="2477"/>
    <w:uiPriority w:val="0"/>
    <w:pPr>
      <w:ind w:firstLine="469"/>
    </w:pPr>
    <w:rPr>
      <w:bCs w:val="0"/>
      <w:szCs w:val="20"/>
    </w:rPr>
  </w:style>
  <w:style w:type="character" w:customStyle="1" w:styleId="2481">
    <w:name w:val="highlight1"/>
    <w:uiPriority w:val="0"/>
    <w:rPr>
      <w:sz w:val="21"/>
      <w:szCs w:val="21"/>
    </w:rPr>
  </w:style>
  <w:style w:type="paragraph" w:customStyle="1" w:styleId="2482">
    <w:name w:val="样式 标题 3 + 黑体 小四 段前: 0 磅 段后: 13.4 磅 行距: 固定值 24 磅"/>
    <w:basedOn w:val="4"/>
    <w:uiPriority w:val="0"/>
    <w:pPr>
      <w:spacing w:before="50" w:after="240" w:afterLines="0" w:line="480" w:lineRule="exact"/>
    </w:pPr>
    <w:rPr>
      <w:rFonts w:ascii="黑体"/>
      <w:sz w:val="28"/>
      <w:szCs w:val="20"/>
    </w:rPr>
  </w:style>
  <w:style w:type="paragraph" w:customStyle="1" w:styleId="2483">
    <w:name w:val="样式 标题 3 + 黑体 小四 红色 段前: 0 磅 段后: 13.4 磅 行距: 固定值 24 磅"/>
    <w:basedOn w:val="4"/>
    <w:uiPriority w:val="0"/>
    <w:pPr>
      <w:spacing w:before="50" w:after="240" w:afterLines="0" w:line="480" w:lineRule="exact"/>
    </w:pPr>
    <w:rPr>
      <w:rFonts w:ascii="黑体" w:eastAsia="黑体"/>
      <w:color w:val="FF0000"/>
      <w:sz w:val="28"/>
      <w:szCs w:val="20"/>
    </w:rPr>
  </w:style>
  <w:style w:type="paragraph" w:customStyle="1" w:styleId="2484">
    <w:name w:val="样式 样式 标题 3 + 黑体 小四 红色 段前: 0 磅 段后: 13.4 磅 行距: 固定值 24 磅 + 段前: 0.5 行"/>
    <w:basedOn w:val="4"/>
    <w:uiPriority w:val="0"/>
    <w:pPr>
      <w:spacing w:before="260" w:beforeLines="0" w:after="260" w:afterLines="0" w:line="416" w:lineRule="auto"/>
    </w:pPr>
  </w:style>
  <w:style w:type="paragraph" w:customStyle="1" w:styleId="2485">
    <w:name w:val="样式 样式 样式 标题 3 + 黑体 小四 红色 段前: 0 磅 段后: 13.4 磅 行距: 固定值 24 磅 + 段前: 0..."/>
    <w:basedOn w:val="2484"/>
    <w:next w:val="1"/>
    <w:uiPriority w:val="0"/>
    <w:pPr>
      <w:spacing w:before="120" w:after="240" w:line="415" w:lineRule="auto"/>
    </w:pPr>
    <w:rPr>
      <w:sz w:val="28"/>
    </w:rPr>
  </w:style>
  <w:style w:type="paragraph" w:customStyle="1" w:styleId="2486">
    <w:name w:val="样式 标题 3 + 黑体 小四 红色 段前: 0 磅 段后: 7.8 磅 行距: 固定值 24 磅"/>
    <w:basedOn w:val="4"/>
    <w:uiPriority w:val="0"/>
    <w:pPr>
      <w:spacing w:before="50" w:after="240" w:afterLines="0" w:line="480" w:lineRule="exact"/>
    </w:pPr>
    <w:rPr>
      <w:rFonts w:ascii="黑体"/>
      <w:color w:val="000000"/>
      <w:sz w:val="28"/>
      <w:szCs w:val="20"/>
    </w:rPr>
  </w:style>
  <w:style w:type="paragraph" w:customStyle="1" w:styleId="2487">
    <w:name w:val="样式 样式 标题 3 + 黑体 小四 红色 段前: 0 磅 段后: 7.8 磅 行距: 固定值 24 磅 + 段前: 0.5 行"/>
    <w:basedOn w:val="2486"/>
    <w:uiPriority w:val="0"/>
    <w:pPr>
      <w:spacing w:line="415" w:lineRule="auto"/>
    </w:pPr>
  </w:style>
  <w:style w:type="character" w:customStyle="1" w:styleId="2488">
    <w:name w:val="标题 1 Char Char Char Char Char Char Char Char"/>
    <w:autoRedefine/>
    <w:uiPriority w:val="0"/>
    <w:rPr>
      <w:kern w:val="44"/>
      <w:sz w:val="28"/>
    </w:rPr>
  </w:style>
  <w:style w:type="paragraph" w:customStyle="1" w:styleId="2489">
    <w:name w:val="报告正文-4号字"/>
    <w:basedOn w:val="1"/>
    <w:uiPriority w:val="0"/>
    <w:pPr>
      <w:keepNext/>
      <w:spacing w:line="500" w:lineRule="exact"/>
      <w:ind w:firstLine="200" w:firstLineChars="200"/>
    </w:pPr>
    <w:rPr>
      <w:sz w:val="28"/>
    </w:rPr>
  </w:style>
  <w:style w:type="character" w:customStyle="1" w:styleId="2490">
    <w:name w:val="报告正文-4号字 Char1"/>
    <w:uiPriority w:val="0"/>
    <w:rPr>
      <w:rFonts w:ascii="宋体" w:eastAsia="宋体"/>
      <w:kern w:val="2"/>
      <w:sz w:val="28"/>
      <w:szCs w:val="28"/>
      <w:lang w:val="en-US" w:eastAsia="zh-CN" w:bidi="ar-SA"/>
    </w:rPr>
  </w:style>
  <w:style w:type="character" w:customStyle="1" w:styleId="2491">
    <w:name w:val="标题6"/>
    <w:basedOn w:val="132"/>
    <w:uiPriority w:val="0"/>
  </w:style>
  <w:style w:type="character" w:customStyle="1" w:styleId="2492">
    <w:name w:val="wen21"/>
    <w:uiPriority w:val="0"/>
    <w:rPr>
      <w:color w:val="000000"/>
      <w:sz w:val="18"/>
      <w:szCs w:val="18"/>
    </w:rPr>
  </w:style>
  <w:style w:type="paragraph" w:customStyle="1" w:styleId="2493">
    <w:name w:val="样式 表格 + 段后: 0.25 行"/>
    <w:basedOn w:val="404"/>
    <w:uiPriority w:val="0"/>
    <w:pPr>
      <w:keepNext/>
      <w:snapToGrid/>
      <w:spacing w:before="60" w:after="25" w:afterLines="25"/>
    </w:pPr>
    <w:rPr>
      <w:rFonts w:eastAsia="宋体"/>
      <w:sz w:val="21"/>
    </w:rPr>
  </w:style>
  <w:style w:type="paragraph" w:customStyle="1" w:styleId="2494">
    <w:name w:val="Char9"/>
    <w:basedOn w:val="1"/>
    <w:qFormat/>
    <w:uiPriority w:val="0"/>
  </w:style>
  <w:style w:type="paragraph" w:customStyle="1" w:styleId="2495">
    <w:name w:val="样式 标题 1标题 1 Char Char Char Char Char Char Char + 宋体 小四 两端对齐 ..."/>
    <w:basedOn w:val="2"/>
    <w:uiPriority w:val="0"/>
    <w:pPr>
      <w:pageBreakBefore/>
      <w:spacing w:before="120" w:beforeLines="50" w:after="120" w:line="480" w:lineRule="exact"/>
      <w:jc w:val="center"/>
    </w:pPr>
    <w:rPr>
      <w:sz w:val="24"/>
      <w:szCs w:val="20"/>
    </w:rPr>
  </w:style>
  <w:style w:type="paragraph" w:customStyle="1" w:styleId="2496">
    <w:name w:val="样式 13 磅 黑色 行距: 固定值 30 磅"/>
    <w:basedOn w:val="1"/>
    <w:autoRedefine/>
    <w:uiPriority w:val="0"/>
    <w:pPr>
      <w:ind w:firstLine="520" w:firstLineChars="200"/>
    </w:pPr>
    <w:rPr>
      <w:sz w:val="26"/>
      <w:szCs w:val="20"/>
    </w:rPr>
  </w:style>
  <w:style w:type="table" w:customStyle="1" w:styleId="2497">
    <w:name w:val="专业型1"/>
    <w:basedOn w:val="87"/>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paragraph" w:customStyle="1" w:styleId="2498">
    <w:name w:val="封皮"/>
    <w:basedOn w:val="1"/>
    <w:link w:val="2499"/>
    <w:qFormat/>
    <w:uiPriority w:val="0"/>
    <w:pPr>
      <w:adjustRightInd w:val="0"/>
      <w:snapToGrid w:val="0"/>
      <w:spacing w:line="360" w:lineRule="auto"/>
      <w:ind w:firstLine="843" w:firstLineChars="200"/>
      <w:jc w:val="center"/>
    </w:pPr>
    <w:rPr>
      <w:b/>
      <w:sz w:val="42"/>
      <w:szCs w:val="20"/>
    </w:rPr>
  </w:style>
  <w:style w:type="character" w:customStyle="1" w:styleId="2499">
    <w:name w:val="封皮 Char"/>
    <w:link w:val="2498"/>
    <w:uiPriority w:val="0"/>
    <w:rPr>
      <w:rFonts w:cs="宋体"/>
      <w:b/>
      <w:kern w:val="2"/>
      <w:sz w:val="42"/>
    </w:rPr>
  </w:style>
  <w:style w:type="character" w:customStyle="1" w:styleId="2500">
    <w:name w:val="styleliwei31"/>
    <w:uiPriority w:val="0"/>
    <w:rPr>
      <w:rFonts w:hint="default" w:ascii="ˎ̥" w:hAnsi="ˎ̥"/>
      <w:color w:val="000000"/>
      <w:sz w:val="21"/>
      <w:szCs w:val="21"/>
      <w:u w:val="none"/>
    </w:rPr>
  </w:style>
  <w:style w:type="paragraph" w:customStyle="1" w:styleId="2501">
    <w:name w:val="样式 1"/>
    <w:link w:val="2502"/>
    <w:uiPriority w:val="0"/>
    <w:pPr>
      <w:ind w:firstLine="600"/>
    </w:pPr>
    <w:rPr>
      <w:rFonts w:ascii="仿宋_GB2312" w:hAnsi="Times New Roman" w:eastAsia="仿宋_GB2312" w:cs="Times New Roman"/>
      <w:kern w:val="2"/>
      <w:sz w:val="30"/>
      <w:szCs w:val="30"/>
      <w:lang w:val="en-US" w:eastAsia="zh-CN" w:bidi="ar-SA"/>
    </w:rPr>
  </w:style>
  <w:style w:type="character" w:customStyle="1" w:styleId="2502">
    <w:name w:val="样式 1 Char"/>
    <w:link w:val="2501"/>
    <w:uiPriority w:val="0"/>
    <w:rPr>
      <w:rFonts w:ascii="仿宋_GB2312" w:eastAsia="仿宋_GB2312"/>
      <w:kern w:val="2"/>
      <w:sz w:val="30"/>
      <w:szCs w:val="30"/>
    </w:rPr>
  </w:style>
  <w:style w:type="table" w:customStyle="1" w:styleId="2503">
    <w:name w:val="表格主题2"/>
    <w:basedOn w:val="8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04">
    <w:name w:val="批注文字 Char"/>
    <w:uiPriority w:val="0"/>
    <w:rPr>
      <w:rFonts w:ascii="宋体" w:hAnsi="宋体" w:cs="宋体"/>
      <w:sz w:val="24"/>
      <w:szCs w:val="24"/>
    </w:rPr>
  </w:style>
  <w:style w:type="character" w:customStyle="1" w:styleId="2505">
    <w:name w:val="批注主题 Char"/>
    <w:uiPriority w:val="0"/>
    <w:rPr>
      <w:rFonts w:ascii="宋体" w:hAnsi="宋体" w:cs="宋体"/>
      <w:b/>
      <w:bCs/>
      <w:sz w:val="24"/>
      <w:szCs w:val="24"/>
    </w:rPr>
  </w:style>
  <w:style w:type="paragraph" w:customStyle="1" w:styleId="2506">
    <w:name w:val="正文 A"/>
    <w:qFormat/>
    <w:uiPriority w:val="0"/>
    <w:rPr>
      <w:rFonts w:ascii="宋体" w:hAnsi="宋体" w:eastAsia="宋体" w:cs="宋体"/>
      <w:color w:val="000000"/>
      <w:sz w:val="24"/>
      <w:szCs w:val="24"/>
      <w:u w:color="000000"/>
      <w:lang w:val="en-US" w:eastAsia="zh-CN" w:bidi="ar-SA"/>
    </w:rPr>
  </w:style>
  <w:style w:type="paragraph" w:customStyle="1" w:styleId="2507">
    <w:name w:val="样式 样式 样式 标题 3 + 黑体 小四 段前: 0 磅 段后: 13.4 磅 行距: 固定值 24 磅 + 段前: 0.5 ..."/>
    <w:basedOn w:val="2473"/>
    <w:uiPriority w:val="0"/>
    <w:pPr>
      <w:widowControl w:val="0"/>
      <w:spacing w:before="120"/>
      <w:jc w:val="both"/>
    </w:pPr>
    <w:rPr>
      <w:sz w:val="24"/>
    </w:rPr>
  </w:style>
  <w:style w:type="character" w:customStyle="1" w:styleId="2508">
    <w:name w:val="无"/>
    <w:uiPriority w:val="0"/>
  </w:style>
  <w:style w:type="paragraph" w:customStyle="1" w:styleId="2509">
    <w:name w:val="4级"/>
    <w:basedOn w:val="1"/>
    <w:qFormat/>
    <w:uiPriority w:val="0"/>
    <w:pPr>
      <w:spacing w:line="360" w:lineRule="auto"/>
      <w:ind w:firstLine="200" w:firstLineChars="200"/>
      <w:outlineLvl w:val="4"/>
    </w:pPr>
    <w:rPr>
      <w:rFonts w:eastAsia="仿宋_GB2312"/>
      <w:sz w:val="28"/>
      <w:szCs w:val="20"/>
    </w:rPr>
  </w:style>
  <w:style w:type="character" w:customStyle="1" w:styleId="2510">
    <w:name w:val="font01"/>
    <w:qFormat/>
    <w:uiPriority w:val="0"/>
    <w:rPr>
      <w:rFonts w:hint="eastAsia" w:ascii="宋体" w:hAnsi="宋体" w:eastAsia="宋体" w:cs="宋体"/>
      <w:color w:val="000000"/>
      <w:sz w:val="21"/>
      <w:szCs w:val="21"/>
      <w:u w:val="none"/>
    </w:rPr>
  </w:style>
  <w:style w:type="table" w:customStyle="1" w:styleId="2511">
    <w:name w:val="网格型13"/>
    <w:basedOn w:val="87"/>
    <w:qFormat/>
    <w:uiPriority w:val="39"/>
    <w:pPr>
      <w:adjustRightInd w:val="0"/>
      <w:snapToGrid w:val="0"/>
      <w:jc w:val="center"/>
    </w:pPr>
    <w:rPr>
      <w:rFonts w:ascii="Calibri" w:hAnsi="Calibri"/>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paragraph" w:customStyle="1" w:styleId="2512">
    <w:name w:val="默认段落"/>
    <w:basedOn w:val="1"/>
    <w:link w:val="2513"/>
    <w:qFormat/>
    <w:uiPriority w:val="0"/>
    <w:pPr>
      <w:topLinePunct/>
      <w:adjustRightInd w:val="0"/>
      <w:snapToGrid w:val="0"/>
      <w:spacing w:line="360" w:lineRule="auto"/>
      <w:ind w:firstLine="200" w:firstLineChars="200"/>
    </w:pPr>
    <w:rPr>
      <w:lang w:val="zh-CN"/>
    </w:rPr>
  </w:style>
  <w:style w:type="character" w:customStyle="1" w:styleId="2513">
    <w:name w:val="默认段落 Char"/>
    <w:link w:val="2512"/>
    <w:qFormat/>
    <w:locked/>
    <w:uiPriority w:val="0"/>
    <w:rPr>
      <w:sz w:val="24"/>
      <w:szCs w:val="24"/>
      <w:lang w:val="zh-CN" w:eastAsia="zh-CN"/>
    </w:rPr>
  </w:style>
  <w:style w:type="character" w:customStyle="1" w:styleId="2514">
    <w:name w:val="标题7"/>
    <w:basedOn w:val="132"/>
    <w:uiPriority w:val="0"/>
  </w:style>
  <w:style w:type="paragraph" w:customStyle="1" w:styleId="2515">
    <w:name w:val="Char8"/>
    <w:basedOn w:val="1"/>
    <w:uiPriority w:val="0"/>
  </w:style>
  <w:style w:type="table" w:customStyle="1" w:styleId="2516">
    <w:name w:val="专业型2"/>
    <w:basedOn w:val="87"/>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517">
    <w:name w:val="表格主题3"/>
    <w:basedOn w:val="8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网格型14"/>
    <w:basedOn w:val="87"/>
    <w:qFormat/>
    <w:uiPriority w:val="39"/>
    <w:pPr>
      <w:adjustRightInd w:val="0"/>
      <w:snapToGrid w:val="0"/>
      <w:jc w:val="center"/>
    </w:pPr>
    <w:rPr>
      <w:rFonts w:ascii="Calibri" w:hAnsi="Calibri"/>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style>
  <w:style w:type="paragraph" w:customStyle="1" w:styleId="2519">
    <w:name w:val="msonormal"/>
    <w:basedOn w:val="1"/>
    <w:uiPriority w:val="0"/>
    <w:pPr>
      <w:spacing w:before="100" w:beforeAutospacing="1" w:after="100" w:afterAutospacing="1"/>
    </w:pPr>
  </w:style>
  <w:style w:type="table" w:customStyle="1" w:styleId="2520">
    <w:name w:val="网格型15"/>
    <w:basedOn w:val="87"/>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网格型5"/>
    <w:basedOn w:val="87"/>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网格型6"/>
    <w:basedOn w:val="87"/>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523">
    <w:name w:val="Default 字符"/>
    <w:link w:val="312"/>
    <w:uiPriority w:val="0"/>
    <w:rPr>
      <w:rFonts w:ascii="宋体" w:cs="宋体"/>
      <w:color w:val="000000"/>
      <w:sz w:val="24"/>
      <w:szCs w:val="24"/>
    </w:rPr>
  </w:style>
  <w:style w:type="character" w:customStyle="1" w:styleId="2524">
    <w:name w:val="标题4 字符"/>
    <w:basedOn w:val="132"/>
    <w:link w:val="740"/>
    <w:uiPriority w:val="0"/>
    <w:rPr>
      <w:rFonts w:ascii="新宋体" w:hAnsi="新宋体" w:eastAsia="仿宋_GB2312"/>
      <w:sz w:val="28"/>
    </w:rPr>
  </w:style>
  <w:style w:type="character" w:customStyle="1" w:styleId="2525">
    <w:name w:val="未处理的提及2"/>
    <w:basedOn w:val="132"/>
    <w:semiHidden/>
    <w:unhideWhenUsed/>
    <w:uiPriority w:val="99"/>
    <w:rPr>
      <w:color w:val="605E5C"/>
      <w:shd w:val="clear" w:color="auto" w:fill="E1DFDD"/>
    </w:rPr>
  </w:style>
  <w:style w:type="character" w:customStyle="1" w:styleId="2526">
    <w:name w:val="正文1 字符"/>
    <w:basedOn w:val="132"/>
    <w:qFormat/>
    <w:uiPriority w:val="0"/>
    <w:rPr>
      <w:kern w:val="2"/>
      <w:sz w:val="24"/>
      <w:szCs w:val="24"/>
    </w:rPr>
  </w:style>
  <w:style w:type="paragraph" w:customStyle="1" w:styleId="2527">
    <w:name w:val="A-表格文字"/>
    <w:basedOn w:val="1"/>
    <w:next w:val="1"/>
    <w:link w:val="2528"/>
    <w:qFormat/>
    <w:uiPriority w:val="0"/>
    <w:pPr>
      <w:autoSpaceDE w:val="0"/>
      <w:autoSpaceDN w:val="0"/>
      <w:adjustRightInd w:val="0"/>
      <w:jc w:val="center"/>
      <w:textAlignment w:val="center"/>
    </w:pPr>
    <w:rPr>
      <w:lang w:eastAsia="en-US"/>
    </w:rPr>
  </w:style>
  <w:style w:type="character" w:customStyle="1" w:styleId="2528">
    <w:name w:val="A-表格文字 Char"/>
    <w:link w:val="2527"/>
    <w:qFormat/>
    <w:uiPriority w:val="0"/>
    <w:rPr>
      <w:sz w:val="21"/>
      <w:szCs w:val="24"/>
      <w:lang w:eastAsia="en-US"/>
    </w:rPr>
  </w:style>
  <w:style w:type="character" w:customStyle="1" w:styleId="2529">
    <w:name w:val="text_dt0nv"/>
    <w:basedOn w:val="132"/>
    <w:uiPriority w:val="0"/>
  </w:style>
  <w:style w:type="character" w:customStyle="1" w:styleId="2530">
    <w:name w:val="表格文字 Char1"/>
    <w:link w:val="398"/>
    <w:uiPriority w:val="0"/>
    <w:rPr>
      <w:sz w:val="24"/>
      <w:szCs w:val="24"/>
    </w:rPr>
  </w:style>
  <w:style w:type="character" w:customStyle="1" w:styleId="2531">
    <w:name w:val="图表标题新 Char"/>
    <w:link w:val="2532"/>
    <w:qFormat/>
    <w:uiPriority w:val="0"/>
    <w:rPr>
      <w:rFonts w:ascii="黑体" w:hAnsi="Courier" w:eastAsia="PMingLiU"/>
      <w:b/>
      <w:kern w:val="2"/>
      <w:sz w:val="24"/>
      <w:szCs w:val="32"/>
      <w:lang w:eastAsia="zh-TW"/>
    </w:rPr>
  </w:style>
  <w:style w:type="paragraph" w:customStyle="1" w:styleId="2532">
    <w:name w:val="图表标题新"/>
    <w:basedOn w:val="1"/>
    <w:link w:val="2531"/>
    <w:qFormat/>
    <w:uiPriority w:val="0"/>
    <w:pPr>
      <w:widowControl w:val="0"/>
      <w:adjustRightInd w:val="0"/>
      <w:snapToGrid w:val="0"/>
      <w:jc w:val="center"/>
    </w:pPr>
    <w:rPr>
      <w:rFonts w:ascii="黑体" w:hAnsi="Courier" w:eastAsia="PMingLiU" w:cs="Times New Roman"/>
      <w:b/>
      <w:kern w:val="2"/>
      <w:szCs w:val="32"/>
      <w:lang w:eastAsia="zh-TW"/>
    </w:rPr>
  </w:style>
  <w:style w:type="paragraph" w:customStyle="1" w:styleId="2533">
    <w:name w:val="其他"/>
    <w:basedOn w:val="1"/>
    <w:link w:val="2534"/>
    <w:unhideWhenUsed/>
    <w:qFormat/>
    <w:uiPriority w:val="99"/>
    <w:pPr>
      <w:widowControl w:val="0"/>
      <w:shd w:val="clear" w:color="auto" w:fill="FFFFFF"/>
      <w:spacing w:line="437" w:lineRule="auto"/>
      <w:ind w:firstLine="400"/>
      <w:jc w:val="both"/>
    </w:pPr>
    <w:rPr>
      <w:rFonts w:ascii="黑体" w:hAnsi="Calibri" w:eastAsia="黑体" w:cs="Times New Roman"/>
      <w:kern w:val="2"/>
      <w:sz w:val="22"/>
      <w:szCs w:val="22"/>
      <w:lang w:val="zh-CN"/>
    </w:rPr>
  </w:style>
  <w:style w:type="character" w:customStyle="1" w:styleId="2534">
    <w:name w:val="其他_"/>
    <w:link w:val="2533"/>
    <w:unhideWhenUsed/>
    <w:qFormat/>
    <w:locked/>
    <w:uiPriority w:val="99"/>
    <w:rPr>
      <w:rFonts w:ascii="黑体" w:hAnsi="Calibri" w:eastAsia="黑体"/>
      <w:kern w:val="2"/>
      <w:sz w:val="22"/>
      <w:szCs w:val="22"/>
      <w:shd w:val="clear" w:color="auto" w:fill="FFFFFF"/>
      <w:lang w:val="zh-CN"/>
    </w:rPr>
  </w:style>
  <w:style w:type="paragraph" w:customStyle="1" w:styleId="2535">
    <w:name w:val="L标题5"/>
    <w:basedOn w:val="1"/>
    <w:next w:val="1"/>
    <w:qFormat/>
    <w:uiPriority w:val="99"/>
    <w:pPr>
      <w:widowControl w:val="0"/>
      <w:autoSpaceDE w:val="0"/>
      <w:autoSpaceDN w:val="0"/>
      <w:ind w:firstLine="522"/>
      <w:jc w:val="both"/>
      <w:outlineLvl w:val="4"/>
    </w:pPr>
    <w:rPr>
      <w:rFonts w:ascii="Calibri" w:hAnsi="Calibri" w:cs="Times New Roman"/>
      <w:b/>
      <w:bCs/>
      <w:sz w:val="26"/>
      <w:szCs w:val="26"/>
    </w:rPr>
  </w:style>
  <w:style w:type="paragraph" w:customStyle="1" w:styleId="2536">
    <w:name w:val="_正文格式"/>
    <w:basedOn w:val="1"/>
    <w:link w:val="2537"/>
    <w:qFormat/>
    <w:uiPriority w:val="0"/>
    <w:pPr>
      <w:widowControl w:val="0"/>
      <w:snapToGrid w:val="0"/>
      <w:spacing w:line="360" w:lineRule="auto"/>
      <w:ind w:firstLine="200" w:firstLineChars="200"/>
      <w:jc w:val="both"/>
    </w:pPr>
    <w:rPr>
      <w:rFonts w:ascii="Times New Roman" w:hAnsi="Times New Roman" w:cs="Times New Roman"/>
      <w:szCs w:val="20"/>
    </w:rPr>
  </w:style>
  <w:style w:type="character" w:customStyle="1" w:styleId="2537">
    <w:name w:val="_正文格式 字符"/>
    <w:link w:val="2536"/>
    <w:uiPriority w:val="0"/>
    <w:rPr>
      <w:sz w:val="24"/>
    </w:rPr>
  </w:style>
  <w:style w:type="paragraph" w:customStyle="1" w:styleId="2538">
    <w:name w:val="Normal_168"/>
    <w:qFormat/>
    <w:uiPriority w:val="0"/>
    <w:pPr>
      <w:spacing w:before="120" w:after="240"/>
      <w:jc w:val="both"/>
    </w:pPr>
    <w:rPr>
      <w:rFonts w:ascii="Calibri" w:hAnsi="Calibri" w:eastAsia="Calibri" w:cs="Times New Roman"/>
      <w:sz w:val="22"/>
      <w:szCs w:val="22"/>
      <w:lang w:val="ru-RU" w:eastAsia="en-US" w:bidi="ar-SA"/>
    </w:rPr>
  </w:style>
  <w:style w:type="paragraph" w:customStyle="1" w:styleId="2539">
    <w:name w:val="正文26-5.21"/>
    <w:basedOn w:val="1"/>
    <w:qFormat/>
    <w:uiPriority w:val="0"/>
    <w:pPr>
      <w:widowControl w:val="0"/>
      <w:adjustRightInd w:val="0"/>
      <w:snapToGrid w:val="0"/>
      <w:spacing w:line="520" w:lineRule="exact"/>
      <w:ind w:firstLine="480" w:firstLineChars="200"/>
      <w:jc w:val="both"/>
      <w:textAlignment w:val="baseline"/>
    </w:pPr>
    <w:rPr>
      <w:rFonts w:ascii="Times New Roman" w:hAnsi="Times New Roman"/>
      <w:snapToGrid w:val="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4.xml"/><Relationship Id="rId79" Type="http://schemas.openxmlformats.org/officeDocument/2006/relationships/image" Target="media/image46.jpeg"/><Relationship Id="rId78" Type="http://schemas.openxmlformats.org/officeDocument/2006/relationships/image" Target="media/image45.png"/><Relationship Id="rId77" Type="http://schemas.openxmlformats.org/officeDocument/2006/relationships/image" Target="media/image44.wmf"/><Relationship Id="rId76" Type="http://schemas.openxmlformats.org/officeDocument/2006/relationships/oleObject" Target="embeddings/oleObject23.bin"/><Relationship Id="rId75" Type="http://schemas.openxmlformats.org/officeDocument/2006/relationships/image" Target="media/image43.png"/><Relationship Id="rId74" Type="http://schemas.openxmlformats.org/officeDocument/2006/relationships/image" Target="media/image42.png"/><Relationship Id="rId73" Type="http://schemas.openxmlformats.org/officeDocument/2006/relationships/image" Target="media/image41.png"/><Relationship Id="rId72" Type="http://schemas.openxmlformats.org/officeDocument/2006/relationships/image" Target="media/image40.png"/><Relationship Id="rId71" Type="http://schemas.openxmlformats.org/officeDocument/2006/relationships/image" Target="media/image39.wmf"/><Relationship Id="rId70" Type="http://schemas.openxmlformats.org/officeDocument/2006/relationships/image" Target="media/image38.wmf"/><Relationship Id="rId7" Type="http://schemas.openxmlformats.org/officeDocument/2006/relationships/footer" Target="footer3.xml"/><Relationship Id="rId69" Type="http://schemas.openxmlformats.org/officeDocument/2006/relationships/oleObject" Target="embeddings/oleObject22.bin"/><Relationship Id="rId68" Type="http://schemas.openxmlformats.org/officeDocument/2006/relationships/image" Target="media/image37.wmf"/><Relationship Id="rId67" Type="http://schemas.openxmlformats.org/officeDocument/2006/relationships/oleObject" Target="embeddings/oleObject21.bin"/><Relationship Id="rId66" Type="http://schemas.openxmlformats.org/officeDocument/2006/relationships/image" Target="media/image36.wmf"/><Relationship Id="rId65" Type="http://schemas.openxmlformats.org/officeDocument/2006/relationships/oleObject" Target="embeddings/oleObject20.bin"/><Relationship Id="rId64" Type="http://schemas.openxmlformats.org/officeDocument/2006/relationships/image" Target="media/image35.wmf"/><Relationship Id="rId63" Type="http://schemas.openxmlformats.org/officeDocument/2006/relationships/image" Target="media/image34.wmf"/><Relationship Id="rId62" Type="http://schemas.openxmlformats.org/officeDocument/2006/relationships/oleObject" Target="embeddings/oleObject19.bin"/><Relationship Id="rId61" Type="http://schemas.openxmlformats.org/officeDocument/2006/relationships/image" Target="media/image33.wmf"/><Relationship Id="rId60" Type="http://schemas.openxmlformats.org/officeDocument/2006/relationships/oleObject" Target="embeddings/oleObject18.bin"/><Relationship Id="rId6" Type="http://schemas.openxmlformats.org/officeDocument/2006/relationships/footer" Target="footer2.xml"/><Relationship Id="rId59" Type="http://schemas.openxmlformats.org/officeDocument/2006/relationships/image" Target="media/image32.wmf"/><Relationship Id="rId58" Type="http://schemas.openxmlformats.org/officeDocument/2006/relationships/oleObject" Target="embeddings/oleObject17.bin"/><Relationship Id="rId57" Type="http://schemas.openxmlformats.org/officeDocument/2006/relationships/image" Target="media/image31.wmf"/><Relationship Id="rId56" Type="http://schemas.openxmlformats.org/officeDocument/2006/relationships/oleObject" Target="embeddings/oleObject16.bin"/><Relationship Id="rId55" Type="http://schemas.openxmlformats.org/officeDocument/2006/relationships/oleObject" Target="embeddings/oleObject15.bin"/><Relationship Id="rId54" Type="http://schemas.openxmlformats.org/officeDocument/2006/relationships/oleObject" Target="embeddings/oleObject14.bin"/><Relationship Id="rId53" Type="http://schemas.openxmlformats.org/officeDocument/2006/relationships/image" Target="media/image30.wmf"/><Relationship Id="rId52" Type="http://schemas.openxmlformats.org/officeDocument/2006/relationships/oleObject" Target="embeddings/oleObject13.bin"/><Relationship Id="rId51" Type="http://schemas.openxmlformats.org/officeDocument/2006/relationships/image" Target="media/image29.wmf"/><Relationship Id="rId50" Type="http://schemas.openxmlformats.org/officeDocument/2006/relationships/oleObject" Target="embeddings/oleObject12.bin"/><Relationship Id="rId5" Type="http://schemas.openxmlformats.org/officeDocument/2006/relationships/header" Target="header2.xml"/><Relationship Id="rId49" Type="http://schemas.openxmlformats.org/officeDocument/2006/relationships/oleObject" Target="embeddings/oleObject11.bin"/><Relationship Id="rId48" Type="http://schemas.openxmlformats.org/officeDocument/2006/relationships/oleObject" Target="embeddings/oleObject10.bin"/><Relationship Id="rId47" Type="http://schemas.openxmlformats.org/officeDocument/2006/relationships/oleObject" Target="embeddings/oleObject9.bin"/><Relationship Id="rId46" Type="http://schemas.openxmlformats.org/officeDocument/2006/relationships/oleObject" Target="embeddings/oleObject8.bin"/><Relationship Id="rId45" Type="http://schemas.openxmlformats.org/officeDocument/2006/relationships/image" Target="media/image28.wmf"/><Relationship Id="rId44" Type="http://schemas.openxmlformats.org/officeDocument/2006/relationships/oleObject" Target="embeddings/oleObject7.bin"/><Relationship Id="rId43" Type="http://schemas.openxmlformats.org/officeDocument/2006/relationships/image" Target="media/image27.wmf"/><Relationship Id="rId42" Type="http://schemas.openxmlformats.org/officeDocument/2006/relationships/oleObject" Target="embeddings/oleObject6.bin"/><Relationship Id="rId41" Type="http://schemas.openxmlformats.org/officeDocument/2006/relationships/image" Target="media/image26.wmf"/><Relationship Id="rId40" Type="http://schemas.openxmlformats.org/officeDocument/2006/relationships/oleObject" Target="embeddings/oleObject5.bin"/><Relationship Id="rId4" Type="http://schemas.openxmlformats.org/officeDocument/2006/relationships/header" Target="header1.xml"/><Relationship Id="rId39" Type="http://schemas.openxmlformats.org/officeDocument/2006/relationships/image" Target="media/image25.wmf"/><Relationship Id="rId38" Type="http://schemas.openxmlformats.org/officeDocument/2006/relationships/oleObject" Target="embeddings/oleObject4.bin"/><Relationship Id="rId37" Type="http://schemas.openxmlformats.org/officeDocument/2006/relationships/image" Target="media/image24.wmf"/><Relationship Id="rId36" Type="http://schemas.openxmlformats.org/officeDocument/2006/relationships/oleObject" Target="embeddings/oleObject3.bin"/><Relationship Id="rId35" Type="http://schemas.openxmlformats.org/officeDocument/2006/relationships/image" Target="media/image23.wmf"/><Relationship Id="rId34" Type="http://schemas.openxmlformats.org/officeDocument/2006/relationships/oleObject" Target="embeddings/oleObject2.bin"/><Relationship Id="rId33" Type="http://schemas.openxmlformats.org/officeDocument/2006/relationships/image" Target="media/image22.wmf"/><Relationship Id="rId32" Type="http://schemas.openxmlformats.org/officeDocument/2006/relationships/oleObject" Target="embeddings/oleObject1.bin"/><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105;&#30340;&#25991;&#26723;\paipai\My%20Documents\&#33258;&#23450;&#20041;%20Office%20&#27169;&#26495;\&#31532;&#19968;&#24072;G3012&#33521;&#20080;&#21147;&#20114;&#36890;-&#26032;&#21644;&#20135;&#19994;&#22253;&#20844;&#36335;&#29615;&#22659;&#24433;&#21709;&#25253;&#21578;&#20070;20244.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BB7F39-D532-4C69-BA11-324D34EC16CC}">
  <ds:schemaRefs/>
</ds:datastoreItem>
</file>

<file path=docProps/app.xml><?xml version="1.0" encoding="utf-8"?>
<Properties xmlns="http://schemas.openxmlformats.org/officeDocument/2006/extended-properties" xmlns:vt="http://schemas.openxmlformats.org/officeDocument/2006/docPropsVTypes">
  <Template>第一师G3012英买力互通-新和产业园公路环境影响报告书20244.16.dotx</Template>
  <Pages>158</Pages>
  <Words>2774</Words>
  <Characters>3309</Characters>
  <Lines>844</Lines>
  <Paragraphs>237</Paragraphs>
  <TotalTime>9901</TotalTime>
  <ScaleCrop>false</ScaleCrop>
  <LinksUpToDate>false</LinksUpToDate>
  <CharactersWithSpaces>3391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2024-07-18T09:56:00Z</dcterms:created>
  <dc:creator>刘月勇</dc:creator>
  <cp:lastModifiedBy>孙伟</cp:lastModifiedBy>
  <cp:lastPrinted>2025-01-24T10:39:00Z</cp:lastPrinted>
  <dcterms:modified xsi:type="dcterms:W3CDTF">2025-02-10T08:26:57Z</dcterms:modified>
  <dc:title>Baogaoshu </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eyJoZGlkIjoiNGEyM2JlMjE3YzNkYWQ1YmQ4MzY1ZWE5YWMzYmI2ZTMiLCJ1c2VySWQiOiI0MTY5MzA0OTkifQ==</vt:lpwstr>
  </property>
  <property fmtid="{D5CDD505-2E9C-101B-9397-08002B2CF9AE}" pid="4" name="ICV">
    <vt:lpwstr>12F653CAD0964DD1878FAEEFA0F72A1F_12</vt:lpwstr>
  </property>
</Properties>
</file>